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right="420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60" w:right="41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ADMA BIOLOGICS,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2000" w:type="dxa"/>
            <w:vAlign w:val="bottom"/>
            <w:gridSpan w:val="2"/>
          </w:tcPr>
          <w:p>
            <w:pPr>
              <w:spacing w:after="0"/>
              <w:rPr>
                <w:sz w:val="17"/>
                <w:szCs w:val="17"/>
                <w:color w:val="auto"/>
              </w:rPr>
            </w:pPr>
          </w:p>
        </w:tc>
        <w:tc>
          <w:tcPr>
            <w:tcW w:w="2920" w:type="dxa"/>
            <w:vAlign w:val="bottom"/>
            <w:gridSpan w:val="2"/>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56-2590442</w:t>
            </w:r>
          </w:p>
        </w:tc>
        <w:tc>
          <w:tcPr>
            <w:tcW w:w="860" w:type="dxa"/>
            <w:vAlign w:val="bottom"/>
          </w:tcPr>
          <w:p>
            <w:pPr>
              <w:spacing w:after="0"/>
              <w:rPr>
                <w:sz w:val="17"/>
                <w:szCs w:val="17"/>
                <w:color w:val="auto"/>
              </w:rPr>
            </w:pPr>
          </w:p>
        </w:tc>
      </w:tr>
      <w:tr>
        <w:trPr>
          <w:trHeight w:val="237"/>
        </w:trPr>
        <w:tc>
          <w:tcPr>
            <w:tcW w:w="456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20"/>
                <w:szCs w:val="20"/>
                <w:color w:val="auto"/>
              </w:rPr>
            </w:pPr>
          </w:p>
        </w:tc>
        <w:tc>
          <w:tcPr>
            <w:tcW w:w="3540" w:type="dxa"/>
            <w:vAlign w:val="bottom"/>
            <w:gridSpan w:val="5"/>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40" w:type="dxa"/>
            <w:vAlign w:val="bottom"/>
          </w:tcPr>
          <w:p>
            <w:pPr>
              <w:spacing w:after="0"/>
              <w:rPr>
                <w:sz w:val="24"/>
                <w:szCs w:val="24"/>
                <w:color w:val="auto"/>
              </w:rPr>
            </w:pPr>
          </w:p>
        </w:tc>
        <w:tc>
          <w:tcPr>
            <w:tcW w:w="3820" w:type="dxa"/>
            <w:vAlign w:val="bottom"/>
            <w:gridSpan w:val="4"/>
          </w:tcPr>
          <w:p>
            <w:pPr>
              <w:jc w:val="center"/>
              <w:ind w:right="880"/>
              <w:spacing w:after="0"/>
              <w:rPr>
                <w:sz w:val="20"/>
                <w:szCs w:val="20"/>
                <w:color w:val="auto"/>
              </w:rPr>
            </w:pPr>
            <w:r>
              <w:rPr>
                <w:rFonts w:ascii="Arial" w:cs="Arial" w:eastAsia="Arial" w:hAnsi="Arial"/>
                <w:sz w:val="18"/>
                <w:szCs w:val="18"/>
                <w:color w:val="auto"/>
                <w:w w:val="87"/>
              </w:rPr>
              <w:t>465 State Route 17, Ramsey, New Jersey</w:t>
            </w:r>
          </w:p>
        </w:tc>
        <w:tc>
          <w:tcPr>
            <w:tcW w:w="3800" w:type="dxa"/>
            <w:vAlign w:val="bottom"/>
            <w:gridSpan w:val="5"/>
          </w:tcPr>
          <w:p>
            <w:pPr>
              <w:jc w:val="right"/>
              <w:ind w:right="220"/>
              <w:spacing w:after="0"/>
              <w:rPr>
                <w:sz w:val="20"/>
                <w:szCs w:val="20"/>
                <w:color w:val="auto"/>
              </w:rPr>
            </w:pPr>
            <w:r>
              <w:rPr>
                <w:rFonts w:ascii="Arial" w:cs="Arial" w:eastAsia="Arial" w:hAnsi="Arial"/>
                <w:sz w:val="18"/>
                <w:szCs w:val="18"/>
                <w:color w:val="auto"/>
              </w:rPr>
              <w:t>07446</w:t>
            </w:r>
          </w:p>
        </w:tc>
        <w:tc>
          <w:tcPr>
            <w:tcW w:w="8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392"/>
        </w:trPr>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 478-5552</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29"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81" w:lineRule="exact"/>
        <w:rPr>
          <w:sz w:val="24"/>
          <w:szCs w:val="24"/>
          <w:color w:val="auto"/>
        </w:rPr>
      </w:pPr>
    </w:p>
    <w:p>
      <w:pPr>
        <w:ind w:left="13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left="10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color w:val="auto"/>
        </w:rPr>
        <w:t>Accelerated filer</w:t>
        <w:tab/>
        <w:t>ý</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ý</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4">
            <w:col w:w="3000" w:space="80"/>
            <w:col w:w="3860" w:space="720"/>
            <w:col w:w="1980" w:space="180"/>
            <w:col w:w="1600"/>
          </w:cols>
          <w:pgMar w:left="240" w:top="468" w:right="239" w:bottom="1440" w:gutter="0" w:footer="0" w:header="0"/>
          <w:type w:val="continuous"/>
        </w:sectPr>
      </w:pPr>
    </w:p>
    <w:p>
      <w:pPr>
        <w:spacing w:after="0" w:line="34"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ý</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1, 2019, there were 59,318,355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20" w:type="dxa"/>
            <w:vAlign w:val="bottom"/>
            <w:gridSpan w:val="10"/>
          </w:tcPr>
          <w:p>
            <w:pPr>
              <w:jc w:val="center"/>
              <w:ind w:right="3080"/>
              <w:spacing w:after="0"/>
              <w:rPr>
                <w:sz w:val="20"/>
                <w:szCs w:val="20"/>
                <w:color w:val="auto"/>
              </w:rPr>
            </w:pPr>
            <w:r>
              <w:rPr>
                <w:rFonts w:ascii="Arial" w:cs="Arial" w:eastAsia="Arial" w:hAnsi="Arial"/>
                <w:sz w:val="18"/>
                <w:szCs w:val="18"/>
                <w:b w:val="1"/>
                <w:bCs w:val="1"/>
                <w:color w:val="auto"/>
              </w:rPr>
              <w:t>ADMA BIOLOGICS, INC. AND SUBSIDIARIES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6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INDEX</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gridSpan w:val="20"/>
          </w:tcPr>
          <w:p>
            <w:pPr>
              <w:spacing w:after="0"/>
              <w:rPr>
                <w:sz w:val="20"/>
                <w:szCs w:val="20"/>
                <w:color w:val="auto"/>
              </w:rPr>
            </w:pPr>
            <w:r>
              <w:rPr>
                <w:rFonts w:ascii="Arial" w:cs="Arial" w:eastAsia="Arial" w:hAnsi="Arial"/>
                <w:sz w:val="18"/>
                <w:szCs w:val="18"/>
                <w:color w:val="auto"/>
              </w:rPr>
              <w:t>PART I FINANCIAL INFORMATION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Item 1.</w:t>
            </w:r>
          </w:p>
        </w:tc>
        <w:tc>
          <w:tcPr>
            <w:tcW w:w="92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40" w:type="dxa"/>
            <w:vAlign w:val="bottom"/>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September 30, 2019 (Unaudited) and December 31, 2018</w:t>
              </w:r>
            </w:hyperlink>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(Unaudited) for the Three and Nine Months Ended September 30, 2019</w:t>
              </w:r>
            </w:hyperlink>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2018</w:t>
              </w:r>
            </w:hyperlink>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40" w:type="dxa"/>
            <w:vAlign w:val="bottom"/>
            <w:gridSpan w:val="17"/>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Changes in Stockholders’ Equity (Unaudited) for the Three and Nine Months Ended</w:t>
              </w:r>
            </w:hyperlink>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2019 and 2018</w:t>
              </w:r>
            </w:hyperlink>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Condensed Consolidated Statements of Cash Flows (Unaudited) for the Nine Months Ended September 30, 2019 and 2018</w:t>
              </w:r>
            </w:hyperlink>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88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400" w:type="dxa"/>
            <w:vAlign w:val="bottom"/>
            <w:tcBorders>
              <w:top w:val="single" w:sz="8" w:color="CCEEFF"/>
            </w:tcBorders>
            <w:gridSpan w:val="3"/>
          </w:tcPr>
          <w:p>
            <w:pPr>
              <w:spacing w:after="0"/>
              <w:rPr>
                <w:sz w:val="15"/>
                <w:szCs w:val="15"/>
                <w:color w:val="auto"/>
              </w:rPr>
            </w:pPr>
          </w:p>
        </w:tc>
        <w:tc>
          <w:tcPr>
            <w:tcW w:w="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Item 3.</w:t>
            </w:r>
          </w:p>
        </w:tc>
        <w:tc>
          <w:tcPr>
            <w:tcW w:w="65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2740" w:type="dxa"/>
            <w:vAlign w:val="bottom"/>
            <w:tcBorders>
              <w:top w:val="single" w:sz="8" w:color="CCEEFF"/>
            </w:tcBorders>
            <w:gridSpan w:val="5"/>
          </w:tcPr>
          <w:p>
            <w:pPr>
              <w:spacing w:after="0"/>
              <w:rPr>
                <w:sz w:val="15"/>
                <w:szCs w:val="15"/>
                <w:color w:val="auto"/>
              </w:rPr>
            </w:pPr>
          </w:p>
        </w:tc>
        <w:tc>
          <w:tcPr>
            <w:tcW w:w="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Controls and Procedures.</w:t>
              </w:r>
            </w:hyperlink>
          </w:p>
        </w:tc>
        <w:tc>
          <w:tcPr>
            <w:tcW w:w="7420" w:type="dxa"/>
            <w:vAlign w:val="bottom"/>
            <w:tcBorders>
              <w:bottom w:val="single" w:sz="8" w:color="CCEEFF"/>
            </w:tcBorders>
            <w:gridSpan w:val="10"/>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940" w:type="dxa"/>
            <w:vAlign w:val="bottom"/>
            <w:gridSpan w:val="19"/>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PART II OTHER INFORMATION</w:t>
              </w:r>
            </w:hyperlink>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Item 1A.</w:t>
            </w:r>
          </w:p>
        </w:tc>
        <w:tc>
          <w:tcPr>
            <w:tcW w:w="13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7860" w:type="dxa"/>
            <w:vAlign w:val="bottom"/>
            <w:tcBorders>
              <w:top w:val="single" w:sz="8" w:color="CCEEFF"/>
            </w:tcBorders>
            <w:gridSpan w:val="11"/>
          </w:tcPr>
          <w:p>
            <w:pPr>
              <w:spacing w:after="0"/>
              <w:rPr>
                <w:sz w:val="15"/>
                <w:szCs w:val="15"/>
                <w:color w:val="auto"/>
              </w:rPr>
            </w:pPr>
          </w:p>
        </w:tc>
        <w:tc>
          <w:tcPr>
            <w:tcW w:w="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Unregistered Sales of Equity Securities and Use of Proceeds.</w:t>
              </w:r>
            </w:hyperlink>
          </w:p>
        </w:tc>
        <w:tc>
          <w:tcPr>
            <w:tcW w:w="4840" w:type="dxa"/>
            <w:vAlign w:val="bottom"/>
            <w:tcBorders>
              <w:bottom w:val="single" w:sz="8" w:color="CCEEFF"/>
            </w:tcBorders>
            <w:gridSpan w:val="7"/>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3.</w:t>
            </w:r>
          </w:p>
        </w:tc>
        <w:tc>
          <w:tcPr>
            <w:tcW w:w="9240" w:type="dxa"/>
            <w:vAlign w:val="bottom"/>
            <w:gridSpan w:val="1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Defaults Upon Senior Securities.</w:t>
              </w:r>
            </w:hyperlink>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Mine Safety Disclosures.</w:t>
              </w:r>
            </w:hyperlink>
          </w:p>
        </w:tc>
        <w:tc>
          <w:tcPr>
            <w:tcW w:w="7420" w:type="dxa"/>
            <w:vAlign w:val="bottom"/>
            <w:tcBorders>
              <w:bottom w:val="single" w:sz="8" w:color="CCEEFF"/>
            </w:tcBorders>
            <w:gridSpan w:val="10"/>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5.</w:t>
            </w:r>
          </w:p>
        </w:tc>
        <w:tc>
          <w:tcPr>
            <w:tcW w:w="9240" w:type="dxa"/>
            <w:vAlign w:val="bottom"/>
            <w:gridSpan w:val="1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6.</w:t>
            </w:r>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tcBorders>
            <w:gridSpan w:val="2"/>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5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 “Nabi-HB®” and “BIVIGAM®,” which are protected under applicable intellectual property laws and are the property of ADMA Biologics, Inc., or its subsidiaries. Solely for</w:t>
      </w:r>
    </w:p>
    <w:p>
      <w:pPr>
        <w:ind w:right="80"/>
        <w:spacing w:after="0" w:line="259" w:lineRule="auto"/>
        <w:rPr>
          <w:sz w:val="20"/>
          <w:szCs w:val="20"/>
          <w:color w:val="auto"/>
        </w:rPr>
      </w:pPr>
      <w:r>
        <w:rPr>
          <w:rFonts w:ascii="Arial" w:cs="Arial" w:eastAsia="Arial" w:hAnsi="Arial"/>
          <w:sz w:val="16"/>
          <w:szCs w:val="16"/>
          <w:color w:val="auto"/>
        </w:rPr>
        <w:t xml:space="preserve">convenience, trademarks, trade names and service marks referred to in this report may appear without the ®, ™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1" w:lineRule="exact"/>
        <w:rPr>
          <w:sz w:val="20"/>
          <w:szCs w:val="20"/>
          <w:color w:val="auto"/>
        </w:rPr>
      </w:pPr>
    </w:p>
    <w:p>
      <w:pPr>
        <w:ind w:left="660" w:right="6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on a commercial scale and commercialize this product as a result of the approval of the Prior Approval Supplement for BIVIGAM by the U.S. Food and Drug Administration (the “FDA”) on May 9, 2019;</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ASCENIV on a commercial scale and commercialize this product as a result of the FDA approval of ASCENIV’s Biologics License Application on April 1, 2019;</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97"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plasma;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Nabi-HB, BIVIGAM and ASCENIV, for any purpose by physicians, patients or payers;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and the satisfaction by us of its guidance;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immune globulin products to other comparably run Intravenous Immune Globulin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ASCENIV and BIVIGAM to provide meaningful clinical improvement for patients living with Primary Immune Deficiency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Disease, Primary Humoral Immunodeficiency Disease (“PIDD” or “PI”)  or other immune deficiencies;</w:t>
      </w:r>
    </w:p>
    <w:p>
      <w:pPr>
        <w:spacing w:after="0" w:line="238" w:lineRule="exact"/>
        <w:rPr>
          <w:sz w:val="20"/>
          <w:szCs w:val="20"/>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97"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strategy;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manufacturing, supply, distribution and other collaborative agreements;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the need for and availability of additional financing;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estimates regarding market size, projected growth and sales of our existing products as well as our expectations of market acceptance of ASCENIV;</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economic conditions or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5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2018 and in this Quarterly Report on Form 10-Q for the quarter ended September 30, 2019.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4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PART I</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40" w:type="dxa"/>
            <w:vAlign w:val="bottom"/>
          </w:tcPr>
          <w:p>
            <w:pPr>
              <w:jc w:val="center"/>
              <w:ind w:left="189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4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40" w:type="dxa"/>
            <w:vAlign w:val="bottom"/>
          </w:tcPr>
          <w:p>
            <w:pPr>
              <w:jc w:val="center"/>
              <w:ind w:left="1910"/>
              <w:spacing w:after="0"/>
              <w:rPr>
                <w:sz w:val="20"/>
                <w:szCs w:val="20"/>
                <w:color w:val="auto"/>
              </w:rPr>
            </w:pPr>
            <w:r>
              <w:rPr>
                <w:rFonts w:ascii="Arial" w:cs="Arial" w:eastAsia="Arial" w:hAnsi="Arial"/>
                <w:sz w:val="18"/>
                <w:szCs w:val="18"/>
                <w:b w:val="1"/>
                <w:bCs w:val="1"/>
                <w:color w:val="auto"/>
              </w:rPr>
              <w:t>ADMA BIOLOGICS, INC. AND SUBSIDIARIES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4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3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(Unaudited)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95"/>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5"/>
              </w:rPr>
              <w:t>Current assets:</w:t>
            </w: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48,006,152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22,754,852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7,315,481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1,392,441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7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40,285,339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18,616,169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1,716,337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1,766,163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97,323,309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44,529,625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30,712,915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30,115,730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3,370,708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4,004,412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Goodwill</w:t>
            </w: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to be transferred under purchase agreement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1,153,508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3"/>
              </w:rPr>
              <w:t>Restricted cash</w:t>
            </w: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2,843,332</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1,543,737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137,779,773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88,876,521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8,959,903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5,900,394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4,762,771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3,551,835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1,197,910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lease obligations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229,516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15,150,100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9,625,046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payable, net of discount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67,839,162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26,440,830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End of term liability, notes payable</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2,297,240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2,404,365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Subordinated note payable, net of discount</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14,899,313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14,874,184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to transfer assets under purchase agreement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12,621,844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Lease obligations, net of current portion</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1,356,390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119,080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119,496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260,734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101,661,701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69,106,083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 voting, $0.0001 par value, 150,000,000 and 75,000,000 shares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authorized, 59,318,355 and 46,353,068 shares issued and outstanding</w:t>
            </w: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5,932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290,267,664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236,203,041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(254,155,524)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(216,437,238)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36,118,072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19,770,438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137,779,773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88,876,521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020" w:type="dxa"/>
            <w:vAlign w:val="bottom"/>
            <w:gridSpan w:val="6"/>
          </w:tcPr>
          <w:p>
            <w:pPr>
              <w:jc w:val="center"/>
              <w:ind w:left="3290"/>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8"/>
          </w:tcPr>
          <w:p>
            <w:pPr>
              <w:jc w:val="center"/>
              <w:ind w:left="28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Three Months Ended September 30,</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7,186,795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4,194,602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17,204,909</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12,821,741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revenue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35,708</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107,125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107,125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7,222,503</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4,230,310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17,312,034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12,928,866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Cost of product revenue (exclusive of amortization expense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shown below)</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7,916,220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9,164,109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27,812,635</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31,052,519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491,404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1,002,818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1,879,025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3,008,816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456,899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1,973,338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1,705,498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5,545,240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633,704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633,704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7,197,173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5,670,210</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18,878,690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16,429,871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16,272,931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18,021,710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50,909,552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56,670,150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(9,050,428)</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(13,791,400)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(33,597,518)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(43,741,284)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281,896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619,103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(2,649,404)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(1,402,475)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(6,262,489)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(4,084,815)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Gain on transfer of plasma center assets</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11,527,421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Other expense, net</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(2,388,031)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(1,344,085)</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(4,120,768)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(3,964,174)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(11,438,459)</w:t>
            </w: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(15,135,485)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(37,718,286)</w:t>
            </w:r>
          </w:p>
        </w:tc>
        <w:tc>
          <w:tcPr>
            <w:tcW w:w="2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(47,705,458)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COMMON SHARES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and Diluted</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59,317,830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46,350,392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52,673,190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44,796,986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 w:name="page7"/>
    <w:bookmarkEnd w:id="6"/>
    <w:p>
      <w:pPr>
        <w:ind w:left="1040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Balance at June 30, 2019 Stock-based compensation Exercise of stock options Net loss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2019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304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040"/>
        <w:spacing w:after="0"/>
        <w:rPr>
          <w:sz w:val="20"/>
          <w:szCs w:val="20"/>
          <w:color w:val="auto"/>
        </w:rPr>
      </w:pPr>
      <w:r>
        <w:rPr>
          <w:rFonts w:ascii="Arial" w:cs="Arial" w:eastAsia="Arial" w:hAnsi="Arial"/>
          <w:sz w:val="17"/>
          <w:szCs w:val="17"/>
          <w:b w:val="1"/>
          <w:bCs w:val="1"/>
          <w:color w:val="auto"/>
        </w:rPr>
        <w:t>CONDENSED CONSOLIDATED STATEMENTS OF CHANGES IN</w:t>
      </w:r>
    </w:p>
    <w:p>
      <w:pPr>
        <w:spacing w:after="0" w:line="21" w:lineRule="exact"/>
        <w:rPr>
          <w:sz w:val="20"/>
          <w:szCs w:val="20"/>
          <w:color w:val="auto"/>
        </w:rPr>
      </w:pPr>
    </w:p>
    <w:p>
      <w:pPr>
        <w:jc w:val="center"/>
        <w:ind w:right="304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30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For the Three Months Ended September 30, 2019</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2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15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59,317,806</w:t>
            </w:r>
          </w:p>
        </w:tc>
        <w:tc>
          <w:tcPr>
            <w:tcW w:w="220" w:type="dxa"/>
            <w:vAlign w:val="bottom"/>
          </w:tcPr>
          <w:p>
            <w:pPr>
              <w:spacing w:after="0"/>
              <w:rPr>
                <w:sz w:val="16"/>
                <w:szCs w:val="16"/>
                <w:color w:val="auto"/>
              </w:rPr>
            </w:pPr>
          </w:p>
        </w:tc>
        <w:tc>
          <w:tcPr>
            <w:tcW w:w="2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5,932</w:t>
            </w:r>
          </w:p>
        </w:tc>
        <w:tc>
          <w:tcPr>
            <w:tcW w:w="24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289,616,994</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(242,717,065)</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46,905,861</w:t>
            </w:r>
          </w:p>
        </w:tc>
      </w:tr>
      <w:tr>
        <w:trPr>
          <w:trHeight w:val="216"/>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650,670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650,670</w:t>
            </w:r>
          </w:p>
        </w:tc>
      </w:tr>
      <w:tr>
        <w:trPr>
          <w:trHeight w:val="23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(11,438,459)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(11,438,459)</w:t>
            </w:r>
          </w:p>
        </w:tc>
      </w:tr>
      <w:tr>
        <w:trPr>
          <w:trHeight w:val="223"/>
        </w:trPr>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59,318,355</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5,932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290,267,664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(254,155,524)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36,118,072</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-745490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-462280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320" w:space="720"/>
            <w:col w:w="838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180" w:type="dxa"/>
            <w:vAlign w:val="bottom"/>
            <w:gridSpan w:val="8"/>
          </w:tcPr>
          <w:p>
            <w:pPr>
              <w:ind w:left="760"/>
              <w:spacing w:after="0"/>
              <w:rPr>
                <w:sz w:val="20"/>
                <w:szCs w:val="20"/>
                <w:color w:val="auto"/>
              </w:rPr>
            </w:pPr>
            <w:r>
              <w:rPr>
                <w:rFonts w:ascii="Arial" w:cs="Arial" w:eastAsia="Arial" w:hAnsi="Arial"/>
                <w:sz w:val="18"/>
                <w:szCs w:val="18"/>
                <w:b w:val="1"/>
                <w:bCs w:val="1"/>
                <w:color w:val="auto"/>
              </w:rPr>
              <w:t>For the Nine Months Ended September 30, 2019</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27"/>
        </w:trPr>
        <w:tc>
          <w:tcPr>
            <w:tcW w:w="3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10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310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46,353,068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236,203,041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(216,437,238)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19,770,438</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27,787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75,045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75,048</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net of</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12,937,500</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1,294</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48,395,794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48,397,088</w:t>
            </w: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Warrants issued in connection with</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note payable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3,579,115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3,579,115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2,014,669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2,014,669</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Net loss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(37,718,286)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(37,718,286)</w:t>
            </w:r>
          </w:p>
        </w:tc>
      </w:tr>
      <w:tr>
        <w:trPr>
          <w:trHeight w:val="223"/>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15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59,318,355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290,267,664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(254,155,524)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36,118,072</w:t>
            </w:r>
          </w:p>
        </w:tc>
      </w:tr>
      <w:tr>
        <w:trPr>
          <w:trHeight w:val="20"/>
        </w:trPr>
        <w:tc>
          <w:tcPr>
            <w:tcW w:w="3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7" w:name="page8"/>
    <w:bookmarkEnd w:id="7"/>
    <w:tbl>
      <w:tblPr>
        <w:tblLayout w:type="fixed"/>
        <w:tblInd w:w="30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ind w:left="540"/>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15"/>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gridSpan w:val="8"/>
          </w:tcPr>
          <w:p>
            <w:pPr>
              <w:jc w:val="center"/>
              <w:ind w:left="210"/>
              <w:spacing w:after="0"/>
              <w:rPr>
                <w:sz w:val="20"/>
                <w:szCs w:val="20"/>
                <w:color w:val="auto"/>
              </w:rPr>
            </w:pPr>
            <w:r>
              <w:rPr>
                <w:rFonts w:ascii="Arial" w:cs="Arial" w:eastAsia="Arial" w:hAnsi="Arial"/>
                <w:sz w:val="18"/>
                <w:szCs w:val="18"/>
                <w:b w:val="1"/>
                <w:bCs w:val="1"/>
                <w:color w:val="auto"/>
              </w:rPr>
              <w:t>ADMA BIOLOGICS,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6940" w:type="dxa"/>
            <w:vAlign w:val="bottom"/>
            <w:gridSpan w:val="13"/>
          </w:tcPr>
          <w:p>
            <w:pPr>
              <w:jc w:val="center"/>
              <w:ind w:right="1080"/>
              <w:spacing w:after="0"/>
              <w:rPr>
                <w:sz w:val="20"/>
                <w:szCs w:val="20"/>
                <w:color w:val="auto"/>
              </w:rPr>
            </w:pPr>
            <w:r>
              <w:rPr>
                <w:rFonts w:ascii="Arial" w:cs="Arial" w:eastAsia="Arial" w:hAnsi="Arial"/>
                <w:sz w:val="18"/>
                <w:szCs w:val="18"/>
                <w:b w:val="1"/>
                <w:bCs w:val="1"/>
                <w:color w:val="auto"/>
                <w:w w:val="99"/>
              </w:rPr>
              <w:t>CONDENSED CONSOLIDATED STATEMENTS OF CHANGES 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60" w:type="dxa"/>
            <w:vAlign w:val="bottom"/>
            <w:gridSpan w:val="7"/>
          </w:tcPr>
          <w:p>
            <w:pPr>
              <w:jc w:val="center"/>
              <w:ind w:right="91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gridSpan w:val="8"/>
          </w:tcPr>
          <w:p>
            <w:pPr>
              <w:jc w:val="center"/>
              <w:ind w:left="210"/>
              <w:spacing w:after="0"/>
              <w:rPr>
                <w:sz w:val="20"/>
                <w:szCs w:val="20"/>
                <w:color w:val="auto"/>
              </w:rPr>
            </w:pPr>
            <w:r>
              <w:rPr>
                <w:rFonts w:ascii="Arial" w:cs="Arial" w:eastAsia="Arial" w:hAnsi="Arial"/>
                <w:sz w:val="18"/>
                <w:szCs w:val="18"/>
                <w:b w:val="1"/>
                <w:bCs w:val="1"/>
                <w:color w:val="auto"/>
                <w:w w:val="91"/>
              </w:rPr>
              <w:t>For the Three Months Ended September 30, 2018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46"/>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Total</w:t>
            </w:r>
          </w:p>
        </w:tc>
      </w:tr>
      <w:tr>
        <w:trPr>
          <w:trHeight w:val="210"/>
        </w:trPr>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Voting</w:t>
            </w:r>
          </w:p>
        </w:tc>
        <w:tc>
          <w:tcPr>
            <w:tcW w:w="1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Paid-in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2018</w:t>
            </w: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46,349,514</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235,018,201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(183,263,766)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51,759,070</w:t>
            </w:r>
          </w:p>
        </w:tc>
        <w:tc>
          <w:tcPr>
            <w:tcW w:w="28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577,581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577,581</w:t>
            </w:r>
          </w:p>
        </w:tc>
        <w:tc>
          <w:tcPr>
            <w:tcW w:w="28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6,328</w:t>
            </w:r>
          </w:p>
        </w:tc>
        <w:tc>
          <w:tcPr>
            <w:tcW w:w="28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(1,280)</w:t>
            </w:r>
          </w:p>
        </w:tc>
        <w:tc>
          <w:tcPr>
            <w:tcW w:w="28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(15,135,485)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(15,135,485)</w:t>
            </w:r>
          </w:p>
        </w:tc>
        <w:tc>
          <w:tcPr>
            <w:tcW w:w="280" w:type="dxa"/>
            <w:vAlign w:val="bottom"/>
          </w:tcPr>
          <w:p>
            <w:pPr>
              <w:spacing w:after="0"/>
              <w:rPr>
                <w:sz w:val="19"/>
                <w:szCs w:val="19"/>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Balance - September 30, 2018</w:t>
            </w:r>
          </w:p>
        </w:tc>
        <w:tc>
          <w:tcPr>
            <w:tcW w:w="4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46,351,243</w:t>
            </w: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235,600,830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(198,399,251)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37,206,214</w:t>
            </w:r>
          </w:p>
        </w:tc>
        <w:tc>
          <w:tcPr>
            <w:tcW w:w="28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56"/>
        </w:trPr>
        <w:tc>
          <w:tcPr>
            <w:tcW w:w="28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49"/>
              <w:spacing w:after="0" w:line="155" w:lineRule="exact"/>
              <w:rPr>
                <w:sz w:val="20"/>
                <w:szCs w:val="20"/>
                <w:color w:val="auto"/>
              </w:rPr>
            </w:pPr>
            <w:r>
              <w:rPr>
                <w:rFonts w:ascii="Arial" w:cs="Arial" w:eastAsia="Arial" w:hAnsi="Arial"/>
                <w:sz w:val="14"/>
                <w:szCs w:val="14"/>
                <w:b w:val="1"/>
                <w:bCs w:val="1"/>
                <w:color w:val="auto"/>
                <w:w w:val="91"/>
              </w:rPr>
              <w:t>Voting</w:t>
            </w:r>
          </w:p>
        </w:tc>
        <w:tc>
          <w:tcPr>
            <w:tcW w:w="8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Non-Voting</w:t>
            </w: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02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Stockholders'</w:t>
            </w:r>
          </w:p>
        </w:tc>
      </w:tr>
      <w:tr>
        <w:trPr>
          <w:trHeight w:val="156"/>
        </w:trPr>
        <w:tc>
          <w:tcPr>
            <w:tcW w:w="2880" w:type="dxa"/>
            <w:vAlign w:val="bottom"/>
          </w:tcPr>
          <w:p>
            <w:pPr>
              <w:spacing w:after="0"/>
              <w:rPr>
                <w:sz w:val="13"/>
                <w:szCs w:val="13"/>
                <w:color w:val="auto"/>
              </w:rPr>
            </w:pPr>
          </w:p>
        </w:tc>
        <w:tc>
          <w:tcPr>
            <w:tcW w:w="94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8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78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02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8"/>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42"/>
        </w:trPr>
        <w:tc>
          <w:tcPr>
            <w:tcW w:w="2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 December 31, 2017</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36,725,499</w:t>
            </w: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3,673</w:t>
            </w:r>
          </w:p>
        </w:tc>
        <w:tc>
          <w:tcPr>
            <w:tcW w:w="2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8,591,160</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859</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7"/>
              </w:rPr>
              <w:t>191,022,018</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(150,693,793)</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40,332,757</w:t>
            </w:r>
          </w:p>
        </w:tc>
      </w:tr>
      <w:tr>
        <w:trPr>
          <w:trHeight w:val="130"/>
        </w:trPr>
        <w:tc>
          <w:tcPr>
            <w:tcW w:w="2880" w:type="dxa"/>
            <w:vAlign w:val="bottom"/>
          </w:tcPr>
          <w:p>
            <w:pPr>
              <w:spacing w:after="0" w:line="130" w:lineRule="exact"/>
              <w:rPr>
                <w:sz w:val="20"/>
                <w:szCs w:val="20"/>
                <w:color w:val="auto"/>
              </w:rPr>
            </w:pPr>
            <w:r>
              <w:rPr>
                <w:rFonts w:ascii="Arial" w:cs="Arial" w:eastAsia="Arial" w:hAnsi="Arial"/>
                <w:sz w:val="14"/>
                <w:szCs w:val="14"/>
                <w:color w:val="auto"/>
              </w:rPr>
              <w:t>Issuance of common stock, net of offering</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7"/>
        </w:trPr>
        <w:tc>
          <w:tcPr>
            <w:tcW w:w="2880" w:type="dxa"/>
            <w:vAlign w:val="bottom"/>
          </w:tcPr>
          <w:p>
            <w:pPr>
              <w:spacing w:after="0"/>
              <w:rPr>
                <w:sz w:val="20"/>
                <w:szCs w:val="20"/>
                <w:color w:val="auto"/>
              </w:rPr>
            </w:pPr>
            <w:r>
              <w:rPr>
                <w:rFonts w:ascii="Arial" w:cs="Arial" w:eastAsia="Arial" w:hAnsi="Arial"/>
                <w:sz w:val="14"/>
                <w:szCs w:val="14"/>
                <w:color w:val="auto"/>
              </w:rPr>
              <w:t>expenses</w:t>
            </w:r>
          </w:p>
        </w:tc>
        <w:tc>
          <w:tcPr>
            <w:tcW w:w="940" w:type="dxa"/>
            <w:vAlign w:val="bottom"/>
          </w:tcPr>
          <w:p>
            <w:pPr>
              <w:jc w:val="right"/>
              <w:spacing w:after="0"/>
              <w:rPr>
                <w:sz w:val="20"/>
                <w:szCs w:val="20"/>
                <w:color w:val="auto"/>
              </w:rPr>
            </w:pPr>
            <w:r>
              <w:rPr>
                <w:rFonts w:ascii="Arial" w:cs="Arial" w:eastAsia="Arial" w:hAnsi="Arial"/>
                <w:sz w:val="14"/>
                <w:szCs w:val="14"/>
                <w:color w:val="auto"/>
              </w:rPr>
              <w:t>9,623,430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962</w:t>
            </w:r>
          </w:p>
        </w:tc>
        <w:tc>
          <w:tcPr>
            <w:tcW w:w="2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42,943,869</w:t>
            </w:r>
          </w:p>
        </w:tc>
        <w:tc>
          <w:tcPr>
            <w:tcW w:w="2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42,944,831</w:t>
            </w:r>
          </w:p>
        </w:tc>
      </w:tr>
      <w:tr>
        <w:trPr>
          <w:trHeight w:val="149"/>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1,627,756</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1,627,756</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6,328</w:t>
            </w:r>
          </w:p>
        </w:tc>
        <w:tc>
          <w:tcPr>
            <w:tcW w:w="22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6,328</w:t>
            </w:r>
          </w:p>
        </w:tc>
      </w:tr>
      <w:tr>
        <w:trPr>
          <w:trHeight w:val="149"/>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non-voting common stock</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(8,591,160)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859</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(47,705,458)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(47,705,458)</w:t>
            </w:r>
          </w:p>
        </w:tc>
      </w:tr>
      <w:tr>
        <w:trPr>
          <w:trHeight w:val="156"/>
        </w:trPr>
        <w:tc>
          <w:tcPr>
            <w:tcW w:w="28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 September 30, 2018</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46,351,243</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4,635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97"/>
              </w:rPr>
              <w:t>235,600,830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 (198,399,251)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37,206,214</w:t>
            </w:r>
          </w:p>
        </w:tc>
      </w:tr>
      <w:tr>
        <w:trPr>
          <w:trHeight w:val="20"/>
        </w:trPr>
        <w:tc>
          <w:tcPr>
            <w:tcW w:w="2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ADMA BIOLOGICS, INC. AND SUBSIDIARIES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jc w:val="center"/>
              <w:ind w:left="28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(37,718,286)</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(47,705,458)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cash used in operating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2,429,550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2,522,496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27,017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2,014,669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1,627,756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Gain on transfer of plasma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(11,527,421)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719,607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808,671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9,962,495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license 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(5,923,040)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(21,870,736)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(1,249,253)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Deposits and other assets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104,687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3,059,511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1,326,363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1,013,003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1,055,076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191,393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(56,541,468)</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(43,885,558)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(2,217,542)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(1,276,594)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(2,217,542)</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(1,276,594)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end of term fee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Payment of debt refinancing fees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(6,499,867)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offering expenses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48,397,088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42,944,831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75,048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note payable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72,500,000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Payment of debt issuance costs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(1,679,661)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finance lease obligations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Payments of leasehold improvement loan</w:t>
            </w: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80,010,310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42,922,067</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222" w:right="239" w:bottom="1440" w:gutter="0" w:footer="0" w:header="0"/>
        </w:sectPr>
      </w:pPr>
    </w:p>
    <w:p>
      <w:pPr>
        <w:spacing w:after="0"/>
        <w:rPr>
          <w:sz w:val="20"/>
          <w:szCs w:val="20"/>
          <w:color w:val="auto"/>
        </w:rPr>
      </w:pPr>
      <w:r>
        <w:rPr>
          <w:rFonts w:ascii="Arial" w:cs="Arial" w:eastAsia="Arial" w:hAnsi="Arial"/>
          <w:sz w:val="18"/>
          <w:szCs w:val="18"/>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right="1860"/>
        <w:spacing w:after="0" w:line="380" w:lineRule="auto"/>
        <w:rPr>
          <w:sz w:val="20"/>
          <w:szCs w:val="20"/>
          <w:color w:val="auto"/>
        </w:rPr>
      </w:pPr>
      <w:r>
        <w:rPr>
          <w:rFonts w:ascii="Arial" w:cs="Arial" w:eastAsia="Arial" w:hAnsi="Arial"/>
          <w:sz w:val="15"/>
          <w:szCs w:val="15"/>
          <w:b w:val="1"/>
          <w:bCs w:val="1"/>
          <w:color w:val="auto"/>
        </w:rPr>
        <w:t>Cash and cash equivalents, including restricted cash - beginning of period Cash and cash equivalents, including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21,251,300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(2,240,085)</w:t>
            </w:r>
          </w:p>
        </w:tc>
      </w:tr>
      <w:tr>
        <w:trPr>
          <w:trHeight w:val="230"/>
        </w:trPr>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48,607,574</w:t>
            </w:r>
          </w:p>
        </w:tc>
      </w:tr>
      <w:tr>
        <w:trPr>
          <w:trHeight w:val="223"/>
        </w:trPr>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48,006,152</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46,367,489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7520" w:space="720"/>
            <w:col w:w="3180"/>
          </w:cols>
          <w:pgMar w:left="240" w:top="222"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9" w:name="page10"/>
    <w:bookmarkEnd w:id="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rFonts w:ascii="Arial" w:cs="Arial" w:eastAsia="Arial" w:hAnsi="Arial"/>
          <w:sz w:val="18"/>
          <w:szCs w:val="18"/>
          <w:b w:val="1"/>
          <w:bCs w:val="1"/>
          <w:color w:val="auto"/>
        </w:rPr>
      </w:pPr>
    </w:p>
    <w:p>
      <w:pPr>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ADMA Biologics, Inc. (“ADMA” or the “Company”) is a commercial biopharmaceutical company dedicated to manufacturing, marketing and developing specialty plasma-derived biologics for the treatment of immunodeficient patients at risk for infection and the prevention of certain infectious diseases. The Company’s targeted patient populations include immune-compromised individuals who suffer from an underlying immune deficiency disorder or who may be immune-suppressed for medical reasons. ADMA operates through its wholly-owned subsidiaries ADMA BioManufacturing, LLC (“ADMA BioManufacturing”) and ADMA Bio Centers Georgia Inc. (“ADMA Bio Centers”). ADMA BioManufacturing was formed in January 2017 to facilitate the acquisition of the Biotest Therapy Business Unit (“BTBU”) from Biotest Pharmaceuticals Corporation (“BPC”) as more fully described below. BTBU had been the Company’s third-party manufacturer for its then-lead pipeline product candidate, ASCENIV, previously referred to as “RI-002.” ADMA Bio Centers is the Company’s source plasma collection business with a plasma collection facility located in Kennesaw, GA, which holds an approved license with the U.S. Food and Drug Administration (the “FDA”). Effective January 1, 2019, in connection with the Biotest Transaction (as defined below), the Company transferred its FDA-approved Norcross, GA and Marietta, GA plasma collection facilities to BPC (see Note 11).</w:t>
      </w:r>
    </w:p>
    <w:p>
      <w:pPr>
        <w:spacing w:after="0" w:line="192" w:lineRule="exact"/>
        <w:rPr>
          <w:rFonts w:ascii="Arial" w:cs="Arial" w:eastAsia="Arial" w:hAnsi="Arial"/>
          <w:sz w:val="18"/>
          <w:szCs w:val="18"/>
          <w:b w:val="1"/>
          <w:bCs w:val="1"/>
          <w:color w:val="auto"/>
        </w:rPr>
      </w:pPr>
    </w:p>
    <w:p>
      <w:pPr>
        <w:ind w:left="34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April 1, 2019, the FDA approved the Company’s Biologics License Application (“BLA”) for ASCENIV (Immune Globulin Intravenous, Human – slra 10% Liquid), formerly referred to as RI-002. ASCENIV is an Intravenous Immune Globulin (“IVIG”) drug product for the treatment of Primary Humoral Immunodeficiency Disease (“PI”) in adults and adolescents (12 to 17 years of age). PI, also known as primary immune deficiency disease (“PIDD”), is a class of inherited genetic disorders that causes an individual to have a deficient or absent immune system. This product became available for commercial sale in October of 2019.</w:t>
      </w:r>
    </w:p>
    <w:p>
      <w:pPr>
        <w:spacing w:after="0" w:line="188" w:lineRule="exact"/>
        <w:rPr>
          <w:rFonts w:ascii="Arial" w:cs="Arial" w:eastAsia="Arial" w:hAnsi="Arial"/>
          <w:sz w:val="18"/>
          <w:szCs w:val="18"/>
          <w:b w:val="1"/>
          <w:bCs w:val="1"/>
          <w:color w:val="auto"/>
        </w:rPr>
      </w:pPr>
    </w:p>
    <w:p>
      <w:pPr>
        <w:ind w:left="34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BIVIGAM (Immune Globulin Intravenous, Human) is an intravenous immune globulin indicated for the treatment of PI. BPC had originally received FDA approval for BIVIGAM on December 19, 2012, prior to the acquisition of BTBU, and product sales commenced in the first quarter of 2013. BIVIGAM had been under FDA review for the Prior Approval Supplement (the “PAS”) that the Company submitted to the FDA in June 2018 to amend BIVIGAM’s FDA-approved BLA. On May 9, 2019, the FDA approved the PAS, and the commercial re-launch of BIVIGAM commenced during the second half of 2019.</w:t>
      </w:r>
    </w:p>
    <w:p>
      <w:pPr>
        <w:spacing w:after="0" w:line="188" w:lineRule="exact"/>
        <w:rPr>
          <w:rFonts w:ascii="Arial" w:cs="Arial" w:eastAsia="Arial" w:hAnsi="Arial"/>
          <w:sz w:val="18"/>
          <w:szCs w:val="18"/>
          <w:b w:val="1"/>
          <w:bCs w:val="1"/>
          <w:color w:val="auto"/>
        </w:rPr>
      </w:pPr>
    </w:p>
    <w:p>
      <w:pPr>
        <w:ind w:left="3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Nabi-HB (Hepatitis B Immune Globulin, Human) is a hyperimmune globulin that is rich in antibodies to the Hepatitis B virus. Nabi-HB is indicated for the treatment of acute exposure to blood containing hepatitis B surface antigen (“HBsAg”), prenatal exposure to infants born to HBsAg-positive mothers, sexual exposure to HBsAg-positive persons and household exposure to persons with acute Hepatitis B virus infection. FDA approval for Nabi-HB was received on March 24, 1999. Under ADMA’s ownership, production of Nabi-HB resumed during the third quarter of 2017, resulting in ongoing commercial revenues.</w:t>
      </w:r>
    </w:p>
    <w:p>
      <w:pPr>
        <w:spacing w:after="0" w:line="188" w:lineRule="exact"/>
        <w:rPr>
          <w:rFonts w:ascii="Arial" w:cs="Arial" w:eastAsia="Arial" w:hAnsi="Arial"/>
          <w:sz w:val="18"/>
          <w:szCs w:val="18"/>
          <w:b w:val="1"/>
          <w:bCs w:val="1"/>
          <w:color w:val="auto"/>
        </w:rPr>
      </w:pPr>
    </w:p>
    <w:p>
      <w:pPr>
        <w:ind w:left="340" w:right="1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June 6, 2017, ADMA completed the acquisition of certain assets (the “Biotest Assets”) of BTBU, which included the FDA-licensed Nabi-HB and BIVIGAM immunoglobulin products, and an FDA-licensed plasma fractionation manufacturing facility located in Boca Raton, FL (the “Boca Facility”) (the “Biotest Transaction”). In addition to its commercially available immunoglobulin products, the Company provides contract manufacturing services for certain clients and expects to generate revenues from the sale of intermediate by-products that result from the immunoglobulin production process. Immediately following the closing of the Biotest Transaction, the Biotest Assets were contributed into ADMA BioManufacturing.</w:t>
      </w:r>
    </w:p>
    <w:p>
      <w:pPr>
        <w:spacing w:after="0" w:line="158" w:lineRule="exact"/>
        <w:rPr>
          <w:rFonts w:ascii="Arial" w:cs="Arial" w:eastAsia="Arial" w:hAnsi="Arial"/>
          <w:sz w:val="18"/>
          <w:szCs w:val="18"/>
          <w:b w:val="1"/>
          <w:bCs w:val="1"/>
          <w:color w:val="auto"/>
        </w:rPr>
      </w:pPr>
    </w:p>
    <w:p>
      <w:pPr>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As of September 30, 2019, the Company had working capital of $82.2 million, including $48.0 million of cash and cash equivalents. Based upon the Company’s current projected revenue and expenditures, including capital expenditures and continued implementation of the Company’s commercialization and expansion activities, as well as certain other assumptions, the Company’s management currently believes that its cash, cash equivalents, projected revenue and accounts receivable, along with the additional $12.5 million it is able to access under its senior credit facility, will be sufficient to fund ADMA’s operations, as currently conducted, into the fourth quarter of 2020. In order to have sufficient cash to fund its operations thereafter and to continue as a going concern, the Company expects it will need to raise additional capital before the end of the fourth quarter of 2020. These estimates may change based upon the success of our commercial manufacturing ramp-up activities, the acceptability of BIVIGAM and ASCENIV by physicians, patients or payers and the various financing options that may be available to the Company. Other than the $12.5 million commitment currently available under its senior credit facility (see Note 6), the Company currently has no firm commitments for additional financing,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140"/>
        <w:spacing w:after="0" w:line="286" w:lineRule="auto"/>
        <w:rPr>
          <w:sz w:val="20"/>
          <w:szCs w:val="20"/>
          <w:color w:val="auto"/>
        </w:rPr>
      </w:pPr>
      <w:r>
        <w:rPr>
          <w:rFonts w:ascii="Arial" w:cs="Arial" w:eastAsia="Arial" w:hAnsi="Arial"/>
          <w:sz w:val="16"/>
          <w:szCs w:val="16"/>
          <w:color w:val="auto"/>
        </w:rPr>
        <w:t>Due to numerous risks and uncertainties associated with FDA approvals related to the Company’s products or the labeled indications of such products, ongoing compliance requirements and capacity expansion efforts at the Company’s Boca Facility and future commercialization of the Company’s products, including the Company’s ability to obtain adequate quantities of FDA-approved plasma with proper specifications on acceptable terms for use in the Company’s manufacturing process, the Company is unable to estimate with certainty the amounts of increased capital outlays and operating expenditures required to fund its commercial and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product development, clinical trial or commercialization activities, delay or discontinue the approval efforts for any of the Company’s potential products or potentially cease operations. The Company has reported cumulative losses since inception in June 2004 through September 30, 2019 of $254.2 million. Management believes that the Company will continue to incur net losses and negative net cash flows from operating activities to fund its operations and meet its obligations on a timely basis through the foreseeable future.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175"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2019, the Company refinanced its senior debt (see Note 6) whereby the Company received net proceeds of approximately $4.2 million,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additional $4.0 million, which was reflected as restricted cash in the accompanying consolidated balance sheet at December 31, 2018, was released by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then-senior creditor to the Company. On May 3, 2019, the Company received the additional $27.5 million that was available to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Company under its senior credit facility and amended the facility to increase the total amount available under the facility by an additional $12.5 million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6). On May 21, 2019, the Company closed on an underwritten public offering of its common stock and received net proceeds of $48.4 million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w:t>
      </w:r>
    </w:p>
    <w:p>
      <w:pPr>
        <w:spacing w:after="0" w:line="211" w:lineRule="exact"/>
        <w:rPr>
          <w:sz w:val="20"/>
          <w:szCs w:val="20"/>
          <w:color w:val="auto"/>
        </w:rPr>
      </w:pPr>
    </w:p>
    <w:p>
      <w:pPr>
        <w:ind w:left="340" w:right="60"/>
        <w:spacing w:after="0" w:line="297"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54" w:lineRule="exact"/>
        <w:rPr>
          <w:sz w:val="20"/>
          <w:szCs w:val="20"/>
          <w:color w:val="auto"/>
        </w:rPr>
      </w:pPr>
    </w:p>
    <w:p>
      <w:pPr>
        <w:ind w:left="340" w:right="6460" w:hanging="332"/>
        <w:spacing w:after="0" w:line="503"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u w:val="single" w:color="auto"/>
          <w:color w:val="auto"/>
        </w:rPr>
        <w:t>Basis of presentation</w:t>
      </w:r>
    </w:p>
    <w:p>
      <w:pPr>
        <w:ind w:left="3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annual audited consolidated financial statements and notes thereto as of and for the year ended December 31, 2018 included in the Company’s Annual Report on Form 10-K filed with the U.S. Securities and Exchange Commission (the “SEC”) on March 13, 2019. The accompanying consolidated balance sheet as of December 31, 2018 was derived from the audited financial statements for the year ended December 31, 2018.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September 30, 2019, its results of operations and changes in equity for the three and nine months ended September 30, 2019 and 2018 and its cash flows for the nine months ended September 30, 2019 and 2018.</w:t>
      </w:r>
    </w:p>
    <w:p>
      <w:pPr>
        <w:spacing w:after="0" w:line="16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three and nine months ended September 30, 2019 and 2018, comprehensive loss was equal to the net loss amounts presented for the respective periods in the accompanying condensed consolidated statements of operations. In addition, certain prior year balances have been reclassified to conform to the current presentation. Specifically, for the three and nine months ended September 30, 2018, approximately $0.3 million and $1.1 million was reclassified from research and development expenses to selling, general and administrative expenses in the accompanying consolidated statements of operations. Operating results for interim periods are not necessarily indicative of the results that may be expected for the full fiscal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the fair value of awards granted under the Company’s equity incentive plans and warrants issued in connection with the issuance of notes payable and the valuation allowance for the Company’s deferred tax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carrying amounts of certain of the Company’s financial instruments, including cash and cash equivalents and accounts payable, are shown at cost which approximates fair value due to the short-term nature of these instruments. The debt outstanding under the Company’s senior secured term loan (see Note 6) approximates fair value due to the variable interest rate on this debt. With respect to the subordinated note payable in the amount of $15.0 million as of September 30, 2019 and December 31, 2018, which is held by Biotest AG (“Biotest”), a principal stockholder of the Company at the time the note was issued, and was issued concurrent with an acquisition transaction with an affiliate of such stockholder (see Note 6), the Company has concluded that an estimation of fair value for this note is not practicable.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Accounts receivable is reported at realizable value, net of allowances for contractual credits and doubtful accounts, which are recognized in the period the related revenue is recorded. At September 30, 2019, three customers accounted for an aggregate of 88% of the Company’s total accounts receivable, and at December 31, 2018, three customers accounted for approximately 95% of the Company’s total accounts receivable.</w:t>
      </w:r>
    </w:p>
    <w:p>
      <w:pPr>
        <w:spacing w:after="0" w:line="26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2" w:name="page13"/>
    <w:bookmarkEnd w:id="1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Inventories, including plasma intended for resale and plasma intended for internal use in the Company’s manufacturing, future anticipated commercialization activities and research and development are carried at the lower of cost or net realizable value determined by the first-in, first-out method. Although the Company expects that BIVIGAM and ASCENIV inventory manufactured prior to their respective BLA approvals on May 9, 2019 and April 1, 2019, respectively, will ultimately be available for commercial sale, due to prior uncertainties surrounding the timing of these FDA approvals, all costs related to the production of BIVIGAM and ASCENIV that were incurred prior to their respective approval dates have been charged to cost of product revenue in the accompanying consolidated statements of operations. These costs amounted to $0.7 million and $4.0 million for the nine months ended September 30, 2019 and 2018,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Goodwill represents the excess of purchase price over the fair value of net assets acquired by the Company. Goodwill at September 30, 2019 and December 31, 2018 was $3.5 million. All of the Company’s goodwill is attributable to the acquisition of its ADMA BioManufacturing business segment.</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2019 did not result in a goodwill impairment charge, and the Company did not record any impairment charges related to goodwill for the nine months ended September 30, 2019 and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nine months ended September 30, 2019 and 2018, the Company determined that there was no impairment of its long-lived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are comprised of (i) revenues from the sale of the Company’s FDA-approved immunoglobulin products, (ii) product revenues from the sale of human plasma collected from the Company’s Plasma Collection Centers business segment, (iii) revenues from contract manufacturing; and (iv) license and other revenues primarily attributable to the out-licensing of ASCENIV to Biotest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22 years, the term of the Biotest license agreement. Deferred revenue of approximately $2.4 million and $2.5 million as of September 30, 2019 and December 31, 2018, respectively, is related to this agreement.</w:t>
      </w:r>
    </w:p>
    <w:p>
      <w:pPr>
        <w:spacing w:after="0" w:line="1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immunoglobulin products is generally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the Company believes that such estimates are reasonable. For revenues associated with contract manufacturing, control transfers to the customer and the performance obligation is satisfied when the customer takes possession of the product from the Boca Facility or a third party warehouse that is utilized by the Company.</w:t>
      </w:r>
    </w:p>
    <w:p>
      <w:pPr>
        <w:spacing w:after="0" w:line="27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3" w:name="page14"/>
    <w:bookmarkEnd w:id="1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to the customer if the Company retains control of the product during shipment. Payments received from customers where the foregoing revenue recognition criteria have not been satisfied are recorded as deferred revenue, and the Company has recognized $1.1 million of such deferred revenue as of September 30, 2019.</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the nine months ended September 30, 2019, four customers represented an aggregate of 86% of the Company’s consolidated revenues. For the nine months ended September 30, 2018, three customers represented an aggregate of 90% of the Company’s consolidated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Expenses associated with remediating certain compliance issues at the Boca Facility for the nine months ended September 30, 2019 and 2018 were approximately $0.2 million and $1.3 million, respectively, and are reflected in cost of product revenue in the accompanying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nine months ended September 30, 2019 and 2018, the following securities were excluded from the calculation of diluted loss per common share because of their anti-dilutive effects: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3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6"/>
              </w:rPr>
              <w:t>For the Nine Months Ended September 30,</w:t>
            </w:r>
          </w:p>
        </w:tc>
      </w:tr>
      <w:tr>
        <w:trPr>
          <w:trHeight w:val="223"/>
        </w:trPr>
        <w:tc>
          <w:tcPr>
            <w:tcW w:w="71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5,639,539</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4,278,324</w:t>
            </w:r>
          </w:p>
        </w:tc>
      </w:tr>
      <w:tr>
        <w:trPr>
          <w:trHeight w:val="230"/>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2,138,160</w:t>
            </w:r>
          </w:p>
        </w:tc>
        <w:tc>
          <w:tcPr>
            <w:tcW w:w="2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528,160</w:t>
            </w:r>
          </w:p>
        </w:tc>
      </w:tr>
      <w:tr>
        <w:trPr>
          <w:trHeight w:val="223"/>
        </w:trPr>
        <w:tc>
          <w:tcPr>
            <w:tcW w:w="7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7,777,699</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4,806,484</w:t>
            </w:r>
          </w:p>
        </w:tc>
      </w:tr>
      <w:tr>
        <w:trPr>
          <w:trHeight w:val="20"/>
        </w:trPr>
        <w:tc>
          <w:tcPr>
            <w:tcW w:w="7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follows recognized accounting guidance which requires all equity-based payments, including grants of stock options, to be recognized in the statements of operations as compensation expense based on their fair values at the date of grant. The Company uses the Black-Scholes option pricing model to determine the fair value of options granted. Compensation expense related to awards to employees and directors with service-based vesting conditions is recognized on a straight-line basis based on the grant date fair value over the associated vesting period of the award, which is generally four years (see Note 7). Stock options granted under the Company’s equity incentive plans generally have a term of 10 years.</w:t>
      </w: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4" w:name="page15"/>
    <w:bookmarkEnd w:id="1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332" w:right="20"/>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2015 and for previous periods as it relates to the Company’s net operating loss carryforwards.</w:t>
      </w:r>
    </w:p>
    <w:p>
      <w:pPr>
        <w:spacing w:after="0" w:line="165" w:lineRule="exact"/>
        <w:rPr>
          <w:sz w:val="20"/>
          <w:szCs w:val="20"/>
          <w:color w:val="auto"/>
        </w:rPr>
      </w:pPr>
    </w:p>
    <w:p>
      <w:pPr>
        <w:ind w:left="332" w:right="180"/>
        <w:spacing w:after="0" w:line="255" w:lineRule="auto"/>
        <w:rPr>
          <w:sz w:val="20"/>
          <w:szCs w:val="20"/>
          <w:color w:val="auto"/>
        </w:rPr>
      </w:pPr>
      <w:r>
        <w:rPr>
          <w:rFonts w:ascii="Arial" w:cs="Arial" w:eastAsia="Arial" w:hAnsi="Arial"/>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September 30, 2019 and December 31, 2018, and during the nine months ended September 30, 2019 and 2018, the Company recognized no adjustments for uncertain tax positions.</w:t>
      </w:r>
    </w:p>
    <w:p>
      <w:pPr>
        <w:spacing w:after="0" w:line="189" w:lineRule="exact"/>
        <w:rPr>
          <w:sz w:val="20"/>
          <w:szCs w:val="20"/>
          <w:color w:val="auto"/>
        </w:rPr>
      </w:pPr>
    </w:p>
    <w:p>
      <w:pPr>
        <w:ind w:left="332"/>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left="332" w:right="40"/>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adopted ASU 2016-02 on January 1, 2019 using the option to recognize the cumulative-effect adjustment, if any, as of the date of application, which was also January 1, 2019. The Company recognized right-to-use assets of $1.4 million and corresponding lease liabilities of approximately $1.6 million at the date of adoption (see Note 12). The Company also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 including the agreement under which the Company occupies certain office space as discussed in Note 8.</w:t>
      </w:r>
    </w:p>
    <w:p>
      <w:pPr>
        <w:spacing w:after="0" w:line="167" w:lineRule="exact"/>
        <w:rPr>
          <w:sz w:val="20"/>
          <w:szCs w:val="20"/>
          <w:color w:val="auto"/>
        </w:rPr>
      </w:pPr>
    </w:p>
    <w:p>
      <w:pPr>
        <w:ind w:left="332" w:right="20"/>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w:t>
      </w:r>
      <w:r>
        <w:rPr>
          <w:rFonts w:ascii="Arial" w:cs="Arial" w:eastAsia="Arial" w:hAnsi="Arial"/>
          <w:sz w:val="17"/>
          <w:szCs w:val="17"/>
          <w:color w:val="auto"/>
        </w:rPr>
        <w:t>” (“ASU 2017-11”). ASU 2017-11 changed the classification analysis of certain equity-linked financial instruments (or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will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“Debt—Debt with Conversion and Other Options.” ASU 2017-11 became effective for the Company on January 1, 2019, and this update did not have a significant impact on the Company’s consolidated financial statements.</w:t>
      </w:r>
    </w:p>
    <w:p>
      <w:pPr>
        <w:sectPr>
          <w:pgSz w:w="11900" w:h="16838" w:orient="portrait"/>
          <w:cols w:equalWidth="0" w:num="1">
            <w:col w:w="11412"/>
          </w:cols>
          <w:pgMar w:left="248" w:top="229" w:right="239" w:bottom="1440" w:gutter="0" w:footer="0" w:header="0"/>
        </w:sectPr>
      </w:pPr>
    </w:p>
    <w:p>
      <w:pPr>
        <w:spacing w:after="0" w:line="176" w:lineRule="exact"/>
        <w:rPr>
          <w:sz w:val="20"/>
          <w:szCs w:val="20"/>
          <w:color w:val="auto"/>
        </w:rPr>
      </w:pPr>
    </w:p>
    <w:p>
      <w:pPr>
        <w:ind w:left="332" w:hanging="332"/>
        <w:spacing w:after="0"/>
        <w:tabs>
          <w:tab w:leader="none" w:pos="33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provides the components of inventories: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9" w:lineRule="exact"/>
        <w:rPr>
          <w:rFonts w:ascii="Arial" w:cs="Arial" w:eastAsia="Arial" w:hAnsi="Arial"/>
          <w:sz w:val="18"/>
          <w:szCs w:val="18"/>
          <w:b w:val="1"/>
          <w:bCs w:val="1"/>
          <w:color w:val="auto"/>
        </w:rPr>
      </w:pPr>
    </w:p>
    <w:p>
      <w:pPr>
        <w:ind w:left="332" w:right="5220"/>
        <w:spacing w:after="0" w:line="307" w:lineRule="auto"/>
        <w:rPr>
          <w:rFonts w:ascii="Arial" w:cs="Arial" w:eastAsia="Arial" w:hAnsi="Arial"/>
          <w:sz w:val="18"/>
          <w:szCs w:val="18"/>
          <w:b w:val="1"/>
          <w:bCs w:val="1"/>
          <w:color w:val="auto"/>
        </w:rPr>
      </w:pPr>
      <w:r>
        <w:rPr>
          <w:rFonts w:ascii="Arial" w:cs="Arial" w:eastAsia="Arial" w:hAnsi="Arial"/>
          <w:sz w:val="16"/>
          <w:szCs w:val="16"/>
          <w:color w:val="auto"/>
        </w:rPr>
        <w:t>Raw materials Work-in-process Finished goods Total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-588010</wp:posOffset>
            </wp:positionV>
            <wp:extent cx="68776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-313690</wp:posOffset>
            </wp:positionV>
            <wp:extent cx="68776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411"/>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23,471,487</w:t>
            </w:r>
          </w:p>
        </w:tc>
        <w:tc>
          <w:tcPr>
            <w:tcW w:w="220" w:type="dxa"/>
            <w:vAlign w:val="bottom"/>
          </w:tcPr>
          <w:p>
            <w:pPr>
              <w:spacing w:after="0"/>
              <w:rPr>
                <w:sz w:val="24"/>
                <w:szCs w:val="24"/>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14,019,668</w:t>
            </w:r>
          </w:p>
        </w:tc>
      </w:tr>
      <w:tr>
        <w:trPr>
          <w:trHeight w:val="230"/>
        </w:trPr>
        <w:tc>
          <w:tcPr>
            <w:tcW w:w="22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13,955,875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2,857,977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4,596,501</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40,285,339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18,616,169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52" w:space="720"/>
            <w:col w:w="3940"/>
          </w:cols>
          <w:pgMar w:left="248" w:top="229" w:right="239" w:bottom="1440" w:gutter="0" w:footer="0" w:header="0"/>
          <w:type w:val="continuous"/>
        </w:sectPr>
      </w:pP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229" w:right="239" w:bottom="1440" w:gutter="0" w:footer="0" w:header="0"/>
          <w:type w:val="continuous"/>
        </w:sectPr>
      </w:pPr>
    </w:p>
    <w:bookmarkStart w:id="15" w:name="page16"/>
    <w:bookmarkEnd w:id="1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Raw materials includes plasma and other materials expected to be used in the production of ASCENIV and BIVIGAM, as there are alternative uses for these materials that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166" w:lineRule="exact"/>
        <w:rPr>
          <w:sz w:val="20"/>
          <w:szCs w:val="20"/>
          <w:color w:val="auto"/>
        </w:rPr>
      </w:pPr>
    </w:p>
    <w:p>
      <w:pPr>
        <w:ind w:left="340" w:right="20"/>
        <w:spacing w:after="0" w:line="297" w:lineRule="auto"/>
        <w:rPr>
          <w:sz w:val="20"/>
          <w:szCs w:val="20"/>
          <w:color w:val="auto"/>
        </w:rPr>
      </w:pPr>
      <w:r>
        <w:rPr>
          <w:rFonts w:ascii="Arial" w:cs="Arial" w:eastAsia="Arial" w:hAnsi="Arial"/>
          <w:sz w:val="16"/>
          <w:szCs w:val="16"/>
          <w:color w:val="auto"/>
        </w:rPr>
        <w:t>Work-in-process inventory at September 30, 2019 primarily consists of bulk drug substance and unlabeled filled vials of the Company’s immunoglobulin products. Finished goods inventory at September 30, 2019 is comprised of immunoglobulin product inventory and related intermediates that are available for commercial sale, as well as $0.5 million of plasma collected at the Company’s plasma collection center and $0.2 million of product manufactured under a contract manufacturing agreement. Finished goods inventory at December 31, 2018 is comprised of $2.3 million of Nabi-HB, $1.2 million of product manufactured under a contract manufacturing agreement and $1.1 million of plasma collected at the Company’s plasma collection centers.</w:t>
      </w:r>
    </w:p>
    <w:p>
      <w:pPr>
        <w:spacing w:after="0" w:line="15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September 30, 2019 and December 31, 2018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8"/>
                <w:szCs w:val="18"/>
                <w:b w:val="1"/>
                <w:bCs w:val="1"/>
                <w:color w:val="auto"/>
                <w:w w:val="92"/>
              </w:rPr>
              <w:t>December 31, 2018</w:t>
            </w:r>
          </w:p>
        </w:tc>
        <w:tc>
          <w:tcPr>
            <w:tcW w:w="880" w:type="dxa"/>
            <w:vAlign w:val="bottom"/>
            <w:tcBorders>
              <w:bottom w:val="single" w:sz="8" w:color="auto"/>
            </w:tcBorders>
          </w:tcPr>
          <w:p>
            <w:pPr>
              <w:spacing w:after="0"/>
              <w:rPr>
                <w:sz w:val="20"/>
                <w:szCs w:val="20"/>
                <w:color w:val="auto"/>
              </w:rPr>
            </w:pPr>
          </w:p>
        </w:tc>
      </w:tr>
      <w:tr>
        <w:trPr>
          <w:trHeight w:val="205"/>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2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4"/>
          </w:tcPr>
          <w:p>
            <w:pPr>
              <w:ind w:left="220"/>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20"/>
                <w:szCs w:val="20"/>
                <w:color w:val="auto"/>
              </w:rPr>
            </w:pPr>
          </w:p>
        </w:tc>
        <w:tc>
          <w:tcPr>
            <w:tcW w:w="1440" w:type="dxa"/>
            <w:vAlign w:val="bottom"/>
            <w:gridSpan w:val="4"/>
          </w:tcPr>
          <w:p>
            <w:pPr>
              <w:ind w:left="22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r>
      <w:tr>
        <w:trPr>
          <w:trHeight w:val="182"/>
        </w:trPr>
        <w:tc>
          <w:tcPr>
            <w:tcW w:w="4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Trademark and other intangible rights related to</w:t>
            </w: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Nabi-HB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4,100,046</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1,366,681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2,733,365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4,100,046</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927,391</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3,172,655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907,421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302,474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604,947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907,421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205,250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702,171</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1,076,557</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1,044,161</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32,396</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1,076,557</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946,971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129,586</w:t>
            </w:r>
          </w:p>
        </w:tc>
      </w:tr>
      <w:tr>
        <w:trPr>
          <w:trHeight w:val="223"/>
        </w:trPr>
        <w:tc>
          <w:tcPr>
            <w:tcW w:w="4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6,084,024</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2,713,316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3,370,708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6,084,024</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2,079,612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4,004,412</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380"/>
        <w:spacing w:after="0" w:line="286" w:lineRule="auto"/>
        <w:rPr>
          <w:sz w:val="20"/>
          <w:szCs w:val="20"/>
          <w:color w:val="auto"/>
        </w:rPr>
      </w:pPr>
      <w:r>
        <w:rPr>
          <w:rFonts w:ascii="Arial" w:cs="Arial" w:eastAsia="Arial" w:hAnsi="Arial"/>
          <w:sz w:val="17"/>
          <w:szCs w:val="17"/>
          <w:color w:val="auto"/>
        </w:rPr>
        <w:t>All of the Company’s intangible assets were acquired in the Biotest Transaction. Amortization expense related to these intangible assets for the three months ended September 30, 2019 and 2018 and nine months ended September 30, 2019 and 2018 was $0.2 million and $0.6 million, respectively. Estimated aggregate future aggregate amortization expense for the next five years is expected to be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4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211,235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2020</w:t>
            </w:r>
          </w:p>
        </w:tc>
        <w:tc>
          <w:tcPr>
            <w:tcW w:w="44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2022</w:t>
            </w:r>
          </w:p>
        </w:tc>
        <w:tc>
          <w:tcPr>
            <w:tcW w:w="44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and related accumulated depreciation are summarized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September 30,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 2018</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8,705,021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8,233,203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Office equipment and computer software</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1,650,948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1,608,994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849,088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1,163,552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2,703,037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845,538</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1,673,084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1,660,709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4,339,441</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16,063,679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15,685,325</w:t>
            </w:r>
          </w:p>
        </w:tc>
      </w:tr>
      <w:tr>
        <w:trPr>
          <w:trHeight w:val="210"/>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35,984,298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33,536,762</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(5,271,383)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(3,421,032)</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30,712,915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30,115,730</w:t>
            </w:r>
          </w:p>
        </w:tc>
      </w:tr>
      <w:tr>
        <w:trPr>
          <w:trHeight w:val="20"/>
        </w:trPr>
        <w:tc>
          <w:tcPr>
            <w:tcW w:w="7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240"/>
        <w:spacing w:after="0" w:line="312"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recorded depreciation expense on property and equipment for the three and nine months ended September 30, 2019 of $0.6 million and</w:t>
      </w:r>
    </w:p>
    <w:p>
      <w:pPr>
        <w:spacing w:after="0" w:line="46"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$1.8 million, respectively. Depreciation expense for the three and nine months ended September 30, 2018 was $0.6 million and $1.9 million, respectively, which includes $0.1 million and $0.3 million, respectively, of depreciation on the plasma assets that were transferred to Biotest on January 1, 2019 (see Notes 1 and 11).</w:t>
      </w:r>
    </w:p>
    <w:p>
      <w:pPr>
        <w:spacing w:after="0" w:line="18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Senior Notes Payable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outstanding senior notes payable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72,500,000</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(4,660,838)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Senior notes 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67,839,162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26,440,830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87" w:lineRule="auto"/>
        <w:rPr>
          <w:sz w:val="20"/>
          <w:szCs w:val="20"/>
          <w:color w:val="auto"/>
        </w:rPr>
      </w:pPr>
      <w:r>
        <w:rPr>
          <w:rFonts w:ascii="Arial" w:cs="Arial" w:eastAsia="Arial" w:hAnsi="Arial"/>
          <w:sz w:val="16"/>
          <w:szCs w:val="16"/>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up to $27.5 million (the “Perceptive Tranche II Loan”) evidenced by the Company’s issuance of a promissory note (the “Perceptive Tranche II Note”) in favor of Perceptive on May 3, 2019; and (iii) a term loan in the principal amount of up to $12.5 million (the “Perceptive Tranche III Loan,” and together with the Perceptive Tranche I Loan and the Perceptive Tranche II Loan, the “Perceptive Loans”) to be drawn-down at the Company’s sole option. The Perceptive Tranche III Loan is the result of an amendment to the Perceptive Credit Agreement (the “Perceptive Amendment”) that the Company and Perceptive entered into on May 3, 2019, and the Perceptive Tranche III Loan became available to the Company upon the approval of the PAS on May 9, 2019. The Perceptive Credit Facility has a maturity date of March 1, 2022 (the “Maturity Date”), subject to acceleration pursuant to the Perceptive Credit Agreement, including upon an Event of Default (as defined in the Perceptive Credit Agreement).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8" w:right="20"/>
        <w:spacing w:after="0" w:line="286" w:lineRule="auto"/>
        <w:rPr>
          <w:sz w:val="20"/>
          <w:szCs w:val="20"/>
          <w:color w:val="auto"/>
        </w:rPr>
      </w:pPr>
      <w:r>
        <w:rPr>
          <w:rFonts w:ascii="Arial" w:cs="Arial" w:eastAsia="Arial" w:hAnsi="Arial"/>
          <w:sz w:val="16"/>
          <w:szCs w:val="16"/>
          <w:color w:val="auto"/>
        </w:rPr>
        <w:t>On the Perceptive Closing Date, the Company used $30.0 million of the Perceptive Tranche I Loan to terminate and pay in full all of the outstanding obligations under its previously existing credit agreement with Marathon Healthcare Finance Fund, L.P. (“Marathon”) (the “Marathon Credit Facility”). The Company also used proceeds from the Perceptive Tranche I Loan to: (i) pay a deferred facility fee to Marathon in the amount of $2.8 million, (ii) pay a prepayment penalty to Marathon in the amount of $6.5 million, (iii) pay outstanding accrued interest to Marathon in the amount of $0.7 million, and</w:t>
      </w:r>
    </w:p>
    <w:p>
      <w:pPr>
        <w:spacing w:after="0" w:line="2" w:lineRule="exact"/>
        <w:rPr>
          <w:sz w:val="20"/>
          <w:szCs w:val="20"/>
          <w:color w:val="auto"/>
        </w:rPr>
      </w:pPr>
    </w:p>
    <w:p>
      <w:pPr>
        <w:ind w:left="8" w:right="80" w:hanging="8"/>
        <w:spacing w:after="0" w:line="273" w:lineRule="auto"/>
        <w:tabs>
          <w:tab w:leader="none" w:pos="313"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pay certain fees and expenses incurred in connection with the Perceptive Credit Facility of approximately $1.5 million. In addition, Marathon released $4.0 million of cash to the Company that was held in a debt service reserve account per the terms of the Marathon Credit Facility, which was reflected as restricted cash in the accompanying consolidated balance sheet as of December 31, 2018. In connection with the Perceptive Amendment, the Company paid an additional facility fee to Perceptive in the amount of $0.1 million on May 3, 2019.</w:t>
      </w:r>
    </w:p>
    <w:p>
      <w:pPr>
        <w:spacing w:after="0" w:line="177" w:lineRule="exact"/>
        <w:rPr>
          <w:sz w:val="20"/>
          <w:szCs w:val="20"/>
          <w:color w:val="auto"/>
        </w:rPr>
      </w:pPr>
    </w:p>
    <w:p>
      <w:pPr>
        <w:ind w:left="8" w:right="20"/>
        <w:spacing w:after="0" w:line="264" w:lineRule="auto"/>
        <w:rPr>
          <w:sz w:val="20"/>
          <w:szCs w:val="20"/>
          <w:color w:val="auto"/>
        </w:rPr>
      </w:pPr>
      <w:r>
        <w:rPr>
          <w:rFonts w:ascii="Arial" w:cs="Arial" w:eastAsia="Arial" w:hAnsi="Arial"/>
          <w:sz w:val="18"/>
          <w:szCs w:val="18"/>
          <w:color w:val="auto"/>
        </w:rPr>
        <w:t>As a result of the Company’s entering into the Perceptive Credit Agreement and terminating the Marathon Credit Facility, the Company recognized a loss on the extinguishment of debt in the amount of approximately $10.0 million, comprised of the $6.5 million prepayment penalty and the write-off of unamortized debt discount related to the Marathon Credit Facility in the amount of $3.5 million.</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7"/>
          <w:szCs w:val="17"/>
          <w:color w:val="auto"/>
        </w:rPr>
        <w:t>Borrowings under the Perceptive Credit Agreement bear interest at a rate per annum equal to 7.5% plus the greater of (i) one-month LIBOR and (ii)</w:t>
      </w:r>
    </w:p>
    <w:p>
      <w:pPr>
        <w:spacing w:after="0" w:line="35" w:lineRule="exact"/>
        <w:rPr>
          <w:sz w:val="20"/>
          <w:szCs w:val="20"/>
          <w:color w:val="auto"/>
        </w:rPr>
      </w:pPr>
    </w:p>
    <w:p>
      <w:pPr>
        <w:jc w:val="both"/>
        <w:ind w:left="8" w:right="60"/>
        <w:spacing w:after="0" w:line="255" w:lineRule="auto"/>
        <w:rPr>
          <w:sz w:val="20"/>
          <w:szCs w:val="20"/>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the Perceptive Closing Date and at September 30, 2019 was 11.0%.</w:t>
      </w:r>
    </w:p>
    <w:p>
      <w:pPr>
        <w:spacing w:after="0" w:line="190" w:lineRule="exact"/>
        <w:rPr>
          <w:sz w:val="20"/>
          <w:szCs w:val="20"/>
          <w:color w:val="auto"/>
        </w:rPr>
      </w:pPr>
    </w:p>
    <w:p>
      <w:pPr>
        <w:ind w:left="8" w:right="20"/>
        <w:spacing w:after="0" w:line="254" w:lineRule="auto"/>
        <w:rPr>
          <w:sz w:val="20"/>
          <w:szCs w:val="20"/>
          <w:color w:val="auto"/>
        </w:rPr>
      </w:pPr>
      <w:r>
        <w:rPr>
          <w:rFonts w:ascii="Arial" w:cs="Arial" w:eastAsia="Arial" w:hAnsi="Arial"/>
          <w:sz w:val="18"/>
          <w:szCs w:val="18"/>
          <w:color w:val="auto"/>
        </w:rPr>
        <w:t>On the Maturity Date, the Company will pay Perceptive the entire outstanding principal amount underlying the Perceptive Loans and any accrued and unpaid interest thereon. Prior to the Maturity Date, there will be no scheduled principal payments on the Perceptive Loans.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92" w:lineRule="exact"/>
        <w:rPr>
          <w:sz w:val="20"/>
          <w:szCs w:val="20"/>
          <w:color w:val="auto"/>
        </w:rPr>
      </w:pPr>
    </w:p>
    <w:p>
      <w:pPr>
        <w:ind w:left="8" w:right="40"/>
        <w:spacing w:after="0" w:line="268" w:lineRule="auto"/>
        <w:rPr>
          <w:sz w:val="20"/>
          <w:szCs w:val="20"/>
          <w:color w:val="auto"/>
        </w:rPr>
      </w:pPr>
      <w:r>
        <w:rPr>
          <w:rFonts w:ascii="Arial" w:cs="Arial" w:eastAsia="Arial" w:hAnsi="Arial"/>
          <w:sz w:val="17"/>
          <w:szCs w:val="17"/>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 In addition, the Company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ending June 30, 2019 to $55.0 million for the fiscal quarter ending December 31, 2021. At September 30, 2019, the Company was in compliance with all of the covenants contained in the Perceptive Credit Agreement.</w:t>
      </w:r>
    </w:p>
    <w:p>
      <w:pPr>
        <w:spacing w:after="0" w:line="288"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229" w:right="239" w:bottom="1440" w:gutter="0" w:footer="0" w:header="0"/>
        </w:sectPr>
      </w:pPr>
    </w:p>
    <w:bookmarkStart w:id="18" w:name="page19"/>
    <w:bookmarkEnd w:id="1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40"/>
        <w:spacing w:after="0" w:line="285" w:lineRule="auto"/>
        <w:rPr>
          <w:sz w:val="20"/>
          <w:szCs w:val="20"/>
          <w:color w:val="auto"/>
        </w:rPr>
      </w:pPr>
      <w:r>
        <w:rPr>
          <w:rFonts w:ascii="Arial" w:cs="Arial" w:eastAsia="Arial" w:hAnsi="Arial"/>
          <w:sz w:val="16"/>
          <w:szCs w:val="16"/>
          <w:color w:val="auto"/>
        </w:rPr>
        <w:t>As consideration for the Perceptive Credit Agreement, the Company issued to Perceptive a warrant to purchase 1,360,000 shares of the Company’s common stock (the “Perceptive Warrant”) on the Perceptive Closing Date. The Perceptive Warrant has an exercise price equal to $3.28 per share, which is equal to the trailing 10-day volume weighted average price (“VWAP”) of the Company’s common stock on the business day immediately prior to the Perceptive Closing Date multiplied by 1.15. The Company valued the Perceptive Warrant at $2.7 million as of the Perceptive Closing Date and it has an expiration date of February 11, 2029. In connection with the Perceptive Amendment, the Company issued an additional warrant (the “Perceptive Tranche</w:t>
      </w:r>
    </w:p>
    <w:p>
      <w:pPr>
        <w:spacing w:after="0" w:line="2" w:lineRule="exact"/>
        <w:rPr>
          <w:sz w:val="20"/>
          <w:szCs w:val="20"/>
          <w:color w:val="auto"/>
        </w:rPr>
      </w:pPr>
    </w:p>
    <w:p>
      <w:pPr>
        <w:ind w:left="340" w:hanging="8"/>
        <w:spacing w:after="0" w:line="269" w:lineRule="auto"/>
        <w:tabs>
          <w:tab w:leader="none" w:pos="5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Warrant” and, together with the Perceptive Warrant, the “Perceptive Warrants”) to purchase 250,000 shares of the Company’s common stock to Perceptive with an exercise price equal to $4.64 per share, which represents the trailing 10-day VWAP of the Company’s common stock as of May 2, 2019. The Perceptive Tranche III Warrant was valued by the Company at $0.9 million and has an expiration date of May 3, 2029. Perceptive has represented to the Company, among other things, that it was an “accredited investor” (as such term is defined in Rule 501(a) of Regulation D under the Securities Act) and the Company issued the Perceptive Warrants in reliance upon an exemption from registration contained in Section 4(2) under the Securities Act. The Perceptive Warrants and the shares of common stock issuable thereunder may not be offered, sold, pledged or otherwise transferred in the U.S. absent registration or an applicable exemption from the registration requirements under the Securities Act.</w:t>
      </w:r>
    </w:p>
    <w:p>
      <w:pPr>
        <w:spacing w:after="0" w:line="181"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color w:val="auto"/>
        </w:rPr>
        <w:t>As a result of the fees paid to Perceptive and the value of the Perceptive Warrants, the Company recognized an aggregate discount on the Perceptive Tranche I Note and Perceptive Tranche II Note in the amount of $5.3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the Perceptive Loans as of May 3, 2019 was approximately 13.9%.</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9"/>
              </w:rPr>
              <w:t>Subordinated Note Payable</w:t>
            </w: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53"/>
        </w:trPr>
        <w:tc>
          <w:tcPr>
            <w:tcW w:w="7140" w:type="dxa"/>
            <w:vAlign w:val="bottom"/>
            <w:gridSpan w:val="2"/>
          </w:tcPr>
          <w:p>
            <w:pPr>
              <w:spacing w:after="0"/>
              <w:rPr>
                <w:sz w:val="20"/>
                <w:szCs w:val="20"/>
                <w:color w:val="auto"/>
              </w:rPr>
            </w:pPr>
            <w:r>
              <w:rPr>
                <w:rFonts w:ascii="Arial" w:cs="Arial" w:eastAsia="Arial" w:hAnsi="Arial"/>
                <w:sz w:val="18"/>
                <w:szCs w:val="18"/>
                <w:color w:val="auto"/>
              </w:rPr>
              <w:t>A summary of the outstanding subordinated note payable is as follows:</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46"/>
        </w:trPr>
        <w:tc>
          <w:tcPr>
            <w:tcW w:w="19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September 30, 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 2018</w:t>
            </w:r>
          </w:p>
        </w:tc>
      </w:tr>
      <w:tr>
        <w:trPr>
          <w:trHeight w:val="210"/>
        </w:trPr>
        <w:tc>
          <w:tcPr>
            <w:tcW w:w="7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Subordinated note payable to Biotest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(100,687)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(125,816)</w:t>
            </w: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Subordinated note payable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14,899,313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14,874,184</w:t>
            </w:r>
          </w:p>
        </w:tc>
      </w:tr>
      <w:tr>
        <w:trPr>
          <w:trHeight w:val="20"/>
        </w:trPr>
        <w:tc>
          <w:tcPr>
            <w:tcW w:w="1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In connection with the acquisition of the Biotest Assets (see Note 1), ADMA BioManufacturing issued a subordinated note payable to BPC and in connection therewith received cash proceeds of $15.0 million. This note has since been assigned from BPC to Biotest. The note bears interest at a rate of 6.0% per annum and matures on June 6, 2022. The Company is obligated to make semi-annual interest payments, with all principal and unpaid interest due at maturity. The note is subordinate to all amounts outstanding under the Perceptive Credit Agreement. In the event of default, all principal and unpaid interest is due on demand. The subordinated note also contains several non-financial covenants with which the Company was in compliance as of September 30, 2019.</w:t>
      </w:r>
    </w:p>
    <w:p>
      <w:pPr>
        <w:spacing w:after="0" w:line="189" w:lineRule="exact"/>
        <w:rPr>
          <w:sz w:val="20"/>
          <w:szCs w:val="20"/>
          <w:color w:val="auto"/>
        </w:rPr>
      </w:pPr>
    </w:p>
    <w:p>
      <w:pPr>
        <w:ind w:left="340" w:right="8820" w:hanging="332"/>
        <w:spacing w:after="0" w:line="503"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STOCKHOLDERS’ EQUITY </w:t>
      </w:r>
      <w:r>
        <w:rPr>
          <w:rFonts w:ascii="Arial" w:cs="Arial" w:eastAsia="Arial" w:hAnsi="Arial"/>
          <w:sz w:val="18"/>
          <w:szCs w:val="18"/>
          <w:i w:val="1"/>
          <w:iCs w:val="1"/>
          <w:u w:val="single" w:color="auto"/>
          <w:color w:val="auto"/>
        </w:rPr>
        <w:t>Preferred Stock</w:t>
      </w:r>
    </w:p>
    <w:p>
      <w:pPr>
        <w:ind w:left="3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September 30, 2019 and December 31, 2018.</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Common Stock</w:t>
      </w:r>
    </w:p>
    <w:p>
      <w:pPr>
        <w:spacing w:after="0" w:line="225" w:lineRule="exact"/>
        <w:rPr>
          <w:rFonts w:ascii="Arial" w:cs="Arial" w:eastAsia="Arial" w:hAnsi="Arial"/>
          <w:sz w:val="18"/>
          <w:szCs w:val="18"/>
          <w:b w:val="1"/>
          <w:bCs w:val="1"/>
          <w:color w:val="auto"/>
        </w:rPr>
      </w:pPr>
    </w:p>
    <w:p>
      <w:pPr>
        <w:ind w:left="340" w:right="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As of September 30, 2019 and December 31, 2018, the Company was authorized to issue 150,000,000 and 75,000,000 shares, respectively, of its common stock, $0.0001 par value per share, and 59,318,355 and 46,353,068 shares of common stock were outstanding as of September 30, 2019 and December 31, 2018, respectively. On August 23, 2019, the Company’s stockholders approved an amendment to the Company’s Amended and Restated Certificate of Incorporation to increase the number of shares of common stock that the Company is authorized to issue from 75,000,000 to 150,000,000. After giving effect to shares reserved for the issuance of warrants and stock options, as of September 30, 2019, there were 82,903,946 shares of common stock available for issuance. On May 21, 2019, the Company issued 12,937,500 shares of its common stock in an underwritten public offering for gross proceeds of approximately $51.8 million. After deducting underwriters’ commissions and other expenses associated with the offering, the Company received net proceeds of $48.4 million.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On the Perceptive Closing Date, the Company issued the Perceptive Warrant, whereby Perceptive may purchase an aggregate of 1,360,000 shares of common stock at an exercise price of $3.28 per share. The Perceptive Warrant became exercisable on the Perceptive Closing Date, and was valued at $2.7 million. The Perceptive Warrant was valued using the Black-Scholes option-pricing model assuming an expected term of 10 years, a volatility of 61.2%, a dividend yield of 0% and a risk-free interest rate of 2.65%.</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3, 2019, the Company issued the Perceptive Tranche III Warrant, whereby Perceptive may purchase an aggregate of 250,000 shares of common stock at an exercise price of $4.64 per share. The Perceptive Tranche III was exercisable on the date of issuance and was valued at $0.9 million. The Perceptive Tranche III Warrant was valued using the Black-Scholes option-pricing model assuming an expected term of 10 years, a volatility of 62.3%, a dividend yield of 0% and a risk-free interest rate of 2.54%. At September 30, 2019, the Company had outstanding warrants to purchase an aggregate of 2,138,160 shares of common stock, with a weighted average exercise price of $3.81 per share and expiration dates ranging between June 2022 and May 2029.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nine months ended September 30, 2019 and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36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14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7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5.8 - 6.3 years</w:t>
            </w:r>
          </w:p>
        </w:tc>
        <w:tc>
          <w:tcPr>
            <w:tcW w:w="1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5.8-6.3 years</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Volatility</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54.2-62.9%</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54-57%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0.0</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1.36-2.92%</w:t>
            </w:r>
          </w:p>
        </w:tc>
        <w:tc>
          <w:tcPr>
            <w:tcW w:w="2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2.40-2.97%</w:t>
            </w:r>
          </w:p>
        </w:tc>
      </w:tr>
    </w:tbl>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nine months ended September 30, 2019 and 2018, the Company granted options to purchase an aggregate of 1,493,100 and 1,064,700 shares of common stock, respectively, to its directors, employees and certain third party service providers.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weighted average remaining contractual life of stock options outstanding and expected to vest at September 30, 2019 is 7.4 years. The weighted average remaining contractual life of stock options exercisable at September 30, 2019 is 6.2 years.</w:t>
      </w:r>
    </w:p>
    <w:p>
      <w:pPr>
        <w:spacing w:after="0" w:line="27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20" w:name="page21"/>
    <w:bookmarkEnd w:id="2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7140" w:type="dxa"/>
            <w:vAlign w:val="bottom"/>
          </w:tcPr>
          <w:p>
            <w:pPr>
              <w:spacing w:after="0"/>
              <w:rPr>
                <w:sz w:val="20"/>
                <w:szCs w:val="20"/>
                <w:color w:val="auto"/>
              </w:rPr>
            </w:pPr>
          </w:p>
        </w:tc>
        <w:tc>
          <w:tcPr>
            <w:tcW w:w="1960" w:type="dxa"/>
            <w:vAlign w:val="bottom"/>
            <w:gridSpan w:val="2"/>
          </w:tcPr>
          <w:p>
            <w:pPr>
              <w:ind w:left="6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4,342,231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(152,903)</w:t>
            </w:r>
          </w:p>
        </w:tc>
        <w:tc>
          <w:tcPr>
            <w:tcW w:w="22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1,493,100</w:t>
            </w:r>
          </w:p>
        </w:tc>
        <w:tc>
          <w:tcPr>
            <w:tcW w:w="22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(29,904)</w:t>
            </w:r>
          </w:p>
        </w:tc>
        <w:tc>
          <w:tcPr>
            <w:tcW w:w="2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63"/>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September 30, 2019</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5,639,539</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4.76</w:t>
            </w:r>
          </w:p>
        </w:tc>
      </w:tr>
      <w:tr>
        <w:trPr>
          <w:trHeight w:val="197"/>
        </w:trPr>
        <w:tc>
          <w:tcPr>
            <w:tcW w:w="7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Options exercisable</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3,036,543</w:t>
            </w:r>
          </w:p>
        </w:tc>
        <w:tc>
          <w:tcPr>
            <w:tcW w:w="22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r>
      <w:tr>
        <w:trPr>
          <w:trHeight w:val="20"/>
        </w:trPr>
        <w:tc>
          <w:tcPr>
            <w:tcW w:w="7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During the nine months ended September 30, 2019, 29,904 options were exercised, and the Company received cash proceeds of $0.1 million.</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 for the three and nine months ended September 30, 2019 and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Three Months Ended September 30,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95,757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84,588</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271,823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Plasma centers</w:t>
            </w: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13,333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38,086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491,710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444,651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1,559,530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49,870</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40,506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145,230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650,670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577,581</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2,014,669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1,627,756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As of September 30, 2019, the Company had $5.0 million of unrecognized compensation expense related to options granted under the Company’s equity incentive plans, which is expected to be recognized over a weighted-average period of 2.6 years.</w:t>
      </w:r>
    </w:p>
    <w:p>
      <w:pPr>
        <w:spacing w:after="0" w:line="16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rFonts w:ascii="Arial" w:cs="Arial" w:eastAsia="Arial" w:hAnsi="Arial"/>
          <w:sz w:val="18"/>
          <w:szCs w:val="18"/>
          <w:b w:val="1"/>
          <w:bCs w:val="1"/>
          <w:color w:val="auto"/>
        </w:rPr>
      </w:pPr>
    </w:p>
    <w:p>
      <w:pPr>
        <w:ind w:left="34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leases an office building and equipment from Areth, LLC (“Areth”) pursuant to an agreement for services effective as of January 1, 2016, as amended from time to time. Effective October 1, 2017, monthly rent on this facility was reduced to $10,000. On September 27, 2018, the agreement was amended to extend the term of the agreement through September 30, 2019. Rent expense for the three months ended September 30, 2019 and 2018 amounted to $30,000, and rent expense for the nine months September 30, 2019 and 2018 amounted to $90,000, and includes fees for the use of such office space and for other information technology, general warehousing and administrative services. Areth is a company controlled by Dr. Jerrold B. Grossman, the Vice Chairman of the Company’s Board of Directors,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three and nine months ended September 30, 2019 and 2018.</w:t>
      </w:r>
    </w:p>
    <w:p>
      <w:pPr>
        <w:spacing w:after="0" w:line="166" w:lineRule="exact"/>
        <w:rPr>
          <w:rFonts w:ascii="Arial" w:cs="Arial" w:eastAsia="Arial" w:hAnsi="Arial"/>
          <w:sz w:val="18"/>
          <w:szCs w:val="18"/>
          <w:b w:val="1"/>
          <w:bCs w:val="1"/>
          <w:color w:val="auto"/>
        </w:rPr>
      </w:pPr>
    </w:p>
    <w:p>
      <w:pPr>
        <w:ind w:left="340" w:right="5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is in discussions with Areth which would extend this agreement through September 30, 2020 with the same monthly rent and would contain automatic one-year renewals unless ADMA gives notice of termination in writing to Areth 60 days prior to the end of the lease term.</w:t>
      </w:r>
    </w:p>
    <w:p>
      <w:pPr>
        <w:spacing w:after="0" w:line="123" w:lineRule="exact"/>
        <w:rPr>
          <w:rFonts w:ascii="Arial" w:cs="Arial" w:eastAsia="Arial" w:hAnsi="Arial"/>
          <w:sz w:val="18"/>
          <w:szCs w:val="18"/>
          <w:b w:val="1"/>
          <w:bCs w:val="1"/>
          <w:color w:val="auto"/>
        </w:rPr>
      </w:pPr>
    </w:p>
    <w:p>
      <w:pPr>
        <w:ind w:left="34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See Note 6 for a discussion of the Company’s credit facility and related transactions with Perceptive, a holder of more than 10% of the Company’s common stock.</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right="7720" w:hanging="332"/>
        <w:spacing w:after="0" w:line="503"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COMMITMENTS AND CONTINGENCIES </w:t>
      </w:r>
      <w:r>
        <w:rPr>
          <w:rFonts w:ascii="Arial" w:cs="Arial" w:eastAsia="Arial" w:hAnsi="Arial"/>
          <w:sz w:val="18"/>
          <w:szCs w:val="18"/>
          <w:i w:val="1"/>
          <w:iCs w:val="1"/>
          <w:u w:val="single" w:color="auto"/>
          <w:color w:val="auto"/>
        </w:rPr>
        <w:t>General Legal Matters</w:t>
      </w:r>
    </w:p>
    <w:p>
      <w:pPr>
        <w:ind w:left="3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Vendor and Licensor Commitments</w:t>
      </w:r>
    </w:p>
    <w:p>
      <w:pPr>
        <w:spacing w:after="0" w:line="225" w:lineRule="exact"/>
        <w:rPr>
          <w:rFonts w:ascii="Arial" w:cs="Arial" w:eastAsia="Arial" w:hAnsi="Arial"/>
          <w:sz w:val="18"/>
          <w:szCs w:val="18"/>
          <w:b w:val="1"/>
          <w:bCs w:val="1"/>
          <w:color w:val="auto"/>
        </w:rPr>
      </w:pPr>
    </w:p>
    <w:p>
      <w:pPr>
        <w:ind w:left="340" w:right="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approaches commercialization for ASCENIV.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 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that were transferred to BPC on January 1, 2019 at a price equal to cost plus five percent (5%) (without any additional increase due to inflation).</w:t>
      </w:r>
    </w:p>
    <w:p>
      <w:pPr>
        <w:spacing w:after="0" w:line="185" w:lineRule="exact"/>
        <w:rPr>
          <w:rFonts w:ascii="Arial" w:cs="Arial" w:eastAsia="Arial" w:hAnsi="Arial"/>
          <w:sz w:val="18"/>
          <w:szCs w:val="18"/>
          <w:b w:val="1"/>
          <w:bCs w:val="1"/>
          <w:color w:val="auto"/>
        </w:rPr>
      </w:pPr>
    </w:p>
    <w:p>
      <w:pPr>
        <w:ind w:left="34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normal source plasma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normal source plasma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20"/>
        <w:spacing w:after="0" w:line="312" w:lineRule="auto"/>
        <w:rPr>
          <w:sz w:val="20"/>
          <w:szCs w:val="20"/>
          <w:color w:val="auto"/>
        </w:rPr>
      </w:pPr>
      <w:r>
        <w:rPr>
          <w:rFonts w:ascii="Arial" w:cs="Arial" w:eastAsia="Arial" w:hAnsi="Arial"/>
          <w:sz w:val="16"/>
          <w:szCs w:val="16"/>
          <w:color w:val="auto"/>
        </w:rPr>
        <w:t>The Company purchases substantially all of its raw material plasma from Grifols. For the nine months ended September 30, 2019, plasma purchases from Grifols totaled approximately $16.5 million, representing approximately 78% of the Company’s total inventory purchases. For the nine months ended September 30, 2018, plasma purchases from BPC totaled $2.5, or approximately 64% of the Company’s total inventory purchases.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left="340" w:right="40"/>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as such ADMA has assumed the remaining obligations, and the costs of the studies will be expensed as incurred as research and development expenses. The Company currently expects both studies to be completed by the end of 2021. However, the timing of the completion of these studies is dependent upon the availability of BIVIGAM and the completion of the planned manufacturing process improvements.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September 30, 2019.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rFonts w:ascii="Arial" w:cs="Arial" w:eastAsia="Arial" w:hAnsi="Arial"/>
          <w:sz w:val="18"/>
          <w:szCs w:val="18"/>
          <w:b w:val="1"/>
          <w:bCs w:val="1"/>
          <w:color w:val="auto"/>
        </w:rPr>
      </w:pPr>
    </w:p>
    <w:p>
      <w:pPr>
        <w:ind w:left="34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engaged in the manufacture, marketing and development of specialty plasma-derived biologics. The Company’s ADMA BioManufacturing segment reflects the Company’s immune globulin manufacturing, commercial and development operations in Boca Raton, FL, acquired on June 6, 2017 (see Note 1). The Plasma Collection Centers segment consists of one FDA-licensed source plasma collection facility for the nine months ended September 30, 2019 and two FDA-licensed facilities for the nine months ended September 30, 2018.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4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94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 2019</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5,869,082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1,317,713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6,585,143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1,331,077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7,916,220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(6,007,646)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(9,050,428)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(2,388,031)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(6,263,030)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(4,705,166)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(11,438,459)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700,981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113,957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87,400,781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4,105,208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46,273,784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137,779,773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 2018</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1,985,630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2,208,972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7,671,279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1,492,830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(10,214,933)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(1,344,085)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(10,470,343)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(15,135,485)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56,123,178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5,524,105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44,697,817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106,345,100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651,317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191,547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847,057</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70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94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 2019</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11,215,510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5,989,399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17,312,034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22,695,870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5,116,765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27,812,635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(25,300,237)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(7,464,417)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(33,597,518)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(5,027,654)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(5,685,694)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11,527,421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(9,962,495)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(25,971,837)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10,708,117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(22,454,566)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(37,718,286)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2,077,221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342,156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2,185,554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2,217,542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 2018</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5,796,597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7,025,144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12,928,866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26,334,602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4,717,917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31,052,519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(32,656,560)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(3,238,013)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(7,846,711)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(43,741,284)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(3,231,529)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(3,964,174)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(33,389,183)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(3,238,035)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(47,705,458)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1,922,448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581,059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2,522,496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772,339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504,255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1,276,594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PLASMA CENTER ASSETS</w:t>
      </w:r>
    </w:p>
    <w:p>
      <w:pPr>
        <w:spacing w:after="0" w:line="229" w:lineRule="exact"/>
        <w:rPr>
          <w:rFonts w:ascii="Arial" w:cs="Arial" w:eastAsia="Arial" w:hAnsi="Arial"/>
          <w:sz w:val="18"/>
          <w:szCs w:val="18"/>
          <w:b w:val="1"/>
          <w:bCs w:val="1"/>
          <w:color w:val="auto"/>
        </w:rPr>
      </w:pPr>
    </w:p>
    <w:p>
      <w:pPr>
        <w:ind w:left="340"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As part of the purchase price for the Biotest Transaction (see Note 1), the Company transferred its Marietta, GA and Norcross, GA plasma collection centers to BPC effective January 1, 2019. The Company had estimated the combined fair value of the two facilities to be $12.6 million, and the Company recorded an obligation for this amount as of the date of the Biotest Transaction, which is reflected in non-current liabilities in the accompanying consolidated balance sheet as of December 31, 2018. On January 1, 2019, upon the transfer of the two plasma collection facilities to BPC, the Company recorded a gain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5" w:name="page26"/>
    <w:bookmarkEnd w:id="2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rFonts w:ascii="Arial" w:cs="Arial" w:eastAsia="Arial" w:hAnsi="Arial"/>
          <w:sz w:val="18"/>
          <w:szCs w:val="18"/>
          <w:b w:val="1"/>
          <w:bCs w:val="1"/>
          <w:color w:val="auto"/>
        </w:rPr>
      </w:pPr>
    </w:p>
    <w:p>
      <w:pPr>
        <w:ind w:left="340" w:right="2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leases certain properties and equipment for its ADMA Bio Centers subsidiary and certain equipment for its ADMA BioManufacturing subsidiary, which leases provide the right to use the underlying assets and require lease payments through the respective lease terms which expire at various dates through 2026. The Company’s lease agreements do not contain any material residual value guarantees or material restrictive covenants.</w:t>
      </w:r>
    </w:p>
    <w:p>
      <w:pPr>
        <w:spacing w:after="0" w:line="146" w:lineRule="exact"/>
        <w:rPr>
          <w:rFonts w:ascii="Arial" w:cs="Arial" w:eastAsia="Arial" w:hAnsi="Arial"/>
          <w:sz w:val="18"/>
          <w:szCs w:val="18"/>
          <w:b w:val="1"/>
          <w:bCs w:val="1"/>
          <w:color w:val="auto"/>
        </w:rPr>
      </w:pPr>
    </w:p>
    <w:p>
      <w:pPr>
        <w:ind w:left="340" w:right="140"/>
        <w:spacing w:after="0" w:line="304" w:lineRule="auto"/>
        <w:rPr>
          <w:rFonts w:ascii="Arial" w:cs="Arial" w:eastAsia="Arial" w:hAnsi="Arial"/>
          <w:sz w:val="18"/>
          <w:szCs w:val="18"/>
          <w:b w:val="1"/>
          <w:bCs w:val="1"/>
          <w:color w:val="auto"/>
        </w:rPr>
      </w:pPr>
      <w:r>
        <w:rPr>
          <w:rFonts w:ascii="Arial" w:cs="Arial" w:eastAsia="Arial" w:hAnsi="Arial"/>
          <w:sz w:val="15"/>
          <w:szCs w:val="15"/>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as of the date of application of ASU</w:t>
      </w:r>
    </w:p>
    <w:p>
      <w:pPr>
        <w:spacing w:after="0" w:line="2" w:lineRule="exact"/>
        <w:rPr>
          <w:rFonts w:ascii="Arial" w:cs="Arial" w:eastAsia="Arial" w:hAnsi="Arial"/>
          <w:sz w:val="18"/>
          <w:szCs w:val="18"/>
          <w:b w:val="1"/>
          <w:bCs w:val="1"/>
          <w:color w:val="auto"/>
        </w:rPr>
      </w:pPr>
    </w:p>
    <w:p>
      <w:pPr>
        <w:ind w:left="340" w:right="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2016-02, or the lease commencement date. For the lease liabilities recognized upon the application of ASU 2016-02, the Company used a discount rate of 13% to determine the present value of its lease obligations. The Company’s operating lease expense is recognized on a straight-line basis over the lease term and is reflected in Plasma center operating expenses and Selling, general and administrative expenses. Aggregate rent expense and cash paid for the Company’s operating leases for the three and nine months ended September 30, 2019 was $0.1 million and $0.2 million, respectively.</w:t>
      </w:r>
    </w:p>
    <w:p>
      <w:pPr>
        <w:spacing w:after="0" w:line="161" w:lineRule="exact"/>
        <w:rPr>
          <w:rFonts w:ascii="Arial" w:cs="Arial" w:eastAsia="Arial" w:hAnsi="Arial"/>
          <w:sz w:val="18"/>
          <w:szCs w:val="18"/>
          <w:b w:val="1"/>
          <w:bCs w:val="1"/>
          <w:color w:val="auto"/>
        </w:rPr>
      </w:pPr>
    </w:p>
    <w:p>
      <w:pPr>
        <w:ind w:left="340" w:right="120"/>
        <w:spacing w:after="0" w:line="304" w:lineRule="auto"/>
        <w:rPr>
          <w:rFonts w:ascii="Arial" w:cs="Arial" w:eastAsia="Arial" w:hAnsi="Arial"/>
          <w:sz w:val="18"/>
          <w:szCs w:val="18"/>
          <w:b w:val="1"/>
          <w:bCs w:val="1"/>
          <w:color w:val="auto"/>
        </w:rPr>
      </w:pPr>
      <w:r>
        <w:rPr>
          <w:rFonts w:ascii="Arial" w:cs="Arial" w:eastAsia="Arial" w:hAnsi="Arial"/>
          <w:sz w:val="15"/>
          <w:szCs w:val="15"/>
          <w:color w:val="auto"/>
        </w:rPr>
        <w:t>In connection with the adoption of ASU 2016-02 on January 1, 2019 (see Note 2), the Company recognized right to use assets of $1.4 million and lease liabilities of approximately $1.6 million. The right-to-use assets are reflected in Deposits and other assets in the accompanying consolidated balance sheet as of September 30, 2019. Including a finance lease the Company entered into in June 2018, the Company has aggregate lease liabilities of $1.6 million as of September 30, 2019, which are comprised primarily of the lease for the Company’s plasma collection center in Kennesaw, GA and an administrative office lease in Roswell, GA related to the Company’s ADMA Bio Centers subsidiary. The Company’s operating leases have a weighted average remaining term of</w:t>
      </w:r>
    </w:p>
    <w:p>
      <w:pPr>
        <w:spacing w:after="0" w:line="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6.2 years. Scheduled payments under the Company’s lease obligations are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020" w:type="dxa"/>
            <w:vAlign w:val="bottom"/>
            <w:shd w:val="clear" w:color="auto" w:fill="CCEEFF"/>
          </w:tcPr>
          <w:p>
            <w:pPr>
              <w:jc w:val="right"/>
              <w:ind w:right="5610"/>
              <w:spacing w:after="0"/>
              <w:rPr>
                <w:sz w:val="20"/>
                <w:szCs w:val="20"/>
                <w:color w:val="auto"/>
              </w:rPr>
            </w:pPr>
            <w:r>
              <w:rPr>
                <w:rFonts w:ascii="Arial" w:cs="Arial" w:eastAsia="Arial" w:hAnsi="Arial"/>
                <w:sz w:val="18"/>
                <w:szCs w:val="18"/>
                <w:color w:val="auto"/>
              </w:rPr>
              <w:t>Remainder of 2019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103,490</w:t>
            </w:r>
          </w:p>
        </w:tc>
      </w:tr>
      <w:tr>
        <w:trPr>
          <w:trHeight w:val="216"/>
        </w:trPr>
        <w:tc>
          <w:tcPr>
            <w:tcW w:w="9020" w:type="dxa"/>
            <w:vAlign w:val="bottom"/>
          </w:tcPr>
          <w:p>
            <w:pPr>
              <w:jc w:val="right"/>
              <w:ind w:right="5610"/>
              <w:spacing w:after="0"/>
              <w:rPr>
                <w:sz w:val="20"/>
                <w:szCs w:val="20"/>
                <w:color w:val="auto"/>
              </w:rPr>
            </w:pPr>
            <w:r>
              <w:rPr>
                <w:rFonts w:ascii="Arial" w:cs="Arial" w:eastAsia="Arial" w:hAnsi="Arial"/>
                <w:sz w:val="18"/>
                <w:szCs w:val="18"/>
                <w:color w:val="auto"/>
              </w:rPr>
              <w:t>Year ended December 31, 2020</w:t>
            </w:r>
          </w:p>
        </w:tc>
        <w:tc>
          <w:tcPr>
            <w:tcW w:w="5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407,792</w:t>
            </w:r>
          </w:p>
        </w:tc>
      </w:tr>
      <w:tr>
        <w:trPr>
          <w:trHeight w:val="216"/>
        </w:trPr>
        <w:tc>
          <w:tcPr>
            <w:tcW w:w="9020" w:type="dxa"/>
            <w:vAlign w:val="bottom"/>
            <w:shd w:val="clear" w:color="auto" w:fill="CCEEFF"/>
          </w:tcPr>
          <w:p>
            <w:pPr>
              <w:jc w:val="right"/>
              <w:ind w:right="561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385,887</w:t>
            </w:r>
          </w:p>
        </w:tc>
      </w:tr>
      <w:tr>
        <w:trPr>
          <w:trHeight w:val="216"/>
        </w:trPr>
        <w:tc>
          <w:tcPr>
            <w:tcW w:w="9020" w:type="dxa"/>
            <w:vAlign w:val="bottom"/>
          </w:tcPr>
          <w:p>
            <w:pPr>
              <w:jc w:val="right"/>
              <w:ind w:right="561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382,287</w:t>
            </w:r>
          </w:p>
        </w:tc>
      </w:tr>
      <w:tr>
        <w:trPr>
          <w:trHeight w:val="216"/>
        </w:trPr>
        <w:tc>
          <w:tcPr>
            <w:tcW w:w="9020" w:type="dxa"/>
            <w:vAlign w:val="bottom"/>
            <w:shd w:val="clear" w:color="auto" w:fill="CCEEFF"/>
          </w:tcPr>
          <w:p>
            <w:pPr>
              <w:jc w:val="right"/>
              <w:ind w:right="561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360,197</w:t>
            </w:r>
          </w:p>
        </w:tc>
      </w:tr>
      <w:tr>
        <w:trPr>
          <w:trHeight w:val="230"/>
        </w:trPr>
        <w:tc>
          <w:tcPr>
            <w:tcW w:w="9020" w:type="dxa"/>
            <w:vAlign w:val="bottom"/>
            <w:tcBorders>
              <w:bottom w:val="single" w:sz="8" w:color="CCEEFF"/>
            </w:tcBorders>
          </w:tcPr>
          <w:p>
            <w:pPr>
              <w:jc w:val="right"/>
              <w:ind w:right="561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606,913</w:t>
            </w:r>
          </w:p>
        </w:tc>
      </w:tr>
      <w:tr>
        <w:trPr>
          <w:trHeight w:val="210"/>
        </w:trPr>
        <w:tc>
          <w:tcPr>
            <w:tcW w:w="9020" w:type="dxa"/>
            <w:vAlign w:val="bottom"/>
            <w:shd w:val="clear" w:color="auto" w:fill="CCEEFF"/>
          </w:tcPr>
          <w:p>
            <w:pPr>
              <w:jc w:val="right"/>
              <w:ind w:right="5610"/>
              <w:spacing w:after="0"/>
              <w:rPr>
                <w:sz w:val="20"/>
                <w:szCs w:val="20"/>
                <w:color w:val="auto"/>
              </w:rPr>
            </w:pPr>
            <w:r>
              <w:rPr>
                <w:rFonts w:ascii="Arial" w:cs="Arial" w:eastAsia="Arial" w:hAnsi="Arial"/>
                <w:sz w:val="18"/>
                <w:szCs w:val="18"/>
                <w:color w:val="auto"/>
              </w:rPr>
              <w:t>Total payments</w:t>
            </w: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2,246,566</w:t>
            </w:r>
          </w:p>
        </w:tc>
      </w:tr>
      <w:tr>
        <w:trPr>
          <w:trHeight w:val="230"/>
        </w:trPr>
        <w:tc>
          <w:tcPr>
            <w:tcW w:w="9020" w:type="dxa"/>
            <w:vAlign w:val="bottom"/>
            <w:tcBorders>
              <w:bottom w:val="single" w:sz="8" w:color="CCEEFF"/>
            </w:tcBorders>
          </w:tcPr>
          <w:p>
            <w:pPr>
              <w:jc w:val="right"/>
              <w:ind w:right="561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(660,660)</w:t>
            </w:r>
          </w:p>
        </w:tc>
      </w:tr>
      <w:tr>
        <w:trPr>
          <w:trHeight w:val="223"/>
        </w:trPr>
        <w:tc>
          <w:tcPr>
            <w:tcW w:w="9020" w:type="dxa"/>
            <w:vAlign w:val="bottom"/>
            <w:tcBorders>
              <w:bottom w:val="single" w:sz="8" w:color="CCEEFF"/>
            </w:tcBorders>
            <w:shd w:val="clear" w:color="auto" w:fill="CCEEFF"/>
          </w:tcPr>
          <w:p>
            <w:pPr>
              <w:jc w:val="right"/>
              <w:ind w:right="5610"/>
              <w:spacing w:after="0"/>
              <w:rPr>
                <w:sz w:val="20"/>
                <w:szCs w:val="20"/>
                <w:color w:val="auto"/>
              </w:rPr>
            </w:pPr>
            <w:r>
              <w:rPr>
                <w:rFonts w:ascii="Arial" w:cs="Arial" w:eastAsia="Arial" w:hAnsi="Arial"/>
                <w:sz w:val="18"/>
                <w:szCs w:val="18"/>
                <w:color w:val="auto"/>
              </w:rPr>
              <w:t>Balance at September 30, 2019</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1,585,906</w:t>
            </w:r>
          </w:p>
        </w:tc>
      </w:tr>
      <w:tr>
        <w:trPr>
          <w:trHeight w:val="20"/>
        </w:trPr>
        <w:tc>
          <w:tcPr>
            <w:tcW w:w="9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On July 11, 2019, the Company entered into a new property lease where the Company intends to construct a new plasma collection facility. As of September 30, 2019, the Company has not taken possession of the leased property and the lease commencement date has not been determined. With the exception of an advance deposit and an initial months’ rent totaling approximately $19,000, no payments were made under this lease during the three months ended September 30, 2019. The initial term of the lease is for 130 months, with monthly rental payments varying between approximately $9,000 and $11,000, including common area maintenance charges.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ind w:left="1040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for the nine months ended September 30, 2019 and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5,614,582</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3,063,219</w:t>
            </w: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268,050</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533,921</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Equipment acquired through finance lease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165,644</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40"/>
              <w:spacing w:after="0"/>
              <w:rPr>
                <w:sz w:val="20"/>
                <w:szCs w:val="20"/>
                <w:color w:val="auto"/>
              </w:rPr>
            </w:pPr>
            <w:r>
              <w:rPr>
                <w:rFonts w:ascii="Arial" w:cs="Arial" w:eastAsia="Arial" w:hAnsi="Arial"/>
                <w:sz w:val="18"/>
                <w:szCs w:val="18"/>
                <w:color w:val="auto"/>
              </w:rPr>
              <w:t>Warrants issued in connection with notes payable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3,579,115</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2018, filed on March 13, 2019 (the “2018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ADMA Biologics, Inc. (the “Company,” “ADMA,” “we,” “us” or “our”) is a commercial biopharmaceutical company dedicated to manufacturing, marketing and developing specialty plasma-derived biologics for the treatment of immunodeficient patients at risk for infection and the prevention of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We currently have three products with United States Food and Drug Administration (the “FDA”) approvals: ASCENIV (Immune Globulin Intravenous, Human – slra 10% Liquid), previously referred to as RI-002, an Intravenous Immune Globulin (“IVIG”) product indicated for the treatment of Primary Humoral Immunodeficiency Disease (“PI”), for which we received FDA approval on April 1, 2019, with the first commercial sales taking place in October 2019; BIVIGAM, an IVIG product indicated for the treatment of PI was approved on May 9, 2019 and its commercial re-launch commenced in August of 2019; and Nabi-HB (Hepatitis B Immune Globulin, Human), which is currently marketed and commercially available and is indicated for the treatment of acute exposure to blood containing Hepatitis B surface antigen (“HBsAg”) and other listed exposures to Hepatitis B. We seek to develop a pipeline of plasma-derived therapeutics, including a product candidate based on our most recently approved patent application under U.S. Patent No. 10,259,865 related to methods of treatment and prevention of </w:t>
      </w:r>
      <w:r>
        <w:rPr>
          <w:rFonts w:ascii="Arial" w:cs="Arial" w:eastAsia="Arial" w:hAnsi="Arial"/>
          <w:sz w:val="17"/>
          <w:szCs w:val="17"/>
          <w:i w:val="1"/>
          <w:iCs w:val="1"/>
          <w:color w:val="auto"/>
        </w:rPr>
        <w:t>S. pneumonia</w:t>
      </w:r>
      <w:r>
        <w:rPr>
          <w:rFonts w:ascii="Arial" w:cs="Arial" w:eastAsia="Arial" w:hAnsi="Arial"/>
          <w:sz w:val="17"/>
          <w:szCs w:val="17"/>
          <w:color w:val="auto"/>
        </w:rPr>
        <w:t xml:space="preserve"> infection for an immunoglobulin manufactured to contain standardized antibodies to numerous serotypes of </w:t>
      </w:r>
      <w:r>
        <w:rPr>
          <w:rFonts w:ascii="Arial" w:cs="Arial" w:eastAsia="Arial" w:hAnsi="Arial"/>
          <w:sz w:val="17"/>
          <w:szCs w:val="17"/>
          <w:i w:val="1"/>
          <w:iCs w:val="1"/>
          <w:color w:val="auto"/>
        </w:rPr>
        <w:t>S. pneumonia</w:t>
      </w:r>
      <w:r>
        <w:rPr>
          <w:rFonts w:ascii="Arial" w:cs="Arial" w:eastAsia="Arial" w:hAnsi="Arial"/>
          <w:sz w:val="17"/>
          <w:szCs w:val="17"/>
          <w:color w:val="auto"/>
        </w:rPr>
        <w:t>. Our products and product candidates are intended to be used by physician specialists focused on caring for immune-compromised patients with or at risk for certain infectious diseases.</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fiscal 2018, through our wholly-owned subsidiary, ADMA Bio Centers Georgia, Inc. (“ADMA Bio Centers”), we operated three FDA-licensed source plasma collection facilities located in the U.S., two of which were transferred to Biotest Pharmaceuticals Corporation (“BPC”) on January 1, 2019, pursuant to the acquisition transaction described below. Our remaining source plasma collection facility located in Kennesaw, GA provides us with a portion of our blood plasma for the manufacture of our products and product candidates. In July 2019 we entered into a new property lease where we expect to initiate the construction and build-out of a new plasma collection center in the fourth quarter of 2019. We intend to open additional plasma collection centers in the U.S. during the next few years.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U.S., in other locations where plasma from ADMA Bio Centers is approved globally under supply agreements, or in the open "spot" market.</w:t>
      </w:r>
    </w:p>
    <w:p>
      <w:pPr>
        <w:spacing w:after="0" w:line="17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BPC, which included the Nabi-HB and BIVIGAM immunoglobulin products, and an FDA-licensed plasma fractionation facility located in Boca Raton, FL (the “Boca Facility”) (the “Biotest Transaction”). Prior to the closing of the Biotest Transaction, BTBU was our third-party manufacturer for ASCENIV. In addition to the manufacture and sale of our immunoglobulin products, we also provide contract manufacturing services for certain historical clients and expect to generate revenues in the future from the sale of intermediate by-products.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Upon the completion of the Biotest Transaction, we gained control over the regulatory, quality, general operations and drug substance manufacturing process at the Boca Facility. In April 2018, the FDA inspected the Boca Facility and in July 2018 our FDA status with respect to the Boca Facility improved from Official Action Indicated to Voluntary Action Indicated, and we determined that this inspection of the Boca Facility was successfully closed out. During the second quarter of 2019, we received FDA approval of the respective submissions for both ASCENIV and BIVIGAM, and the transfer of the BIVIGAM and Nabi-HB licenses from BPC to us was completed on July 2, 2019. As result, we began generating commercial revenues from BIVIGAM and ASCENIV in August and October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ASCENIV is a plasma-derived, polyclonal, IVIG. ASCENIV is manufactured under a U.S. Department of Health and Human Services License No. 2019 using a process known as fractionation, using our unique, patented plasma donor screening methodology and tailored plasma pooling design, which blends normal source plasma and plasma from donors tested to have high levels of neutralizing titers to Respiratory Syncytial Virus (“RSV”) using our proprietary microneutralization assay. This high titer plasma which meets our internal specifications for the manufacture of ASCENIV that we are able to identify with our patented testing assay amounts to less than ten percent of the total donor collection samples we test. ASCENIV contains naturally occurring polyclonal antibodies, and is indicated for the treatment of PI, also known as Primary Immune Deficiency Disease (“PIDD”), a class of inherited genetic disorders that causes a deficient or absent immune system in adults and adolescents (12 to 17 years of age). Polyclonal antibodies are proteins that are used by the body’s immune system to neutralize microbes, such as bacteria and viruses and prevent against infection and disease. ASCENIV is approved for the treatment of PIDD, having completed a pivotal Phase III clinical trial among 59 patients treated for 12 months during the pivotal investigation and met the primary endpoint of no Serious Bacterial Infections reported. Secondary efficacy endpoints further demonstrated the benefits of ASCENIV in the low incidence of infection, therapeutic antibiotic use, days missed from work/school/daycare and unscheduled medical visits and hospitalizations. We believe this FDA approval better positions ADMA to further its mission to evaluate ASCENIV in immune-compromised patients infected with or at-risk for RSV infection. We look forward to working with the FDA and the immunology and infectious disease community on developing a clinical investigation to evaluate the use of ASCENIV in this patient population in the near future. Commercial sales of ASCENIV commenced in October of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BIVIGAM is an intravenous immune globulin indicated for the treatment of PI. This includes, but is not limited to, the humoral immune defect in common variable immunodeficiency, X-linked agammaglobulinemia, congenital agammaglobulinemia, Wiskott-Aldrich syndrome and severe combined immunodeficiency. These primary immunodeficiencies (“PIs”) are a group of genetic disorders. Initially thought to be very rare, it has been estimated that as many as one in every 1,200 people in the United States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BPC had originally received FDA approval for BIVIGAM on December 19, 2012, prior to our acquisition of BTBU, and product sales commenced in the first quarter of 2013. On May 9, 2019, the FDA approved our Prior Approval Supplement (the “PAS”) for the use of our IVIG manufacturing process, thereby enabling us to re-launch and commercialize this product in the United States. We resumed production of BIVIGAM during the fourth quarter of 2017 after the closing of the Biotest Transaction and commercial production is ongoing, using our FDA-approved IVIG manufacturing process. The commercial re-launch and first commercial sales commenced in August of 2019.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In early 2018, we received authorization from the FDA for the release of our first commercial batch of Nabi-HB for commercial distribution in the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the fair value of awards granted under our equity incentive plans and warrants issued in connection with the issuance of notes payable and the valuation allowance for our deferred tax assets.</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in the 2018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Revenues for the three and nine months ended September 30, 2019 are comprised of (i) revenues from the sale of our immunoglobulin products, (ii) product revenues from the sale of human plasma collected from our plasma collection centers business segment, (iii) contract manufacturing revenue and; and</w:t>
      </w:r>
    </w:p>
    <w:p>
      <w:pPr>
        <w:ind w:right="40" w:firstLine="8"/>
        <w:spacing w:after="0" w:line="273" w:lineRule="auto"/>
        <w:tabs>
          <w:tab w:leader="none" w:pos="305"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license and other revenues primarily attributable to the out-licensing of ASCENIV to Biotest AG (“Biotest”) to market and sell this product ex-U.S.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for a period of approximately 22 years from December 31, 2012, the term of the Biotest license agreement.</w:t>
      </w:r>
    </w:p>
    <w:p>
      <w:pPr>
        <w:spacing w:after="0" w:line="17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we believe that such estimates are reasonable. For revenues associated with contract manufacturing, control transfers to the customer and the performance obligation is satisfied when the customer takes possession of the product from the Boca Facility or a third party warehouse that is utilized by the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the nine months ended September 30, 2019, four customers represented an aggregate of 86% of our consolidated revenues, with Biolife Plasma Services, L.P. (“Biolife”), Sanofi Pasteur S.A. (“Sanofi”), McKesson Corporation (“McKesson”) and AmerisourceBergen representing approximately 35%, 29%, 12% and 10%, respectively, of our consolidated revenues. For the nine months ended September 30, 2018, three customers represented an aggregate of 90% of our consolidated revenues, with BPC, AmerisourceBergen and McKesson representing 54%, 16% and 20%, respectively, of the Company’s consolidated revenues. Our supply contract to sell normal source plasma to BPC expired on December 31, 2018 and was not renewed.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Accounts receivable are reported at realizable value, net of allowances for contractual credits and doubtful accounts, which are recognized in the period the related revenue is recorded. At September 30, 2019, three customers represented an aggregate of 88% of our total accounts receivable, with Sanofi, McKesson and BioCARE, Inc. (“BioCARE”) representing approximately 46%, 21% and 21%, respectively, of our consolidated accounts receivable. At December 31, 2018, BPC, AmerisourceBergen and Cardinal Health accounted for 59%, 23% and 12%, respectively, of our consolidated accounts receivable.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Cost of product revenue includes expenses related to direct labor, direct materials, manufacturing overhead and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at the Boca Facility by the FDA prior to the closing of the Biotest Transaction for the nine months ended September 30, 2019 and 2018 of approximately $0.2 million and $1.3 million, respectively, are expensed as incurred and are reflected in cost of product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is recognized as expense over the grantee’s requisite vesting period on a straight-line basis. For the purpose of valuing stock options granted to our employees, directors and officers and certain third party service providers, we use the Black-Scholes option pricing model. We granted options to purchase an aggregate of 1,493,100 and 1,064,700 shares of common stock, $0.0001 par value per share (“Common Stock”) during the nine months ended September 30, 2019 and 2018, respectively. To determine the risk-free interest rate, we utilized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publically traded in the fourth quarter of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Our research and development (“R&amp;D”) costs consist of clinical research organization costs, costs related to clinical trials, post-marketing commitment studies for BIVIGAM, wages, benefits and stock-based compensation for employees directly related to R&amp;D activities and, prior to April 1, 2019, assay development and testing, storage and transportation costs for high-titer plasma used in the manufacture of ASCENIV. All R&amp;D costs are expensed as incurred.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nine months ended September 30, 2019 and 2018, we determined that there was no impairment of our long-lived assets.</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a reporting unit is less than its carrying amount, including goodwill and other intangible assets. If we were to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nine months ended September 30,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w:t>
      </w:r>
    </w:p>
    <w:p>
      <w:pPr>
        <w:spacing w:after="0" w:line="46" w:lineRule="exact"/>
        <w:rPr>
          <w:sz w:val="20"/>
          <w:szCs w:val="20"/>
          <w:color w:val="auto"/>
        </w:rPr>
      </w:pPr>
    </w:p>
    <w:p>
      <w:pPr>
        <w:ind w:right="60" w:firstLine="8"/>
        <w:spacing w:after="0" w:line="287" w:lineRule="auto"/>
        <w:tabs>
          <w:tab w:leader="none" w:pos="3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We adopted ASU 2016-02 on January 1, 2019 using the option to recognize the cumulative-effect adjustment, if any, as of the date of application, which was also January 1, 2019. As a result, there will be no restatement of comparative periods. We recognized right-to-use assets of $1.4 million and corresponding lease liabilities of approximately $1.6 million at the date of adoption (see Note 12 to the consolidated financial statements). The right-to-use assets are reflected in Deposits and other assets in the accompanying consolidated balance sheet as of September 30, 2019. We also elected the “package of practical expedients,” which permits us to not reassess under the new standard our prior conclusions about lease identification, lease classification and initial direct costs. In addition, we elected the short-term lease recognition exemption for all leases that qualify.</w:t>
      </w:r>
    </w:p>
    <w:p>
      <w:pPr>
        <w:spacing w:after="0" w:line="16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July 2017, the FASB issued ASU No. 2017-11, Earnings Per Share (Topic 260), Distinguishing Liabilities from Equity (Topic 480), Derivatives and Hedging (Topic 815) (“ASU 2017-11”). ASU 2017-11 changed the classification analysis of certain 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would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“Debt—Debt with Conversion and Other Options.” ASU 2017-11 became effective for us on January 1, 2019, and this update did not have a significant impact on our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 Compared to Three Months Ended September 30, 2018</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September 30, 2019, our third fiscal quarter, compared to the three months ended September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7"/>
          </w:tcPr>
          <w:p>
            <w:pPr>
              <w:jc w:val="right"/>
              <w:ind w:right="970"/>
              <w:spacing w:after="0"/>
              <w:rPr>
                <w:sz w:val="20"/>
                <w:szCs w:val="20"/>
                <w:color w:val="auto"/>
              </w:rPr>
            </w:pPr>
            <w:r>
              <w:rPr>
                <w:rFonts w:ascii="Arial" w:cs="Arial" w:eastAsia="Arial" w:hAnsi="Arial"/>
                <w:sz w:val="18"/>
                <w:szCs w:val="18"/>
                <w:b w:val="1"/>
                <w:bCs w:val="1"/>
                <w:color w:val="auto"/>
              </w:rPr>
              <w:t>Three Months Ended September 30,</w:t>
            </w:r>
          </w:p>
        </w:tc>
      </w:tr>
      <w:tr>
        <w:trPr>
          <w:trHeight w:val="191"/>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Increase</w:t>
            </w:r>
          </w:p>
        </w:tc>
      </w:tr>
      <w:tr>
        <w:trPr>
          <w:trHeight w:val="234"/>
        </w:trPr>
        <w:tc>
          <w:tcPr>
            <w:tcW w:w="65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(Decrease)</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7,222,503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4,230,310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2,992,193</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7,916,220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9,164,109</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(1,247,889)</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(4,933,799)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4,240,082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491,404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1,002,818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(511,414)</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456,899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1,973,338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(1,516,439)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7,197,173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5,670,210</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1,526,963</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(9,050,428)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(13,791,400)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4,740,972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(2,649,404)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(1,246,929)</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261,373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58,390</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202,983</w:t>
            </w: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(11,438,459)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(15,135,485)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3,697,026</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recorded total revenues of $7.2 million during the three months ended September 30, 2019, as compared to $4.2 million during the three months ended September 30, 2018, an increase of $3.0 million, or approximately 71%. The increase is mainly due to increased sales and production throughput of our immunoglobulin products generated by our Boca Facility manufacturing operations in 2019 totaling $3.9 million, partially offset by a $0.9 million decrease in plasma revenues resulting from the transfer of two of our plasma collection facilities to BPC on January 1, 2019 in connection with the BTBU acquisition. All immunoglobulin production revenues derived from contract manufacturing is related to an agreement we assumed from BPC as part of the BTBU acquisition. While we expect to generate additional revenue under this contract in the fourth quarter of 2019, this contract will expire at the end of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Cost of product revenue was $7.9 million for the three months ended September 30, 2019, as compared to $9.2 million for the three months ended September 30, 2018, a decrease of $1.2 million, and reflects a reduction in underabsorbed manufacturing expenses at the Boca Facility in the amount of $2.0 million related to increased production during the third quarter in preparation for the commercial re-launch of BIVIGAM, partially offset by cost of product revenue for contract manufacturing of $0.7 million in 2019 with no comparable amount for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R&amp;D expenses totaled $0.5 million for the three months ended September 30, 2019, as compared to $1.0 million for the three months ended September 30, 2018. As a result of the approval of ASCENIV by the FDA on April 1, 2019, we no longer charge the RSV assay and other testing, storage and transportation costs for high-titer plasma used in the manufacture of ASCENIV to R&amp;D expense, but instead reflect those costs as part of the cost of the raw material plasma.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Plasma center operating expenses were $0.5 million for the three months ended September 30, 2019, as compared to $2.0 million for the three months ended September 30, 2018.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decrease in plasma center operating expenses is attributable to the transfer of two of our plasma collection centers to BPC on January 1, 2019, as well as increased plasma collections at our Kennesaw, GA plasma collection facility, which are recorded as inventory.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September 30, 2019 and 2018.</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3" w:name="page34"/>
    <w:bookmarkEnd w:id="3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Selling, general and administrative (“SG&amp;A”) expenses were $7.2 million for the three months ended September 30, 2019, an increase of $1.5 million from the three months ended September 30, 2018. The increase was primarily due to increases in professional services associated with the BIVIGAM and ASCENIV product launches as well as enhancements to our information technology and customer support infrastructure necessary to support our commercialization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Our operating loss was $9.1 million for the third quarter of 2019, as compared to $13.8 million for the third quarter of 2018. The $4.7 million decrease in operating loss was mainly due to increased revenues in 2019 and to the decreases in plasma center operating expenses and R&amp;D expenses, partially offset by higher SG&amp;A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Interest expense was $2.6 million for the three months ended September 30, 2019, as compared to $1.4 million for the three months ended September 30, 2018. In February of 2019, we refinanced our senior debt, resulting in an increase in the outstanding principal balance from $30 million to $45 million (see “Liquidity and Capital Resources”), and in May of 2019 we borrowed an additional $27.5 million, resulting in higher interest expense for the period. These additional borrowings will also result in increased interest expense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net loss was $11.4 million for the three months ended September 30, 2019, as compared to $15.1 million for the three months ended September 30, 2018. The reduction in net loss of $3.7 million was the result of the lower operating loss for the quarter, partially offset by higher interest expense.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2019 Compared to Nine Months Ended September 30, 2018</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nine months ended September 30, 2019 compared to the nine months ended September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7"/>
          </w:tcPr>
          <w:p>
            <w:pPr>
              <w:jc w:val="right"/>
              <w:ind w:right="1010"/>
              <w:spacing w:after="0"/>
              <w:rPr>
                <w:sz w:val="20"/>
                <w:szCs w:val="20"/>
                <w:color w:val="auto"/>
              </w:rPr>
            </w:pPr>
            <w:r>
              <w:rPr>
                <w:rFonts w:ascii="Arial" w:cs="Arial" w:eastAsia="Arial" w:hAnsi="Arial"/>
                <w:sz w:val="18"/>
                <w:szCs w:val="18"/>
                <w:b w:val="1"/>
                <w:bCs w:val="1"/>
                <w:color w:val="auto"/>
              </w:rPr>
              <w:t>Nine Months Ended September 30,</w:t>
            </w:r>
          </w:p>
        </w:tc>
      </w:tr>
      <w:tr>
        <w:trPr>
          <w:trHeight w:val="191"/>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Increase</w:t>
            </w:r>
          </w:p>
        </w:tc>
      </w:tr>
      <w:tr>
        <w:trPr>
          <w:trHeight w:val="234"/>
        </w:trPr>
        <w:tc>
          <w:tcPr>
            <w:tcW w:w="65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(Decrease)</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17,312,034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12,928,866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4,383,168</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27,812,635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31,052,519</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(3,239,884)</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(10,500,601)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(18,123,653)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7,623,052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1,879,025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3,008,816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(1,129,791)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1,705,498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5,545,240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(3,839,742)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633,704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633,704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18,878,690</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16,429,871</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2,448,819</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(33,597,518)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(43,741,284)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10,143,766</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(6,262,489)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(4,084,815)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(2,177,674)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(9,962,495)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11,527,421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11,527,421</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576,795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120,641</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456,154</w:t>
            </w: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(37,718,286)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(47,705,458)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9,987,172</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recorded total revenues of $17.3 million during the nine months ended September 30, 2019, as compared to $12.9 million during the nine months ended September 30, 2018, an increase of $4.4 million, or approximately 34%. The increase is mainly due to increased sales and production throughput of our immunoglobulin products generated by our Boca Facility manufacturing operations in 2019 partially offset by a decrease in plasma revenues resulting from the transfer of two of our plasma collection facilities to BPC on January 1,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4" w:name="page35"/>
    <w:bookmarkEnd w:id="3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Cost of product revenue was $27.8 million for the nine months ended September 30, 2019, as compared to $31.1 million for the nine months ended September 30, 2018, a decrease of approximately $3.2 million. During the first nine months of 2018, we produced three lots of ASCENIV and one lot of BIVIGAM, which we charged to expense in the amount of $4.0 million as these products had yet to be approved by the FDA at the time the lots were produced, as compared to one lot of BIVIGAM charged to expense in 2019 in the amount of $0.6 million. In addition, facilities remediation costs decreased by $1.1 million and underabsorbed manufacturing expenses decreased by $0.6 million in 2019 compared to 2018. These amounts were partially offset by cost of product revenue related to contract manufacturing in the amount of $1.9 million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R&amp;D expenses totaled $1.9 million for the nine months ended September 30, 2019, as compared to $3.0 million for the nine months ended September 30, 2018. The decrease is the result of the approval of testing, storage and transportation costs for high-titer plasma used in the manufacture of ASCENIV no longer being recorded to R&amp;D expense as of April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Plasma center operating expenses were $1.7 million for the nine months ended September 30, 2019, as compared to $5.5 million for the nine months ended September 30, 2018. The decrease in plasma center operating expenses is attributable to the transfer of two of our plasma collection centers to BPC on January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$0.6 million for the nine months ended September 30,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SG&amp;A expenses were $18.9 million for the nine months ended September 30, 2019, an increase of approximately $2.4 million from the nine months ended September 30, 2018. The increase was primarily due to increases in professional services associated with the BIVIGAM and ASCENIV product launches as well as enhancements to our information technology and customer support infrastructure necessary to support our commercialization plans and increases in employee related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Our operating loss was $33.6 million for the first nine months of 2019, as compared to $43.7 million for the first nine months of 2018. The decrease in operating loss was mainly due to the increases in revenue and decreases in cost of product revenue, plasma center operating expenses and R&amp;D expenses, partially offset by higher SG&amp;A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Interest expense was $6.3 million for the nine months ended September 30, 2019, as compared to $4.1 million for the nine months ended September 30, 2018. In February of 2019, we refinanced our senior debt, resulting in an increase in the outstanding principal balance from $30 million to $45 million (see “Liquidity and Capital Resources”), and in May of 2019 we borrowed an additional $27.5 million, resulting in higher interest expense for the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connection with the foregoing refinancing of our senior credit facility, we incurred a loss on the extinguishment debt for the retirement of our previously existing credit facility, consisting of a $6.5 million prepayment penalty, and the write-off of $3.5 million of unamortized debt discount related to the previous credit facility.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Transfer of Plasma Center Assets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 part of the purchase price for the Biotest Assets, we agreed to transfer our Marietta, GA and Norcross, GA plasma collection centers to BPC effective January 1, 2019. We had estimated the combined fair value of the two facilities to be $12.6 million, and we recorded a liability in our financial statements for this amount as of the date of the Biotest Transaction. On January 1, 2019, the two plasma collection facilities were transferred to BPC and we recorded a gain on this transfer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net loss was $37.7 million for the nine months ended September 30, 2019, as compared to $47.7 million for the nine months ended September 30, 2018. The reduction in net loss of $10.0 million was the result of the lower operating loss for the period and the gain on the transfer of plasma center assets, largely offset by the loss on extinguishment of debt and the increase in interest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of September 30, 2019, we had working capital of $82.2 million, including cash and cash equivalents of $48.0 million, and stockholders’ equity of $36.1 million, as compared to working capital of $34.9 million, including cash and cash equivalents of $22.8 million, and stockholders’ equity of $19.8 million as of December 31, 2018. We have had limited revenue from operations, incurred an accumulated deficit of $254.2 million since inception, had negative cash flows from operations of $56.5 million and $43.9 million for the nine months ended September 30, 2019 and 2018, respectively, and had negative cash flows from operations of $62.7 million and $37.3 million for the years ended December 31, 2018 and 2017, respectively. We have funded our operations to date primarily from the sale of our equity and debt securities, acquisition proceeds from the Biotest Transaction and loans from our primary stockholders.</w:t>
      </w:r>
    </w:p>
    <w:p>
      <w:pPr>
        <w:spacing w:after="0" w:line="18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Based upon our current projected revenue and expenditures, including capital expenditures and continued implementation of our commercialization and expansion activities, we currently believe that our cash, cash equivalents, projected revenue and accounts receivable, along with the additional $12.5 million we are able to access under our senior credit facility, will be sufficient to fund our operations, as currently conducted, into the fourth quarter of 2020. In order to have sufficient cash to fund our operations thereafter and to continue as a going concern, we will need to raise additional capital before the end of the fourth quarter of 2020. These estimates may change based upon the success of our commercial manufacturing ramp-up activities, the acceptability and reimbursement of BIVIGAM and ASCENIV by physicians, patients or payers, and the various financing options that may be available to us. Other than the $12.5 million commitment currently available under our senior credit facility as discussed below, we currently have no firm commitments for additional financing, and there can be no assurances that we will be able to secure additional financing on terms that are acceptable to us, or at all. Furthermore, if our assumptions underlying our estimated expenses and revenues are incorrect, we may have to raise additional capital sooner than currently anticipated.</w:t>
      </w:r>
    </w:p>
    <w:p>
      <w:pPr>
        <w:spacing w:after="0" w:line="188"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Our long-term liquidity depends upon our ability to raise additional capital, fund capacity expansion and commercial programs and generate sufficient revenues from our products, several of which have only recently achieved commercial status, to cover our operating expenses and meet our obligations on a timely basis. We believe that we will continue to incur losses and negative cash flows from operating activities through the foreseeable future.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 Due to numerous risks and uncertainties associated with FDA approvals related to the commercialization of our products, ongoing remediation, compliance requirements and capacity expansion efforts at the Boca Facility,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As such, these factors raise substantial doubt about the Company’s ability to continue as a going concern.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6" w:name="page37"/>
    <w:bookmarkEnd w:id="3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We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our stockholders and, in such event, the market value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May 21, 2019, we issued 12,937,500 shares of our Common Stock in an underwritten public offering for gross proceeds of $51.75 million, before deducting underwriting discounts and commissions and other offering expenses payable by us. The net proceeds of $48.4 million from the offering have been and will continue to be used (i) to support the commercial launch of ASCENIV, which commenced in October 2019, (ii) for the commercial re-launch of BIVIGAM, (iii) to expand the manufacturing capacity of the Boca Facility, (iv) for the procurement of raw materials for the manufacturing of ASCENIV and BIVIGAM, (v) to expand our plasma collection facility network; and (vi) for general corporate purposes and other capital expenditures.</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February 11, 2019 (the “Perceptive Closing Date”), we and all of our subsidiaries entered into a Credit Agreement and Guaranty (the “Perceptive Credit Agreement”) with Perceptive Credit Holdings II, LP, as the lender and administrative agent (“Perceptive”). The Perceptive Credit Agreement provides for a senior secured term loan facility in a principal amount of up to $72.5 million (the “Perceptive Credit Facility”), comprised of (i) a term loan made on the Perceptive Closing Date in the principal amount of $45.0 million, as evidenced by our issuance of a promissory note (the “Perceptive Tranche I Note”) in favor of Perceptive on the Perceptive Closing Date (the “Perceptive Tranche I Loan”), and (ii) an additional term loan in the principal amount of up to $27.5 million, but no less than $10.0 million (the “Perceptive Tranche II Loan” and, together with the Perceptive Tranche I Loan, the “Initial Perceptive Loans”), which Perceptive Tranche II Loan was subject to the satisfaction of certain conditions. The Perceptive Credit Facility has a maturity date of March 1, 2022 (the “Perceptive Maturity Date”), subject to acceleration pursuant to the Perceptive Credit Agreement, including upon an Event of Default (as defined in the Perceptive Credit Agreement).</w:t>
      </w:r>
    </w:p>
    <w:p>
      <w:pPr>
        <w:spacing w:after="0" w:line="18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the Perceptive Closing Date, we used $30.0 million of the Perceptive Tranche I Loan to terminate and pay in full all of the outstanding obligations under our previously existing credit agreement with Marathon Healthcare Finance Fund, L.P. (“Marathon”) (the “Marathon Credit Facility”) that we entered into in October 2017. We also used proceeds from the Perceptive Tranche I Loan to (i) pay a deferred facility fee to Marathon of $2.8 million, (ii) pay a prepayment penalty to Marathon of $6.5 million, (iii) pay outstanding accrued interest to Marathon of $0.7 million and (iv) pay certain fees and expenses incurred in connection with the Perceptive Credit Facility of approximately $1.5 million. In addition, on the Perceptive Closing Date, Marathon released to us the $4.0 million of cash held in a debt service reserve account, per the terms of the Marathon Credit Facility.</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consideration for the Perceptive Credit Agreement, we issued to Perceptive, on the Perceptive Closing Date, a warrant to purchase 1,360,000 shares of our Common Stock (the “Perceptive Warrant”). The Perceptive Warrant has an exercise price equal to $3.28 per share, which is equal to the trailing 10-day volume weighted average price (“VWAP”) of our Common Stock on the business day immediately prior to the Perceptive Closing Date multiplied by 1.15. We valued the Perceptive Warrant at $2.7 million as of the Perceptive Closing Date, and it has an expiration date of February 11, 2029.</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May 3, 2019, as a result of the FDA’s approval of ASCENIV, we accessed the additional $27.5 million available under the Perceptive Credit Facility through the issuance of a promissory note evidencing the Perceptive Tranche II Loan. The proceeds from the Perceptive Tranche II Loan were used to support the commercial launches of ASCENIV and BIVIGAM, including the procurement of raw material inventory, and for working capital and general corporate purposes.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7" w:name="page38"/>
    <w:bookmarkEnd w:id="3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Also on May 3, 2019, we and Perceptive entered into an amendment to the Perceptive Credit Agreement (the “Perceptive Amendment”) whereby Perceptive agreed to an additional commitment under the Perceptive Credit Facility in the principal amount of up to $12.5 million (the “Perceptive Tranche</w:t>
      </w:r>
    </w:p>
    <w:p>
      <w:pPr>
        <w:ind w:right="40" w:firstLine="8"/>
        <w:spacing w:after="0" w:line="268" w:lineRule="auto"/>
        <w:tabs>
          <w:tab w:leader="none" w:pos="2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Loan” and, together with the Initial Perceptive Loans, the “Perceptive Loans”). The Perceptive Tranche III Loan was subject to the satisfaction of certain conditions, including, but not limited to, FDA approval of the BIVIGAM PAS, which we received on May 9, 2019, and no Material Adverse Changes (as defined in the Perceptive Credit Agreement) having occurred since December 31, 2018; provided that the Perceptive Tranche III Loan would not be made later than March 31, 2020. The Perceptive Tranche III Loan has terms that are substantially identical to those of the Initial Perceptive Loans. The Perceptive Tranche III Loan required us to pay certain proceeds of the Perceptive Tranche II Loan to Perceptive on May 3, 2019 as a facility fee. In addition, we issued a warrant (the “Perceptive Tranche III Warrant” and, together with the Perceptive Warrant, the “Perceptive Warrants”) to purchase 250,000 shares of our Common Stock to Perceptive with an exercise price equal to $4.64 per share, which represents the trailing 10-day VWAP of our Common Stock as of May 2, 2019. The Perceptive Tranche III Warrant has an expiration date of May 3, 2029. The Perceptive Warrants were issued in reliance on an exemption from registration under Section 4(2) of the Securities Act.</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Borrowings under the Perceptive Credit Agreement bear interest at a rate per annum equal to 7.5% plus the greater of (i) one-month LIBOR and (ii) 3.5%; provided, however, that upon, and during the continuance of, an Event of Default, the interest rate will automatically increase by an additional 400 basis points. Under the terms of the Perceptive Credit Facility, we pay accrued interest to Perceptive on the last day of each month of approximately $0.7 million per month. The rate of interest in effect as of the Perceptive Closing Date and as of September 30, 2019 was 11.0%.</w:t>
      </w:r>
    </w:p>
    <w:p>
      <w:pPr>
        <w:spacing w:after="0" w:line="17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the Perceptive Maturity Date, we will pay Perceptive the entire outstanding principal amount underlying the Perceptive Loans and any accrued and unpaid interest thereon. Prior to the Perceptive Maturity Date, there are no scheduled principal payments on the Perceptive Loans. We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6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 to, among other things and subject to certain exceptions contained in the Perceptive Credit Agreement, incur new indebtedness; create liens on assets; engage in certain fundamental corporate changes, such as mergers or acquisitions, or changes to our business activities; make certain Investments or Restricted Payments (each as defined in the Perceptive Credit Agreement); change our fiscal year; pay dividends; repay other certain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ending June 30, 2019 to $55.0 million for the fiscal quarter ending December 31, 2021. At September 30, 2019, we were in compliance with all of the covenants under the Perceptive Credit Facility.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June 18, 2018, we completed an underwritten public offering of 9,623,430 shares of our Common Stock for gross proceeds of $46.0 million. We received net proceeds from this offering, after underwriters’ commissions and other offering expenses, of $42.9 million. The net proceeds were used (i) for continued remediation and ongoing improvement and enhancements at the Boca Facility, (ii) to submit the PAS for, and re-launch of, BIVIGAM, (iii) to resubmit the RI-002 BLA, (iv) for expenses associated with obtaining with FDA approval of our Kennesaw, GA plasma collection facility; and (v) for general corporate purposes, including capital expenditures.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tcPr>
          <w:p>
            <w:pPr>
              <w:ind w:left="6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(56,541,468)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(43,885,558)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(2,217,542)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(1,276,594)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80,010,310</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42,922,067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21,251,300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(2,240,085)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including restricted cash - beginning of period</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48,607,574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 end of period</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48,006,152</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46,367,489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Cash used in operations for the nine months ended September 30, 2019 was $56.5 million, an increase of $12.7 million from the same period of a year ago, mainly due to increases in inventory and accounts receivable. The following table illustrates the primary components of our cash flows from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8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(37,718,286)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(47,705,458)</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3,518,792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4,864,998</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(5,923,040)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(21,870,736)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(1,249,253)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(80,295)</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4,385,874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359,813</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1,021,847</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171,277</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(56,541,468)</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(43,885,558)</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Net cash used in investing activities for the nine months ended September 30, 2019 and 2018 was $2.2 million and $1.3 million, respectively, consisting of capital expenditures at the Boca Facility. Although we have no specific material commitments for capital expenditures as of September 30, 2019, we expect our total capital expenditures will be between $1.0 million and $3.0 million for the remainder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Cash provided by financing activities during the nine months ended September 30, 2019 was $80.0 million, which is comprised of the net proceeds received from our May 2019 equity offering in the amount of $48.4 million and the $31.6 million of net proceeds received from the refinancing of our senior credit facility and the subsequent Perceptive Tranche II Loan. Net cash provided by financing activities for the nine months ended September 30, 2018 of $42.9 million reflects the net proceeds received from our June 2018 equity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sales, revenues or net loss for the nine months ended September 30, 2019 or in 2018 or 2017.</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September 30, 2019. Based on this evaluation, our principal executive officer and our principal financial officer concluded that our disclosure controls and procedures as of September 30, 2019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2019 that have materially affected, or are reasonably likely to materially affect, our internal control over financial reporting.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Described below are various significant risks and uncertainties that may affect our business. These risks and uncertainties are not the only ones we face.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 date, we have generated a substantial portion of our revenues from the sale of plasma by our plasma collections facilities. Following completion of the Biotest Transaction, we began generating revenues from the sale of Nabi-HB, and we recorded additional revenue in connection with a contract manufacturing agreement. On April 1, 2019, the FDA approved ASCENIV, formerly referred to as RI-002, and the first commercial sales of this product took place in October 2019. On May 9, 2019 we received approval from the FDA for BIVIGAM, and the commercial re-launch of this product commenced in August 2019.</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long-term liquidity will depend upon our ability to raise additional capital, fund and successfully implement our research and development and commercial programs, establish and build out a commercial sales force and commercial infrastructure and meet our ongoing obligations. If we are unable to successfully raise additional capital before the end of the fourth quarter of 2020, we will likely not have sufficient cash flow and liquidity to fund our business operations as we currently operate, forcing us to potentially curtail our activities and significantly reduce or cease operations.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Based upon our projected revenue and expenditures for fiscal 2019, including continued implementation of our commercialization and expansion activities and certain other assumptions, we currently believe that our cash, cash equivalents, projected revenue and accounts receivable, along with the additional funds we are able to draw down through our existing senior credit facility (see “Management’s Discussion and Analysis of Financial Condition and Results of Operations”), will be sufficient to fund our operations, as currently conducted, into the fourth quarter of 2020. In order to have sufficient cash to fund our operations thereafter and to continue as a going concern, we will need to raise additional equity or debt financing before the end of the fourth quarter of 2020. This timeframe may change based upon how quickly we are able to execute on our ADMA BioManufacturing operations, commercial manufacturing ramp-up activities and the various financing options we are exploring. Other than the additional $12.5 million that became available under the Perceptive Credit Facility as a result of the FDA approval of BIVIGAM, we currently do not have arrangements to obtain additional financing. Any such financing could be difficult to obtain or only available on unattractive terms and could result in significant dilution to stockholders. Failure to secure necessary financing in a timely manner and on favorable terms could have a material adverse effect on our business plan and financial performance and could delay, discontinue or prevent product development, clinical trials, commercialization activities or the approval of any of our potential products. In addition, we could be forced to reduce or forgo sales and marketing efforts and forgo attractive business opportunities.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Failure to timely and effectively remediate and close out the outstanding November 2014 warning letter (the “Warning Letter”) that had been issued by the FDA to BPC related to certain compliance and other inspection issues and deficiencies identified at the Boca Facility will have a material adverse effect on our business. Failure of the FDA to adhere to its stated timelines in the Code of Federal Regulations, statements of internal policy or review timing goals, as well as any potential government shut-downs or unforeseen government office closings, may affect our ability to resolve the Warning Letter and other inspection and review issues within estimated timelines described.</w:t>
      </w:r>
    </w:p>
    <w:p>
      <w:pPr>
        <w:spacing w:after="0" w:line="17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Prior to the closing of the Biotest Transaction, BTBU was our third-party manufacturer for ASCENIV, formerly referred to as RI-002. In response to our BLA submission for RI-002 in 2015 (the “RI-002 BLA”), in July 2016 the FDA issued a CRL for RI-002 (the “RI-002 CRL”). The RI-002 CRL did not specify or request the need for any addition clinical trials or data; however, the RI-002 CRL reaffirmed the issues set forth in the Warning Letter issued to Biotest relating to inspection issues identified at the Boca Facility. The FDA identified in the RI-002 CRL, among other things, certain outstanding inspection issues and deficiencies related to CMC and Good Manufacturing Practices (“GMP”) at the Boca Facility and at certain of our third-party vendors, and requested documentation of corrections for a number of these issues. The FDA indicated in the RI-002 CRL that it could not grant final approval of our RI-002 BLA until, among other things, these deficiencies are resolved. Following the completion of the Biotest Transaction, we gained control over the regulatory, quality, general operations and drug substance manufacturing process at the Boca Facility, and our highest priority has been to remediate the outstanding compliance issues at the Boca Facility as indicated in the Warning Letter. We worked with a consulting firm consisting of quality management systems and biologics production subject matter experts with extensive experience in remediating compliance and inspection issues related to quality management systems that manages a robust team of subject matter experts in plasma derived products and biologic drugs to assist us in addressing all identified CMC and current good manufacturing practice (“cGMP”) issues and deficiencies. Although we received FDA approval of our RI-002 BLA on April 1, 2019, we have not received a “Warning Letter close-out letter” from the FDA. We believe that we have successfully closed out the April 2018 FDA inspection of the Boca Facility, however there can be no assurances as to the timing by which the FDA may make any post-approval determinations concerning our compliance status. There can also be no assurances that our ongoing efforts to remediate the Warning Letter and other inspection issues and deficiencies at the Boca Facility have been effective or whether the FDA will accept these efforts. Failure to timely and fully remediate the issues identified in the Warning Letter and other inspection issues and deficiencies would have a material adverse effect on our business (including the ability to timely commercialize our products), prospects, financial condition and results of operations. Additionally, we are unable to control the timing of FDA inspections, responses, meeting requests, teleconference requests, requests for clarifications and similar regulatory communications as well as whether or not the FDA will change its requirements, guidance or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history of losses and expect to incur substantial losses and negative operating cash flow for the foreseeable future, and we may never achieve or maintain profitability. For the years ended December 31, 2018 and 2017, we incurred net losses of $65.7 million and $43.8 million, respectively, and for the nine months ended September 30, 2019 and 2018, we incurred net losses of $37.7 million and $47.7 million, respectively. From our inception in 2004 through September 30, 2019, we have incurred an accumulated deficit of $254.2 million. Even if we succeed in developing and commercializing one or more of our products and product candidates, we expect to incur substantial losses for the foreseeable future and may never become profitable. We also expect to continue to incur significant operating and capital expenditures and anticipate that our operating expenses will increase substantially in the foreseeable future as we:</w:t>
      </w:r>
    </w:p>
    <w:p>
      <w:pPr>
        <w:spacing w:after="0" w:line="18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expect to experience negative cash flows for the foreseeable future as we fund our operating losses and capital expenditures. 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Although our financial statements have been prepared on a going concern basis, we must raise additional capital before the end of the fourth quarter of 2020 to fund our operations in order to continue as a going concern.</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CohnReznick LLP, our independent registered public accounting firm, has included an explanatory paragraph in their opinion that accompanies our audited consolidated financial statements as of and for the year ended December 31, 2018, indicating that our current liquidity position and history of losses raise substantial doubt about our ability to continue as a going concern. If we are unable to improve our liquidity position we may not be able to continue as a going concern. If we are unable to continue as a going concern, we may have to liquidate our assets and may receive less than the value at which those assets are carried on our financial statements. We may also be forced to make reductions in spending, including delaying or curtailing our clinical development, trials or commercialization efforts, or seek to extend payment terms with our vendors and creditors. Our ability to raise or borrow the capital needed to improve our financial condition may be hindered by a variety of factors, including market conditions and the availability of such financing on acceptable terms, if at all. If we are unable to obtain sufficient funding, our business, prospects, financial condition and results of operations will be materially and adversely affected and we may be unable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our security holders to suffer the loss of all or a substantial portion of their investment.</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anticipate that our principal sources of liquidity will only be sufficient to fund our activities, as currently conducted, into the fourth quarter of 2020. In order to have sufficient cash to fund our operations thereafter and to continue as a going concern, we will need to raise additional equity or debt financing before the end of the fourth quarter of 2020. This time frame may change based upon how quickly we are able to execute on our quality management systems’ remediation plans for the ADMA BioManufacturing operations, commercial manufacturing ramp-up activities and the various financing options we are exploring. In order to have sufficient cash to fund our operations thereafter, we will need to raise additional equity or debt capital, and we cannot provide any assurance that we will be successful in doing so. If our assumptions underlying our estimated expenses prove to be wrong, we may have to raise additional capital sooner than the fourth quarter of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to base an investment decision.</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not demonstrated an ability to perform the functions necessary for the successful commercialization of our FDA-approved products. The successful development and commercialization of ASCENIV, BIVIGAM or any product candidate will require us or our third party service providers to perform a variety of functions, including:</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undertaking product development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Formulating, manufacturing and fill/finishing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conducting sales and marketing activities.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operations thus far provide a limited basis for you to assess our ability to commercialize our FDA-approved products and the advisability of investing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operations, including our headquarters located in Ramsey, NJ, the Boca Facility and our Kennesaw, GA plasma collection facility, are vulnerable to interruption by fire, weather related events such as hurricanes, wind and rain, other acts of God, electric power loss, telecommunications failure, equipment failure and breakdown, human error, employee issues, product liability claims and events beyond our control. While we maintain several insurance policies with reputable carriers, which we believe are in acceptable amounts and contain market terms common within the industry which provide adequate coverage for a variety of these risks, including replacing or rebuilding a substantial part of our facilities, these policies are subject to the insurance carriers’ final determination of compensation to us.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Furthermore, failure can occur at any stage of the process, and we could encounter problems that cause us to abandon our product development programs and related INDs or biologics license applications, or to repeat clinical trials. The commencement and completion of clinical trials for any current or future development product candidate may be delayed by several factors, including:</w:t>
      </w:r>
    </w:p>
    <w:p>
      <w:pPr>
        <w:spacing w:after="0" w:line="1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4" w:name="page45"/>
    <w:bookmarkEnd w:id="4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78"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the necessary U.S. or worldwide regulatory approvals to commercialize a product candidate, we will not be able to sell that product candidate, which would make it difficult for us to recover the costs of researching and developing such product candidate.</w:t>
      </w:r>
    </w:p>
    <w:p>
      <w:pPr>
        <w:spacing w:after="0" w:line="1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we are not be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There are numerous FDA personnel assigned to review different aspects of a BLA, and uncertainties can be presented by their ability to exercise judgment and discretion during the review process.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U.S.</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Although we have received approval from the FDA to market or seek approval for ASCENIV for PIDD, our ability to market or seek approval for ASCENIV for alternative indications could be limited, unless additional clinical trials are conducted successfully and the FDA approves a BLA or other required submission for review.</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for PIDD, we cannot be sure whether we will be able to obtain FDA approval for any desired future indications for ASCENIV.</w:t>
      </w:r>
    </w:p>
    <w:p>
      <w:pPr>
        <w:spacing w:after="0" w:line="18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Although recent court decisions suggest that certain off-label communications, such as truthful and non-misleading speech, may be protected under the First Amendment, the scope of any such protection is unclear, and there are still significant risks in this area as it is unclear how these court decisions will impact the FDA’s enforcement practices, and there is likely to be substantial disagreement and difference of opinion regarding whether any particular statement is truthful and not misleading. Furthermore, there are still significant risks in this area in part due to potential False Claims Act exposure. Moreover, while we intend to promote our products consistent with what we believe to be the approved indication for our drugs, the FDA may disagree.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With the approval of ASCENIV, we plan to commercialize this product, while also continuing our research and development activities. There can be no assurance that we will be able to successfully manage the balance of our research and development operations with our planned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ten percent of the total donor collection samples we test. 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6" w:name="page47"/>
    <w:bookmarkEnd w:id="4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and test products and product candidates, and such parties are, to some extent, outside of our control.</w:t>
      </w:r>
    </w:p>
    <w:p>
      <w:pPr>
        <w:spacing w:after="0" w:line="17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depend on independent investigators and collaborators, such as universities and medical institutions, contract laboratories, clinical research organizations, contract manufacturers, contract fill/finishers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Historically, a single customer or a few customers have accounted for a significant amount of our total revenue and the loss of any of these customers could have a material adverse effect on our business, results of operations and financial condition.</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Historically, a significant amount of our total revenue is attributable to a single customer, BPC. For the year ended December 31, 2018, BPC, McKesson and AmerisourceBergen represented 56%, 16% and 15%, respectively, of our total revenue. For the nine months ended September 30, 2019, four customers represented an aggregate of 86% of our consolidated revenues, with Biolife, Sanofi, McKesson and AmerisourceBergen representing approximately 35%, 29%, 12% and 10%, respectively, of our consolidated revenues.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The initial term of our Amended and Restated Plasma Supply Agreement with BPC, pursuant to which we supplied BPC with normal source plasma, expired by its terms on December 31, 2018 and was not renewed. Factors that could influence our relationships with our customers include, among other things:</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Additionally, an adverse change in the financial condition of Biolife, McKesson, Sanofi or AmerisourceBergen could have a material adverse effect on our business and results of operations.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will depend on a number of factors including:</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failure of our current and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Industry and other market data used in our periodic reports filed with the SEC and our other materials, including those undertaken by us or our engaged consultants, may not prove to be representative of current and future market conditions or future results.</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periodic reports filed with the SEC and our other materials include statistical and other industry and market data that we obtained from industry publications and research, surveys and studies conducted by third parties and surveys and studies we commissioned regarding the market potential for our current products and product candidates. Although we believe that such information has been obtained from sources believed to be reliable, neither the sources of such data, nor we, can guarantee the accuracy or completeness of such information. While we believe these industry publications and third-party research, surveys and studies are reliable, we have not independently verified such data. With respect to the information from third-party consultants, the results of this data represent the independent consultants’ own methodologies, assumptions, research, analysis, projections, estimates, composition of respondent pool, presentation of data and adjustments, each of which may ultimately prove to be incorrect, and cause actual results and market viability to differ materially from those presented in any such report or other materials. Readers should not place undue reliance on this information.</w:t>
      </w:r>
    </w:p>
    <w:p>
      <w:pPr>
        <w:spacing w:after="0" w:line="16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current product development portfolio consists primarily of label expansion activities for Nabi-HB, BIVIGAM and ASCENIV.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commercialization of ASCENIV, as well as the revenue we may generate from the sale of Nabi-HB, BIVIGAM, contract manufacturing, and intermediates and plasma attributable to the operations of ADMA Bio Centers, to support our operations.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ADMA Bio 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 care providers engaging in standard transactions (insurance/health plan claims and encounters, payment and remittance advice, claims status, eligibility, enrollment/disenrollment, referrals and authorizations, coordination of benefits and premium payments), and health 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Department of Health and Human Services Office of Civil Rights (“OCR”) has increased its focus on compliance and continues to train state attorneys general for enforcement purposes. OCR has recently increased both its efforts to audit HIPAA compliance and its level of enforcement, with one recent penalty exceeding $5 million.</w:t>
      </w:r>
    </w:p>
    <w:p>
      <w:pPr>
        <w:spacing w:after="0" w:line="19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 We could be subject to enforcement action and litigation exposure if we fail to adhere to these data privacy and security laws.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officially resolve or receive a final close-out letter with respect to the Warning Letter issued to Biotest’s License #1792 for the Boca Facility even though ADMA operates under its own License #2019.</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may not be able to officially close-out the Warning Letter issued to Biotest under their license #1792 related to the Boca Facility, even though ADMA was issued its own FDA license #2019 in July 2019. As part of the remediation of the Warning Letter, in December 2016 BTBU temporarily suspended the production of BIVIGAM in order to focus on the completion of planned improvements to the manufacturing process. As a result, BIVIGAM was not available for sale or distribution throughout fiscal 2017. Failure to address the underlying concerns at the Boca Facility that resulted in the Warning Letter and the CRL in July 2016 that identified deficiencies and inspection issues related to certain of our third-party contract manufacturers, including BPC, and provide requested documentation of corrections for a number of these issues, could disrupt our business operations and the timing of our commercialization efforts and may have a material adverse effect on our financial condition and operating results. In April 2018, the FDA inspected the Boca Facility and in July 2018 our FDA status resulted improved from OAI to VAI and this inspection of the Boca Facility has been successfully closed-out as indicated on the FDA’s website inspection database. In April 2019, the FDA approved ASCENIV and in May 2019 the FDA approved BIVIGAM, and we anticipate having these products available for commercial launch during the second half of 2019. On July 2, 2019 the FDA notified us that the licenses for BIVIGAM and Nabi-HB have been revoked from BPC, U.S. License No. 1792 and transferred and issued to our U.S. License No. 2019. However, the FDA has yet to inform us that the outstanding issues set forth in the Warning Letter have been officially resolved, and there is no assurance and no definitive timeline as to when or if the Warning Letter will be officially resolved by the FDA.</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neither be successful in integrating the Biotest Assets into our business nor realize the strategic and financial benefits currently anticipated from the Biotest Transaction.</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Biotest Transaction involves the integration of two businesses that previously have operated independently with principal offices in two distinct locations. We are expending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 There is also uncertainty as to whether the combined business will be able to operate at a profitable level in the future given the relatively small size of the Biotest Assets and the competitive environment in which we operate.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completing the Biotest Transaction, we transferred assets that had historically generated substantially all of our revenue.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paid to acquire the Biotest Assets, we transferred to BPC ownership of two of our licensed plasma collection facilities in the U.S. and certain related assets and liabilities. These plasma collection facilities, which were transferred on January 1, 2019, had historically been the source of substantially all of our revenue. Plasma collection centers are expensive to construct, time-consuming and this industry is subject to market saturation and increasing competition from companies with substantially greater financial resources than us. Although we have completed construction of, and received FDA approval for our plasma collection facility in Kennesaw, GA, there can be no assurances that we will generate similar revenues as historically reported from the plasma collection facilities we transferred to BPC on January 1, 2019 or that we will successfully expand and build out our plasma center network.</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part of the consideration for the Biotest Transaction, we agreed to assume certain liabilities of BPC related to BTBU, which exposes us to liabilities that are not within our control and we cannot predict the extent to which these liabilities may arise in the future. Any liabilities that may arise could have a material adverse effect on our business, financial condition, results of operations and stock price. For example, we assumed a contract manufacturing agreement related to the fractionation of plasma provided by one of our third-party customers that includes certain minimum production requirements. If we are unable to meet our contractual obligations under this agreement, we may be liable for the payment of liquidated damages. If we are unable to resolve these issues, such failure could have a material adverse effect on us.</w:t>
      </w:r>
    </w:p>
    <w:p>
      <w:pPr>
        <w:spacing w:after="0" w:line="193"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Purchase Agreement contains indemnification undertakings by the parties thereto for certain losses, including, among other things, indemnification for any losses arising from breaches of its representations, warranties, covenants and agreements in the Purchase Agreement. In connection with the Biotest Transfer Agreement, we granted a full release to Biotest from any and all past, present or future indemnification claims arising under or in connection with the Purchase Agreement. Significant indemnification claims by BPC or its affiliates or breaches by BPC or its affiliates of any indemnity obligations which would have been owed to us under the Purchase Agreement prior to the release granted in the Biotest Transfer Agreement could have a material adverse effect on our business, financial condition, results of operations and stock price.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193"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addition, while the Purchase Agreement contains certain non-compete clauses, such clauses do not prohibit either the Biotest Guarantors (as defined therein)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were inadequate, then it could result in a material adverse effect on our business.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are or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Master Purchase Agreement with Biotest, dated as of January 21, 2017.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Perceptive Credit Agreement is subject to acceleration in specified circumstances, which may result in Perceptive taking possession and disposing of any collateral.</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May 3, 2019, we amended the Perceptive Credit Agreement which provides for a senior secured term loan facility in an aggregate amount of up to $85.0 million, comprised of (i) the Perceptive Tranche I Loan made on February 11, 2019 with an outstanding principal amount of $45.0 million, (ii) the Perceptive Tranche II Loan made on May 3, 2019 with an outstanding principal amount of $27.5 million, and (iii) the Perceptive Tranche III Loan in the principal amount of $12.5 million which has yet to be drawn down and is available until March 31, 2020, (together with the Perceptive Tranche I Term Loan and the Perceptive Tranche II Loan, the “Loans”). The Loans each have a maturity date of March 1, 2022, subject to acceleration pursuant to the Perceptive Credit Agreement, including upon an Event of Default (as defined in the Credit Agreement). The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Loans.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we move forward in clinical development we are also uncovering novel aspects of our products and are drafting patents to cover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inventions. We rely on a combination of patent rights, trade secrets and nondisclosure and non-competition agreements to protect our proprietary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and we will continue to do so. There can be no assurance that our patent, trade secret policies and practices or other agreements will adequately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our intellectual property. Our issued patents may be challenged, found to be over-broad or otherwise invalidated in subsequent proceedings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courts or the USPTO. Even if enforceable, we cannot provide any assurances that they will provide significant protection from competition. The processes,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and/or security measures we use to preserve the integrity and confidentiality of our data and trade secrets may be breached, and we may not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adequate remedies as a result of any such breaches. In addition, our trade secrets may otherwise become known or be independently discovered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competitors. There can be no assurance that the confidentiality, nondisclosure and non-competition agreements with employees, consultants and other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access to our proprietary information to protect our trade secrets, proprietary technology, processes and other proprietary rights, or any other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measures relating to such trade secrets, proprietary technology, processes and proprietary rights, will be adequate, will not be breached, that we will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adequate remedies for any breach, that others will not independently develop substantially equivalent proprietary information or that third parties will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gain access to our trade secrets or proprietary knowledge. To the extent that our consultants, contractors or collaborators use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owned by others in their work for us, disputes may arise as to the rights in related or resulting know-how and inventions.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640" w:firstLine="648"/>
        <w:spacing w:after="0" w:line="312"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Patent rights covering ASCENIV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not be able to operate our business without infringing third-party patents. Numerous U.S. and foreign patents and pending patent applications owned by third parties exist in fields that relate to the development and commercialization of immune globulins.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hire and retain a substantial number of qualified personnel, our ability to sustain and grow our business may be harmed.</w:t>
      </w:r>
    </w:p>
    <w:p>
      <w:pPr>
        <w:spacing w:after="0" w:line="2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4" w:name="page55"/>
    <w:bookmarkEnd w:id="5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b w:val="1"/>
          <w:bCs w:val="1"/>
          <w:i w:val="1"/>
          <w:iCs w:val="1"/>
          <w:color w:val="auto"/>
        </w:rPr>
        <w:t>We currently collect human blood plasma at our ADMA Bio Centers facility, and if we cannot maintain FDA approval for this facility or obtain FDA approval for additional facilities that we create or acquire rights to, we may be adversely affected and may not be able to sell or use this human blood plasma for future commercial purposes.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intend to maintain FDA approval of our ADMA Bio Centers collection facility in Kennesaw, GA for the collection of human blood plasma and we may seek other governmental and regulatory approvals for this facility. We also plan to grow through the creation and licensing of additional ADMA Bio Centers facilities in various regions of the U.S. Collection facilities are subject to FDA and potentially other governmental and regulatory inspections and extensive regulation, including compliance with current cGMP, FDA and other government approvals, as applicable. Failure to comply with applicable governmental regulations or to receive applicable approvals for our future facilities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8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currently operate under the Warning Letter due to issues identified by the FDA in their prior inspections while the Boca Facility was under BPC’s operational control. We engaged a leading consulting firm with extensive experience in remediating compliance and inspection issues related to quality management systems and which manages a robust team of subject matter experts in plasma derived products and biologic drugs to assist us in addressing all identified CMC and cGMP issues and deficiencies. We continue to work with the FDA to resolve the Warning Letter classification. Although we have improved our compliance status at the Boca Facility, 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liabilities and may be required to limit commercialization of our products in response to product liability lawsuits.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Federal False Claims Act, and any regulations promulgated under the authority of the preceding, may result in jail sentences, fines or exclusion from federal and state programs, as may be determined by Medicare, Medicaid and the Department of Health and Human Services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 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issued a proposed rule in February 2019, which aims to eliminate certain Anti-Kickback Statute safe harbor protection for drug rebates.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subject to this “Sunshine Act” and its implementing regulations to U.S.–licensed physicians and teaching hospitals, must be tracked and reported, and will be publicly disclosed. Such “applicable manufacturers” are also required to report certain ownership interests held by physicians and their immediate family members. In 2018, the Sunshine Act was extended to require tracking and reporting of payments and transfers of value to physician assistants, nurse practitioners, and other mid-level practitioners (with reporting requirements going into effect in 2022 for payments and transfers of value made in 2021).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3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 care laws, and mitigate potential liability in the event of noncompliance, regulatory authorities such as the U.S. Health and Human Services Department Office of Inspector General (the “OIG”)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5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Both before and after the approval of our products, our products, our operations, our facilities, our suppliers and our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7" w:name="page58"/>
    <w:bookmarkEnd w:id="5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regulatory review and approval process of governmental authorities is lengthy, expensive and uncertain. For example, in December 2016, BPC, the owner of BIVIGAM prior to the Biotest Transaction in June 2017, temporarily suspended the commercial production of BIVIGAM in order to focus on the completion of planned improvements to the manufacturing process. We resumed production of BIVIGAM utilizing our now FDA-approved IVIG manufacturing process with two conformance lots in the fourth quarter of 2017 and a third conformance lot in the first quarter of 2018. During the first half of 2018, we qualified and filled the BIVIGAM conformance batches and the product is on stability. In June 2018, we filed a drug substance PAS with the FDA for BIVIGAM to include the ADMA improvements for BIVIGAM and to seek FDA authorization which would enable us to resume commercial scale manufacturing and re-launch and commercialize this product. On December 19, 2018, we received the BIVIGAM CRL for our PAS submission for BIVIGAM drug substance. The BIVIGAM CRL requested certain additional information and clarifications relating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On May 9, 2019, we received FDA approval for our PAS for BIVIGAM.</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manufacturing processes against transmittable diseases.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human immunodeficiency virus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Kennesaw, GA plasma collection facility,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 Centers plasma collection facility. This strategy is dependent upon our ability to maintain a cGMP compliant environment in our plasma facility and to expand production and attract donors to our facility. There is no assurance that the FDA will inspect and license any of our unlicensed plasma collection facilities which we may, in the future, construct,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facility to more efficient production levels may be affected by changes in the economic environment and population in selected regions where ADMA Bio Centers operates its current or future plasma facilities, by the entry of competitive plasma centers into regions where ADMA Bio Centers operates such centers, by misjudging the demographic potential of individual regions where ADMA Bio Centers expects to expand production and attract new donors, by unexpected facility related challenges, or by unexpected management challenges at selected plasma facilities held by us from time to time.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4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the U.S. Department of Health and Human Services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the U.S. Department of Health and Human Services,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1" w:name="page62"/>
    <w:bookmarkEnd w:id="6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There have been repeated attempts by Congress to repeal or change the Healthcare Reform Law. Further, on January 20, 2017, the new administration signed an Executive Order directing federal agencies with authorities and responsibilities under the ACA to waive, defer, grant exemptions from, or delay the implementation of any provision of the Healthcare Reform Law that would impose a fiscal or regulatory burden on states, individuals, healthcare providers, health insurers, or manufacturers of pharmaceuticals or medical devices. More recently, the United States District Court for the Northern District of Texas struck down the Healthcare Reform Law, deeming it unconstitutional given that Congress repealed the individual mandate in 2017. This decision has been stayed pending outcome of an appeal to the Fifth Circuit Court of Appeals. Although there is no immediate impact on the ACA, we will continue to evaluate the effect that the Healthcare Reform Law and its possible repeal and replacement, or potential total revocation by the Supreme Court of the United States, has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operations have consumed substantial amounts of cash since inception. For the nine months ended September 30, 2019 and 2018, we had negative cash flows from operations of $56.5 million and $43.9 million, respectively, and for the years ended December 31, 2018 and 2017, we had negative cash flows from operations of approximately $62.7 million and $37.3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We currently anticipate, based upon our projected revenue and expenditures, as well as the additional funds we are able to draw down under the Credit Agreement, that our current cash, cash equivalents and accounts receivable will be sufficient to fund our operations, as currently conducted, into the fourth quarter of 2020. In order to have sufficient cash to fund our operations thereafter and to continue as a going concern, we will need to raise additional equity or debt financing before the end of the fourth quarter of 2020. This time frame may change based upon how quickly we are able to execute on our operational initiatives and the various financing options that may be available to us in 2020</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commercialization efforts or our product development activities, including conducting clinical trials for our product candidates and purchasing clinical trial materials.</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3"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incurred substantial losses during our history. As of December 31, 2018, we had federal and state NOLs of $108.5 million and $72.3 million, respectively. These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(the “TCJA”) could adversely affect our business and financial condition.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22, 2017, President Trump signed into law the TCJA, which significantly reforms the Internal Revenue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generated after December 31, 2017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3" w:name="page64"/>
    <w:bookmarkEnd w:id="6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ASCENIV;</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resume the manufacturing of BIVIGAM subsequent to the FDA’s approval of the PAS on May 9, 2019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market price of our Common Stock.</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of November 1, 2019, most of our 59,318,355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(“Rule 144”) under the Securities Act of 1933, as amended (the “Securities Act”), or under effective registration statements. Pursuant to the Stockholders’ Agreement, until December 6, 2020, subject to certain limited exceptions, sales of the 4,295,580 shares of Common Stock held by The Biotest Divestiture Trust (the “Biotest Trust”) (as successor-in-interest to BPC) may not exceed 15% of the issued and outstanding Common Stock of ADMA in any twelve-month period; provided, however, that if our market capitalization increases to double our market capitalization immediately following the closing of the Biotest Transaction, then the Biotest Trust may sell up to 20% of our issued and outstanding Common Stock in any twelve-month period; provided, further, that (x) if our market capitalization increases to triple our market capitalization immediately following the closing of the Biotest Transaction, or (y) upon the one-year anniversary of the Biotest Trust holding less than a 25% economic interest in us, which occurred on May 14, 2018 following the transfer of the NV Biotest Shares to us, then the Biotest Trust may sell any amount of its equity interests in us at any time (subject to applicable securities laws). Sales of a substantial number of shares of our Common Stock, or the perception that such sales may occur, may adversely impact the market price of our Common Stock.</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4" w:name="page65"/>
    <w:bookmarkEnd w:id="6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of November 1, 2019, Perceptive, our directors and executive officers and their affiliates beneficially owned approximately 31% of the outstanding shares of our Common Stock. Additionally, on November 14, 2018, the standstill provisions contained in that certain Stockholders Agreement, dated as of June 6, 2017, by and between us and BPC, as amended by that certain Share Transfer, Amendment and Release Agreement, dated as of May 14, 2018, with BPC, Biotest AG and the Biotest Trust, which prohibited the Biotest Trust from, among other things, acquiring more than (i) 50%, less one share, of our issued and outstanding shares of capital stock on an as-converted basis, or (ii) 30% of the issued and outstanding shares of Common Stock, terminated and are of no further force and effect. Such event could result in the Biotest Trust acquiring additional shares of our Common Stock or taking other actions with the goal of acquiring additional shares of our Common Stock.</w:t>
      </w:r>
    </w:p>
    <w:p>
      <w:pPr>
        <w:spacing w:after="0" w:line="17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(the “Board”) to institute a stockholder rights plan, also known as a poison pill, that would work to dilute our stock,</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Common Stock currently trades on the Nasdaq Global Market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of and trading activity of our Common Stock. Although we currently satisfy the listing criteria for Nasdaq, if our stock price declines dramatically, we could be at risk of failing to meet the Nasdaq continued listing criteria.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increased costs now that we are no longer an “emerging growth company.”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Effective January 1, 2019, we ceased to be an “emerging growth company” as defined by the Jumpstart Our Business Startups Act (the “JOBS Act”). The JOBS Act contains provisions that, among other things, reduce certain reporting requirements for qualifying public companies. As an “emerging growth company,” we took advantage of certain benefits afforded to “emerging growth companies” under Section 7(a)(2)(B) of the Securities Act, which included delaying the adoption of new or revised accounting standards applicable to public companies until such standards would otherwise apply to private companies. As an emerging growth company, we were also exempt from the requirement to have our independent registered public accounting firm provide an attestation report on our internal control over financial reporting pursuant to Section 404 of the Sarbanes-Oxley Act (“Section 404”).</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Consequently, we have, and will continue to, incur increased costs related to our compliance with Section 404 of the Sarbanes-Oxley Act (“Section 404”). For example, in 2018, our Audit Committee retained the services of BDO,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6" w:name="page67"/>
    <w:bookmarkEnd w:id="6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150,000,000 shares of Common Stock. As of September 30, 2019, there were 82,903,946 shares remaining available for issuance, after giving effect to 7,777,699 shares of our Common Stock which were subject to outstanding stock options, warrants or other convertible securities as of September 30, 2019 that may be issued by us without stockholder approval.</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7" w:name="page68"/>
    <w:bookmarkEnd w:id="6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3"/>
          </w:tcPr>
          <w:p>
            <w:pPr>
              <w:ind w:left="1960"/>
              <w:spacing w:after="0"/>
              <w:rPr>
                <w:sz w:val="20"/>
                <w:szCs w:val="20"/>
                <w:color w:val="auto"/>
              </w:rPr>
            </w:pPr>
            <w:r>
              <w:rPr>
                <w:rFonts w:ascii="Arial" w:cs="Arial" w:eastAsia="Arial" w:hAnsi="Arial"/>
                <w:sz w:val="18"/>
                <w:szCs w:val="18"/>
                <w:b w:val="1"/>
                <w:bCs w:val="1"/>
                <w:color w:val="auto"/>
              </w:rPr>
              <w:t>ADMA Biologics, Inc.</w:t>
            </w: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November 6, 2019</w:t>
            </w:r>
          </w:p>
        </w:tc>
        <w:tc>
          <w:tcPr>
            <w:tcW w:w="276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7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160"/>
              <w:spacing w:after="0" w:line="195" w:lineRule="exact"/>
              <w:rPr>
                <w:sz w:val="20"/>
                <w:szCs w:val="20"/>
                <w:color w:val="auto"/>
              </w:rPr>
            </w:pPr>
            <w:r>
              <w:rPr>
                <w:rFonts w:ascii="Arial" w:cs="Arial" w:eastAsia="Arial" w:hAnsi="Arial"/>
                <w:sz w:val="18"/>
                <w:szCs w:val="18"/>
                <w:color w:val="auto"/>
              </w:rPr>
              <w:t>Adam S. Grossman</w:t>
            </w:r>
          </w:p>
        </w:tc>
      </w:tr>
      <w:tr>
        <w:trPr>
          <w:trHeight w:val="230"/>
        </w:trPr>
        <w:tc>
          <w:tcPr>
            <w:tcW w:w="3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864"/>
        </w:trPr>
        <w:tc>
          <w:tcPr>
            <w:tcW w:w="3760" w:type="dxa"/>
            <w:vAlign w:val="bottom"/>
          </w:tcPr>
          <w:p>
            <w:pPr>
              <w:spacing w:after="0"/>
              <w:rPr>
                <w:sz w:val="20"/>
                <w:szCs w:val="20"/>
                <w:color w:val="auto"/>
              </w:rPr>
            </w:pPr>
            <w:r>
              <w:rPr>
                <w:rFonts w:ascii="Arial" w:cs="Arial" w:eastAsia="Arial" w:hAnsi="Arial"/>
                <w:sz w:val="18"/>
                <w:szCs w:val="18"/>
                <w:color w:val="auto"/>
              </w:rPr>
              <w:t>Date: November 6, 2019</w:t>
            </w:r>
          </w:p>
        </w:tc>
        <w:tc>
          <w:tcPr>
            <w:tcW w:w="276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Lenz</w:t>
            </w:r>
          </w:p>
        </w:tc>
      </w:tr>
      <w:tr>
        <w:trPr>
          <w:trHeight w:val="195"/>
        </w:trPr>
        <w:tc>
          <w:tcPr>
            <w:tcW w:w="37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160"/>
              <w:spacing w:after="0" w:line="195" w:lineRule="exact"/>
              <w:rPr>
                <w:sz w:val="20"/>
                <w:szCs w:val="20"/>
                <w:color w:val="auto"/>
              </w:rPr>
            </w:pPr>
            <w:r>
              <w:rPr>
                <w:rFonts w:ascii="Arial" w:cs="Arial" w:eastAsia="Arial" w:hAnsi="Arial"/>
                <w:sz w:val="18"/>
                <w:szCs w:val="18"/>
                <w:color w:val="auto"/>
              </w:rPr>
              <w:t>Brian Lenz</w:t>
            </w:r>
          </w:p>
        </w:tc>
      </w:tr>
      <w:tr>
        <w:trPr>
          <w:trHeight w:val="230"/>
        </w:trPr>
        <w:tc>
          <w:tcPr>
            <w:tcW w:w="3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60"/>
              <w:spacing w:after="0"/>
              <w:rPr>
                <w:sz w:val="20"/>
                <w:szCs w:val="20"/>
                <w:color w:val="auto"/>
              </w:rPr>
            </w:pPr>
            <w:r>
              <w:rPr>
                <w:rFonts w:ascii="Arial" w:cs="Arial" w:eastAsia="Arial" w:hAnsi="Arial"/>
                <w:sz w:val="18"/>
                <w:szCs w:val="18"/>
                <w:color w:val="auto"/>
                <w:w w:val="98"/>
              </w:rPr>
              <w:t>Executive Vice President and Chief Financial Officer</w:t>
            </w: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20" w:type="dxa"/>
            <w:vAlign w:val="bottom"/>
            <w:tcBorders>
              <w:bottom w:val="single" w:sz="8" w:color="0000EE"/>
            </w:tcBorders>
            <w:gridSpan w:val="6"/>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61"/>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gridSpan w:val="7"/>
          </w:tcPr>
          <w:p>
            <w:pPr>
              <w:ind w:left="15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54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600" w:type="dxa"/>
            <w:vAlign w:val="bottom"/>
            <w:tcBorders>
              <w:bottom w:val="single" w:sz="8" w:color="0000EE"/>
            </w:tcBorders>
            <w:gridSpan w:val="10"/>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Amendment #1 to Transition Services Agreement, dated as of August 29, 2019, by and between ADMA Biomanufacturing, LLC and</w:t>
              </w:r>
            </w:hyperlink>
          </w:p>
        </w:tc>
        <w:tc>
          <w:tcPr>
            <w:tcW w:w="10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Biotest Pharmaceuticals Corporation (incorporated by reference from Exhibit 10.1 to Current Report on Form 8-K, filed on September</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83">
              <w:r>
                <w:rPr>
                  <w:rFonts w:ascii="Arial" w:cs="Arial" w:eastAsia="Arial" w:hAnsi="Arial"/>
                  <w:sz w:val="18"/>
                  <w:szCs w:val="18"/>
                  <w:color w:val="0000EE"/>
                  <w:w w:val="87"/>
                </w:rPr>
                <w:t>5, 2019).</w:t>
              </w:r>
            </w:hyperlink>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0000EE"/>
                <w:w w:val="94"/>
              </w:rPr>
              <w:t>Certification of Principal Executive Officer pursuant to Rules 13a-14(a) and 15d-14(a), as adopted pursuant to Section 302 of the</w:t>
            </w: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Sarbanes-Oxley Act of 2002.</w:t>
            </w:r>
          </w:p>
        </w:tc>
        <w:tc>
          <w:tcPr>
            <w:tcW w:w="400" w:type="dxa"/>
            <w:vAlign w:val="bottom"/>
            <w:gridSpan w:val="4"/>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2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Certification of Principal Financial Officer pursuant to Rules 13a-14(a) and 15d-14(a), as adopted pursuant to Section 302 of the</w:t>
            </w:r>
          </w:p>
        </w:tc>
        <w:tc>
          <w:tcPr>
            <w:tcW w:w="44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11"/>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5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Certification of Principal Executive Officer pursuant to 18 U.S.C Section 1350, as adopted pursuant to Section 906 of the Sarbanes-</w:t>
            </w:r>
          </w:p>
        </w:tc>
        <w:tc>
          <w:tcPr>
            <w:tcW w:w="20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8300" w:type="dxa"/>
            <w:vAlign w:val="bottom"/>
            <w:gridSpan w:val="8"/>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0000EE"/>
                <w:w w:val="93"/>
              </w:rPr>
              <w:t>Certification of Principal Financial Officer pursuant to 18 U.S.C Section 1350, as adopted pursuant to Section 906 of the Sarbanes-</w:t>
            </w: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8040" w:type="dxa"/>
            <w:vAlign w:val="bottom"/>
            <w:tcBorders>
              <w:top w:val="single" w:sz="8" w:color="0000EE"/>
            </w:tcBorders>
            <w:gridSpan w:val="5"/>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auto"/>
                <w:w w:val="93"/>
              </w:rPr>
              <w:t>The following materials from ADMA Biologics, Inc.’s Form 10-Q for the quarter ended September 30, 2019, formatted in Extensible</w:t>
            </w:r>
          </w:p>
        </w:tc>
      </w:tr>
      <w:tr>
        <w:trPr>
          <w:trHeight w:val="230"/>
        </w:trPr>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auto"/>
                <w:w w:val="95"/>
              </w:rPr>
              <w:t>Business Reporting Language (XBRL): (i) Condensed Consolidated Balance Sheets as of September 30, 2019 (Unaudited) and</w:t>
            </w:r>
          </w:p>
        </w:tc>
      </w:tr>
    </w:tbl>
    <w:p>
      <w:pPr>
        <w:ind w:left="1720" w:right="80"/>
        <w:spacing w:after="0" w:line="281" w:lineRule="auto"/>
        <w:rPr>
          <w:sz w:val="20"/>
          <w:szCs w:val="20"/>
          <w:color w:val="auto"/>
        </w:rPr>
      </w:pPr>
      <w:r>
        <w:rPr>
          <w:rFonts w:ascii="Arial" w:cs="Arial" w:eastAsia="Arial" w:hAnsi="Arial"/>
          <w:sz w:val="16"/>
          <w:szCs w:val="16"/>
          <w:color w:val="auto"/>
        </w:rPr>
        <w:t>December 31, 2018, (ii) Condensed Consolidated Statements of Operations (Unaudited) for the three and nine months ended September 30, 2019 and 2018, (iii) Condensed Consolidated Statements of Changes in Stockholders' Equity (Unaudited) for the three and nine months ended September 30, 2019 and 2018, (iv) Condensed Consolidated Statements of Cash Flows (Unaudited) for the nine months ended September 30, 2019 and 2018, and (v) Notes to (Unaudited)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 accordance with SEC Release 33-8238, Exhibit 32.1 and 32.2 are being furnished and not filed.</w:t>
      </w:r>
    </w:p>
    <w:p>
      <w:pPr>
        <w:spacing w:after="0" w:line="225" w:lineRule="exact"/>
        <w:rPr>
          <w:sz w:val="20"/>
          <w:szCs w:val="20"/>
          <w:color w:val="auto"/>
        </w:rPr>
      </w:pPr>
    </w:p>
    <w:p>
      <w:pPr>
        <w:ind w:right="100" w:firstLine="8"/>
        <w:spacing w:after="0" w:line="312" w:lineRule="auto"/>
        <w:tabs>
          <w:tab w:leader="none" w:pos="1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Portions of this exhibit and the schedules thereto, marked by brackets, have been omitted pursuant to Item 601(b)(10) of Regulation S-K under the Securities Act of 1933, as amended, because they are both (i) not material and (ii) would likely cause competitive harm to the registrant if publicly disclosed. The registrant undertakes to promptly provide an unredacted copy of the exhibit on a supplemental basis, if requested by the Commission or its staff.</w:t>
      </w:r>
    </w:p>
    <w:p>
      <w:pPr>
        <w:sectPr>
          <w:pgSz w:w="11900" w:h="16838" w:orient="portrait"/>
          <w:cols w:equalWidth="0" w:num="1">
            <w:col w:w="11420"/>
          </w:cols>
          <w:pgMar w:left="240" w:top="22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6, 2019</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760" w:type="dxa"/>
            <w:vAlign w:val="bottom"/>
          </w:tcPr>
          <w:p>
            <w:pPr>
              <w:spacing w:after="0"/>
              <w:rPr>
                <w:sz w:val="16"/>
                <w:szCs w:val="16"/>
                <w:color w:val="auto"/>
              </w:rPr>
            </w:pPr>
          </w:p>
        </w:tc>
        <w:tc>
          <w:tcPr>
            <w:tcW w:w="26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6, 2019</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760" w:type="dxa"/>
            <w:vAlign w:val="bottom"/>
          </w:tcPr>
          <w:p>
            <w:pPr>
              <w:spacing w:after="0"/>
              <w:rPr>
                <w:sz w:val="16"/>
                <w:szCs w:val="16"/>
                <w:color w:val="auto"/>
              </w:rPr>
            </w:pPr>
          </w:p>
        </w:tc>
        <w:tc>
          <w:tcPr>
            <w:tcW w:w="26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36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ADMA Biologics, Inc., a Delaware corporation (the “Company”), on Form 10-Q for the quarter ended September 30, 2019,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6, 2019</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760" w:type="dxa"/>
            <w:vAlign w:val="bottom"/>
          </w:tcPr>
          <w:p>
            <w:pPr>
              <w:spacing w:after="0"/>
              <w:rPr>
                <w:sz w:val="16"/>
                <w:szCs w:val="16"/>
                <w:color w:val="auto"/>
              </w:rPr>
            </w:pPr>
          </w:p>
        </w:tc>
        <w:tc>
          <w:tcPr>
            <w:tcW w:w="26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September 30, 2019,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4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6, 2019</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760" w:type="dxa"/>
            <w:vAlign w:val="bottom"/>
          </w:tcPr>
          <w:p>
            <w:pPr>
              <w:spacing w:after="0"/>
              <w:rPr>
                <w:sz w:val="16"/>
                <w:szCs w:val="16"/>
                <w:color w:val="auto"/>
              </w:rPr>
            </w:pPr>
          </w:p>
        </w:tc>
        <w:tc>
          <w:tcPr>
            <w:tcW w:w="26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ý"/>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4"/>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lowerRoman"/>
      <w:start w:val="4"/>
    </w:lvl>
  </w:abstractNum>
  <w:abstractNum w:abstractNumId="12">
    <w:nsid w:val="4353D0CD"/>
    <w:multiLevelType w:val="hybridMultilevel"/>
    <w:lvl w:ilvl="0">
      <w:lvlJc w:val="left"/>
      <w:lvlText w:val="%1"/>
      <w:numFmt w:val="upperLetter"/>
      <w:start w:val="61"/>
    </w:lvl>
  </w:abstractNum>
  <w:abstractNum w:abstractNumId="13">
    <w:nsid w:val="B03E0C6"/>
    <w:multiLevelType w:val="hybridMultilevel"/>
    <w:lvl w:ilvl="0">
      <w:lvlJc w:val="left"/>
      <w:lvlText w:val="%1."/>
      <w:numFmt w:val="decimal"/>
      <w:start w:val="7"/>
    </w:lvl>
  </w:abstractNum>
  <w:abstractNum w:abstractNumId="14">
    <w:nsid w:val="189A769B"/>
    <w:multiLevelType w:val="hybridMultilevel"/>
    <w:lvl w:ilvl="0">
      <w:lvlJc w:val="left"/>
      <w:lvlText w:val="%1."/>
      <w:numFmt w:val="decimal"/>
      <w:start w:val="8"/>
    </w:lvl>
  </w:abstractNum>
  <w:abstractNum w:abstractNumId="15">
    <w:nsid w:val="54E49EB4"/>
    <w:multiLevelType w:val="hybridMultilevel"/>
    <w:lvl w:ilvl="0">
      <w:lvlJc w:val="left"/>
      <w:lvlText w:val="%1."/>
      <w:numFmt w:val="decimal"/>
      <w:start w:val="9"/>
    </w:lvl>
  </w:abstractNum>
  <w:abstractNum w:abstractNumId="16">
    <w:nsid w:val="71F32454"/>
    <w:multiLevelType w:val="hybridMultilevel"/>
    <w:lvl w:ilvl="0">
      <w:lvlJc w:val="left"/>
      <w:lvlText w:val="%1."/>
      <w:numFmt w:val="decimal"/>
      <w:start w:val="10"/>
    </w:lvl>
  </w:abstractNum>
  <w:abstractNum w:abstractNumId="17">
    <w:nsid w:val="2CA88611"/>
    <w:multiLevelType w:val="hybridMultilevel"/>
    <w:lvl w:ilvl="0">
      <w:lvlJc w:val="left"/>
      <w:lvlText w:val="%1."/>
      <w:numFmt w:val="decimal"/>
      <w:start w:val="11"/>
    </w:lvl>
  </w:abstractNum>
  <w:abstractNum w:abstractNumId="18">
    <w:nsid w:val="836C40E"/>
    <w:multiLevelType w:val="hybridMultilevel"/>
    <w:lvl w:ilvl="0">
      <w:lvlJc w:val="left"/>
      <w:lvlText w:val="%1."/>
      <w:numFmt w:val="decimal"/>
      <w:start w:val="12"/>
    </w:lvl>
  </w:abstractNum>
  <w:abstractNum w:abstractNumId="19">
    <w:nsid w:val="2901D82"/>
    <w:multiLevelType w:val="hybridMultilevel"/>
    <w:lvl w:ilvl="0">
      <w:lvlJc w:val="left"/>
      <w:lvlText w:val="%1."/>
      <w:numFmt w:val="decimal"/>
      <w:start w:val="13"/>
    </w:lvl>
  </w:abstractNum>
  <w:abstractNum w:abstractNumId="20">
    <w:nsid w:val="3A95F874"/>
    <w:multiLevelType w:val="hybridMultilevel"/>
    <w:lvl w:ilvl="0">
      <w:lvlJc w:val="left"/>
      <w:lvlText w:val="(%1)"/>
      <w:numFmt w:val="lowerRoman"/>
      <w:start w:val="4"/>
    </w:lvl>
  </w:abstractNum>
  <w:abstractNum w:abstractNumId="21">
    <w:nsid w:val="8138641"/>
    <w:multiLevelType w:val="hybridMultilevel"/>
    <w:lvl w:ilvl="0">
      <w:lvlJc w:val="left"/>
      <w:lvlText w:val="%1)"/>
      <w:numFmt w:val="decimal"/>
      <w:start w:val="842"/>
    </w:lvl>
  </w:abstractNum>
  <w:abstractNum w:abstractNumId="22">
    <w:nsid w:val="1E7FF521"/>
    <w:multiLevelType w:val="hybridMultilevel"/>
    <w:lvl w:ilvl="0">
      <w:lvlJc w:val="left"/>
      <w:lvlText w:val="%1"/>
      <w:numFmt w:val="upperLetter"/>
      <w:start w:val="6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5">
    <w:nsid w:val="77465F0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hyperlink" Target="http://www.sec.gov/Archives/edgar/data/1368514/000119380519000798/e618638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2020-01-09T07:12:11Z</dcterms:created>
  <dcterms:modified xsi:type="dcterms:W3CDTF">2020-01-09T07:12:11Z</dcterms:modified>
</cp:coreProperties>
</file>