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29"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9" w:lineRule="exact"/>
        <w:rPr>
          <w:sz w:val="24"/>
          <w:szCs w:val="24"/>
          <w:color w:val="auto"/>
        </w:rPr>
      </w:pPr>
    </w:p>
    <w:p>
      <w:pPr>
        <w:ind w:left="180" w:right="1920" w:hanging="172"/>
        <w:spacing w:after="0" w:line="258"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September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220" w:right="1900" w:hanging="212"/>
        <w:spacing w:after="0" w:line="253" w:lineRule="auto"/>
        <w:tabs>
          <w:tab w:leader="none" w:pos="661"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 to 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001-36728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ADMA BIOLOGICS,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60" w:type="dxa"/>
            <w:vAlign w:val="bottom"/>
            <w:gridSpan w:val="3"/>
          </w:tcPr>
          <w:p>
            <w:pPr>
              <w:jc w:val="center"/>
              <w:ind w:right="2980"/>
              <w:spacing w:after="0"/>
              <w:rPr>
                <w:sz w:val="20"/>
                <w:szCs w:val="20"/>
                <w:color w:val="auto"/>
              </w:rPr>
            </w:pPr>
            <w:r>
              <w:rPr>
                <w:rFonts w:ascii="Arial" w:cs="Arial" w:eastAsia="Arial" w:hAnsi="Arial"/>
                <w:sz w:val="18"/>
                <w:szCs w:val="18"/>
                <w:color w:val="auto"/>
                <w:w w:val="89"/>
              </w:rPr>
              <w:t>Delaware</w:t>
            </w:r>
          </w:p>
        </w:tc>
        <w:tc>
          <w:tcPr>
            <w:tcW w:w="3720" w:type="dxa"/>
            <w:vAlign w:val="bottom"/>
            <w:gridSpan w:val="5"/>
          </w:tcPr>
          <w:p>
            <w:pPr>
              <w:jc w:val="right"/>
              <w:ind w:right="880"/>
              <w:spacing w:after="0"/>
              <w:rPr>
                <w:sz w:val="20"/>
                <w:szCs w:val="20"/>
                <w:color w:val="auto"/>
              </w:rPr>
            </w:pPr>
            <w:r>
              <w:rPr>
                <w:rFonts w:ascii="Arial" w:cs="Arial" w:eastAsia="Arial" w:hAnsi="Arial"/>
                <w:sz w:val="18"/>
                <w:szCs w:val="18"/>
                <w:color w:val="auto"/>
              </w:rPr>
              <w:t>56-2590442</w:t>
            </w:r>
          </w:p>
        </w:tc>
      </w:tr>
      <w:tr>
        <w:trPr>
          <w:trHeight w:val="20"/>
        </w:trPr>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5520" w:type="dxa"/>
            <w:vAlign w:val="bottom"/>
            <w:gridSpan w:val="5"/>
          </w:tcPr>
          <w:p>
            <w:pPr>
              <w:jc w:val="center"/>
              <w:ind w:right="11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20" w:type="dxa"/>
            <w:vAlign w:val="bottom"/>
            <w:gridSpan w:val="5"/>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720" w:type="dxa"/>
            <w:vAlign w:val="bottom"/>
          </w:tcPr>
          <w:p>
            <w:pPr>
              <w:spacing w:after="0"/>
              <w:rPr>
                <w:sz w:val="24"/>
                <w:szCs w:val="24"/>
                <w:color w:val="auto"/>
              </w:rPr>
            </w:pPr>
          </w:p>
        </w:tc>
        <w:tc>
          <w:tcPr>
            <w:tcW w:w="4800" w:type="dxa"/>
            <w:vAlign w:val="bottom"/>
            <w:gridSpan w:val="4"/>
          </w:tcPr>
          <w:p>
            <w:pPr>
              <w:jc w:val="center"/>
              <w:ind w:right="1840"/>
              <w:spacing w:after="0"/>
              <w:rPr>
                <w:sz w:val="20"/>
                <w:szCs w:val="20"/>
                <w:color w:val="auto"/>
              </w:rPr>
            </w:pPr>
            <w:r>
              <w:rPr>
                <w:rFonts w:ascii="Arial" w:cs="Arial" w:eastAsia="Arial" w:hAnsi="Arial"/>
                <w:sz w:val="18"/>
                <w:szCs w:val="18"/>
                <w:color w:val="auto"/>
                <w:w w:val="88"/>
              </w:rPr>
              <w:t>465 State Route 17, Ramsey, New Jersey</w:t>
            </w:r>
          </w:p>
        </w:tc>
        <w:tc>
          <w:tcPr>
            <w:tcW w:w="2840" w:type="dxa"/>
            <w:vAlign w:val="bottom"/>
            <w:gridSpan w:val="4"/>
          </w:tcPr>
          <w:p>
            <w:pPr>
              <w:jc w:val="right"/>
              <w:ind w:right="200"/>
              <w:spacing w:after="0"/>
              <w:rPr>
                <w:sz w:val="20"/>
                <w:szCs w:val="20"/>
                <w:color w:val="auto"/>
              </w:rPr>
            </w:pPr>
            <w:r>
              <w:rPr>
                <w:rFonts w:ascii="Arial" w:cs="Arial" w:eastAsia="Arial" w:hAnsi="Arial"/>
                <w:sz w:val="18"/>
                <w:szCs w:val="18"/>
                <w:color w:val="auto"/>
              </w:rPr>
              <w:t>07446</w:t>
            </w:r>
          </w:p>
        </w:tc>
        <w:tc>
          <w:tcPr>
            <w:tcW w:w="88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2960" w:type="dxa"/>
            <w:vAlign w:val="bottom"/>
            <w:gridSpan w:val="3"/>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296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(201) 478-5552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ADMA</w:t>
            </w: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2" w:lineRule="exact"/>
        <w:rPr>
          <w:sz w:val="24"/>
          <w:szCs w:val="24"/>
          <w:color w:val="auto"/>
        </w:rPr>
      </w:pPr>
    </w:p>
    <w:p>
      <w:pPr>
        <w:jc w:val="both"/>
        <w:ind w:firstLine="648"/>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648"/>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1700" w:type="dxa"/>
        <w:tblCellMar>
          <w:top w:w="0" w:type="dxa"/>
          <w:left w:w="0" w:type="dxa"/>
          <w:bottom w:w="0" w:type="dxa"/>
          <w:right w:w="0" w:type="dxa"/>
        </w:tblCellMar>
      </w:tblPr>
      <w:tr>
        <w:trPr>
          <w:trHeight w:val="221"/>
        </w:trPr>
        <w:tc>
          <w:tcPr>
            <w:tcW w:w="1660" w:type="dxa"/>
            <w:vAlign w:val="bottom"/>
          </w:tcPr>
          <w:p>
            <w:pPr>
              <w:spacing w:after="0"/>
              <w:rPr>
                <w:sz w:val="20"/>
                <w:szCs w:val="20"/>
                <w:color w:val="auto"/>
              </w:rPr>
            </w:pPr>
            <w:r>
              <w:rPr>
                <w:rFonts w:ascii="Arial" w:cs="Arial" w:eastAsia="Arial" w:hAnsi="Arial"/>
                <w:sz w:val="18"/>
                <w:szCs w:val="18"/>
                <w:color w:val="auto"/>
                <w:w w:val="92"/>
              </w:rPr>
              <w:t>Large accelerated filer</w:t>
            </w:r>
          </w:p>
        </w:tc>
        <w:tc>
          <w:tcPr>
            <w:tcW w:w="21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8"/>
              </w:rPr>
              <w:t>Non-accelerated filer</w:t>
            </w:r>
          </w:p>
        </w:tc>
        <w:tc>
          <w:tcPr>
            <w:tcW w:w="21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rPr>
                <w:sz w:val="20"/>
                <w:szCs w:val="20"/>
                <w:color w:val="auto"/>
              </w:rPr>
            </w:pPr>
            <w:r>
              <w:rPr>
                <w:rFonts w:ascii="Arial" w:cs="Arial" w:eastAsia="Arial" w:hAnsi="Arial"/>
                <w:sz w:val="18"/>
                <w:szCs w:val="18"/>
                <w:color w:val="auto"/>
                <w:w w:val="93"/>
              </w:rPr>
              <w:t>Smaller reporting company</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80" w:type="dxa"/>
            <w:vAlign w:val="bottom"/>
          </w:tcPr>
          <w:p>
            <w:pPr>
              <w:ind w:left="1840"/>
              <w:spacing w:after="0"/>
              <w:rPr>
                <w:sz w:val="20"/>
                <w:szCs w:val="20"/>
                <w:color w:val="auto"/>
              </w:rPr>
            </w:pPr>
            <w:r>
              <w:rPr>
                <w:rFonts w:ascii="Arial" w:cs="Arial" w:eastAsia="Arial" w:hAnsi="Arial"/>
                <w:sz w:val="18"/>
                <w:szCs w:val="18"/>
                <w:color w:val="auto"/>
                <w:w w:val="94"/>
              </w:rPr>
              <w:t>Emerging growth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9" w:lineRule="exact"/>
        <w:rPr>
          <w:sz w:val="24"/>
          <w:szCs w:val="24"/>
          <w:color w:val="auto"/>
        </w:rPr>
      </w:pPr>
    </w:p>
    <w:p>
      <w:pPr>
        <w:ind w:firstLine="648"/>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ind w:left="660"/>
        <w:spacing w:after="0" w:line="207" w:lineRule="exact"/>
        <w:tabs>
          <w:tab w:leader="none" w:pos="8980" w:val="left"/>
          <w:tab w:leader="none" w:pos="96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November 3, 2023, there were 225,967,668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gridSpan w:val="2"/>
          </w:tcPr>
          <w:p>
            <w:pPr>
              <w:ind w:left="580"/>
              <w:spacing w:after="0"/>
              <w:rPr>
                <w:sz w:val="20"/>
                <w:szCs w:val="20"/>
                <w:color w:val="auto"/>
              </w:rPr>
            </w:pPr>
            <w:r>
              <w:rPr>
                <w:rFonts w:ascii="Arial" w:cs="Arial" w:eastAsia="Arial" w:hAnsi="Arial"/>
                <w:sz w:val="18"/>
                <w:szCs w:val="18"/>
                <w:color w:val="auto"/>
              </w:rPr>
              <w:t>Item 1.</w:t>
            </w:r>
          </w:p>
        </w:tc>
        <w:tc>
          <w:tcPr>
            <w:tcW w:w="9360" w:type="dxa"/>
            <w:vAlign w:val="bottom"/>
            <w:gridSpan w:val="17"/>
          </w:tcPr>
          <w:p>
            <w:pPr>
              <w:spacing w:after="0"/>
              <w:rPr>
                <w:sz w:val="20"/>
                <w:szCs w:val="20"/>
                <w:color w:val="auto"/>
              </w:rPr>
            </w:pPr>
            <w:r>
              <w:rPr>
                <w:rFonts w:ascii="Arial" w:cs="Arial" w:eastAsia="Arial" w:hAnsi="Arial"/>
                <w:sz w:val="18"/>
                <w:szCs w:val="18"/>
                <w:color w:val="auto"/>
              </w:rPr>
              <w:t>Financial Statements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3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 as of September 30, 2023 (Unaudited) and December 31, 2022</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3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1"/>
              </w:rPr>
              <w:t>Condensed Consolidated Statements of Operations (Unaudited) for the Three and Nine Months Ended September 30, 2023 and</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rPr>
              <w:t>2022</w:t>
            </w:r>
          </w:p>
        </w:tc>
        <w:tc>
          <w:tcPr>
            <w:tcW w:w="30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40" w:type="dxa"/>
            <w:vAlign w:val="bottom"/>
            <w:tcBorders>
              <w:top w:val="single" w:sz="8" w:color="0000EE"/>
            </w:tcBorders>
            <w:shd w:val="clear" w:color="auto" w:fill="CCEEFF"/>
          </w:tcPr>
          <w:p>
            <w:pPr>
              <w:spacing w:after="0"/>
              <w:rPr>
                <w:sz w:val="18"/>
                <w:szCs w:val="18"/>
                <w:color w:val="auto"/>
              </w:rPr>
            </w:pPr>
          </w:p>
        </w:tc>
        <w:tc>
          <w:tcPr>
            <w:tcW w:w="34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204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0000EE"/>
            </w:tcBorders>
            <w:shd w:val="clear" w:color="auto" w:fill="CCEEFF"/>
          </w:tcPr>
          <w:p>
            <w:pPr>
              <w:spacing w:after="0"/>
              <w:rPr>
                <w:sz w:val="18"/>
                <w:szCs w:val="18"/>
                <w:color w:val="auto"/>
              </w:rPr>
            </w:pPr>
          </w:p>
        </w:tc>
        <w:tc>
          <w:tcPr>
            <w:tcW w:w="1720" w:type="dxa"/>
            <w:vAlign w:val="bottom"/>
            <w:tcBorders>
              <w:top w:val="single" w:sz="8" w:color="0000EE"/>
            </w:tcBorders>
            <w:shd w:val="clear" w:color="auto" w:fill="CCEEFF"/>
          </w:tcPr>
          <w:p>
            <w:pPr>
              <w:spacing w:after="0"/>
              <w:rPr>
                <w:sz w:val="18"/>
                <w:szCs w:val="18"/>
                <w:color w:val="auto"/>
              </w:rPr>
            </w:pPr>
          </w:p>
        </w:tc>
        <w:tc>
          <w:tcPr>
            <w:tcW w:w="980" w:type="dxa"/>
            <w:vAlign w:val="bottom"/>
            <w:tcBorders>
              <w:top w:val="single" w:sz="8" w:color="0000EE"/>
            </w:tcBorders>
            <w:shd w:val="clear" w:color="auto" w:fill="CCEEFF"/>
          </w:tcPr>
          <w:p>
            <w:pPr>
              <w:spacing w:after="0"/>
              <w:rPr>
                <w:sz w:val="18"/>
                <w:szCs w:val="18"/>
                <w:color w:val="auto"/>
              </w:rPr>
            </w:pPr>
          </w:p>
        </w:tc>
        <w:tc>
          <w:tcPr>
            <w:tcW w:w="136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940" w:type="dxa"/>
            <w:vAlign w:val="bottom"/>
            <w:tcBorders>
              <w:bottom w:val="single" w:sz="8" w:color="0000EE"/>
            </w:tcBorders>
            <w:gridSpan w:val="15"/>
            <w:shd w:val="clear" w:color="auto" w:fill="CCEEFF"/>
          </w:tcPr>
          <w:p>
            <w:pPr>
              <w:spacing w:after="0" w:line="176" w:lineRule="exact"/>
              <w:rPr>
                <w:sz w:val="20"/>
                <w:szCs w:val="20"/>
                <w:color w:val="auto"/>
              </w:rPr>
            </w:pPr>
            <w:r>
              <w:rPr>
                <w:rFonts w:ascii="Arial" w:cs="Arial" w:eastAsia="Arial" w:hAnsi="Arial"/>
                <w:sz w:val="18"/>
                <w:szCs w:val="18"/>
                <w:color w:val="0000EE"/>
                <w:w w:val="90"/>
              </w:rPr>
              <w:t>Condensed Consolidated Statements of Changes in Stockholders’ Equity (Unaudited) for the Three and Nine Months Ended</w:t>
            </w:r>
          </w:p>
        </w:tc>
        <w:tc>
          <w:tcPr>
            <w:tcW w:w="420" w:type="dxa"/>
            <w:vAlign w:val="bottom"/>
            <w:tcBorders>
              <w:bottom w:val="single" w:sz="8" w:color="CCEEFF"/>
            </w:tcBorders>
            <w:gridSpan w:val="2"/>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360" w:type="dxa"/>
            <w:vAlign w:val="bottom"/>
            <w:gridSpan w:val="17"/>
            <w:shd w:val="clear" w:color="auto" w:fill="CCEEFF"/>
          </w:tcPr>
          <w:p>
            <w:pPr>
              <w:spacing w:after="0" w:line="196" w:lineRule="exact"/>
              <w:rPr>
                <w:sz w:val="20"/>
                <w:szCs w:val="20"/>
                <w:color w:val="auto"/>
              </w:rPr>
            </w:pPr>
            <w:r>
              <w:rPr>
                <w:rFonts w:ascii="Arial" w:cs="Arial" w:eastAsia="Arial" w:hAnsi="Arial"/>
                <w:sz w:val="18"/>
                <w:szCs w:val="18"/>
                <w:color w:val="0000EE"/>
              </w:rPr>
              <w:t>September 30, 2023 and 2022</w:t>
            </w: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3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4"/>
              </w:rPr>
              <w:t>Condensed Consolidated Statements of Cash Flows (Unaudited) for the Nine Months Ended September 30, 2023 and 2022</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3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Notes to Unaudited Condensed Consolidated Financial Statements</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2"/>
            <w:shd w:val="clear" w:color="auto" w:fill="CCEEFF"/>
          </w:tcPr>
          <w:p>
            <w:pPr>
              <w:ind w:left="580"/>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2"/>
            <w:shd w:val="clear" w:color="auto" w:fill="CCEEFF"/>
          </w:tcPr>
          <w:p>
            <w:pPr>
              <w:ind w:left="580"/>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2"/>
            <w:shd w:val="clear" w:color="auto" w:fill="CCEEFF"/>
          </w:tcPr>
          <w:p>
            <w:pPr>
              <w:ind w:left="580"/>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PART II OTHER INFORMATION</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2"/>
            <w:shd w:val="clear" w:color="auto" w:fill="CCEEFF"/>
          </w:tcPr>
          <w:p>
            <w:pPr>
              <w:ind w:left="580"/>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2"/>
            <w:shd w:val="clear" w:color="auto" w:fill="CCEEFF"/>
          </w:tcPr>
          <w:p>
            <w:pPr>
              <w:ind w:left="580"/>
              <w:spacing w:after="0" w:line="176" w:lineRule="exact"/>
              <w:rPr>
                <w:sz w:val="20"/>
                <w:szCs w:val="20"/>
                <w:color w:val="auto"/>
              </w:rPr>
            </w:pPr>
            <w:r>
              <w:rPr>
                <w:rFonts w:ascii="Arial" w:cs="Arial" w:eastAsia="Arial" w:hAnsi="Arial"/>
                <w:sz w:val="18"/>
                <w:szCs w:val="18"/>
                <w:color w:val="auto"/>
              </w:rPr>
              <w:t>Item 1A.</w:t>
            </w:r>
          </w:p>
        </w:tc>
        <w:tc>
          <w:tcPr>
            <w:tcW w:w="93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2"/>
            <w:shd w:val="clear" w:color="auto" w:fill="CCEEFF"/>
          </w:tcPr>
          <w:p>
            <w:pPr>
              <w:ind w:left="580"/>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2"/>
            <w:shd w:val="clear" w:color="auto" w:fill="CCEEFF"/>
          </w:tcPr>
          <w:p>
            <w:pPr>
              <w:ind w:left="580"/>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2"/>
            <w:shd w:val="clear" w:color="auto" w:fill="CCEEFF"/>
          </w:tcPr>
          <w:p>
            <w:pPr>
              <w:ind w:left="580"/>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2"/>
            <w:shd w:val="clear" w:color="auto" w:fill="CCEEFF"/>
          </w:tcPr>
          <w:p>
            <w:pPr>
              <w:ind w:left="580"/>
              <w:spacing w:after="0" w:line="176" w:lineRule="exact"/>
              <w:rPr>
                <w:sz w:val="20"/>
                <w:szCs w:val="20"/>
                <w:color w:val="auto"/>
              </w:rPr>
            </w:pPr>
            <w:r>
              <w:rPr>
                <w:rFonts w:ascii="Arial" w:cs="Arial" w:eastAsia="Arial" w:hAnsi="Arial"/>
                <w:sz w:val="18"/>
                <w:szCs w:val="18"/>
                <w:color w:val="auto"/>
              </w:rPr>
              <w:t>Item 5.</w:t>
            </w:r>
          </w:p>
        </w:tc>
        <w:tc>
          <w:tcPr>
            <w:tcW w:w="93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2"/>
            <w:shd w:val="clear" w:color="auto" w:fill="CCEEFF"/>
          </w:tcPr>
          <w:p>
            <w:pPr>
              <w:ind w:left="580"/>
              <w:spacing w:after="0" w:line="176" w:lineRule="exact"/>
              <w:rPr>
                <w:sz w:val="20"/>
                <w:szCs w:val="20"/>
                <w:color w:val="auto"/>
              </w:rPr>
            </w:pPr>
            <w:r>
              <w:rPr>
                <w:rFonts w:ascii="Arial" w:cs="Arial" w:eastAsia="Arial" w:hAnsi="Arial"/>
                <w:sz w:val="18"/>
                <w:szCs w:val="18"/>
                <w:color w:val="auto"/>
              </w:rPr>
              <w:t>Item 6.</w:t>
            </w:r>
          </w:p>
        </w:tc>
        <w:tc>
          <w:tcPr>
            <w:tcW w:w="93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This Quarterly Report on Form 10-Q includes our trademarks, trade names and service marks, such as “ASCENIV</w:t>
      </w:r>
      <w:r>
        <w:rPr>
          <w:rFonts w:ascii="Arial" w:cs="Arial" w:eastAsia="Arial" w:hAnsi="Arial"/>
          <w:sz w:val="26"/>
          <w:szCs w:val="26"/>
          <w:color w:val="auto"/>
          <w:vertAlign w:val="superscript"/>
        </w:rPr>
        <w:t>™</w:t>
      </w:r>
      <w:r>
        <w:rPr>
          <w:rFonts w:ascii="Arial" w:cs="Arial" w:eastAsia="Arial" w:hAnsi="Arial"/>
          <w:sz w:val="16"/>
          <w:szCs w:val="16"/>
          <w:color w:val="auto"/>
        </w:rPr>
        <w:t>,” “Nabi-HB</w:t>
      </w:r>
      <w:r>
        <w:rPr>
          <w:rFonts w:ascii="Arial" w:cs="Arial" w:eastAsia="Arial" w:hAnsi="Arial"/>
          <w:sz w:val="26"/>
          <w:szCs w:val="26"/>
          <w:color w:val="auto"/>
          <w:vertAlign w:val="superscript"/>
        </w:rPr>
        <w:t>®</w:t>
      </w:r>
      <w:r>
        <w:rPr>
          <w:rFonts w:ascii="Arial" w:cs="Arial" w:eastAsia="Arial" w:hAnsi="Arial"/>
          <w:sz w:val="16"/>
          <w:szCs w:val="16"/>
          <w:color w:val="auto"/>
        </w:rPr>
        <w:t>” and “BIVIGAM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which are protected under applicable intellectual property laws and are the property of ADMA Biologics, Inc., or its subsidiaries. Solely for convenience, trademarks, trade names and service marks referred to in this report may appear without the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Some of the information in this Quarterly Report on Form 10-Q contains forward-looking statements within the meaning of Section 27A of the Securities Act of 1933, as amended, and Section 21E of the Securities and Exchange Act of 1934, as amended. These statements include, among others, statements about:</w:t>
      </w:r>
    </w:p>
    <w:p>
      <w:pPr>
        <w:spacing w:after="0" w:line="184"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BIVIGAM and ASCENIV on a commercial scale and further commercialize these products as a result of their approval by the U.S. Food and Drug Administration (the “FDA”) in 2019;</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manufacture, market, launch and expand our commercial infrastructure and commercialize our current and future products and the success of such efforts;</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efficacy and expected timing of and our ability to obtain and maintain regulatory approvals for our current products and product candidates, and the labeling or nature of any such approvals;</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or expected timing, progress and results of clinical development, clinical trials and potential regulatory approvals for our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our third-party customers and vendors and their compliance with applicable regulatory requirements;</w:t>
      </w:r>
    </w:p>
    <w:p>
      <w:pPr>
        <w:spacing w:after="0" w:line="225"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we have addressed the delays experienced with final drug product Current Good Manufacturing Practices (“cGMP”) release testing by our third-party vendors by adding additional release testing laboratories to our FDA-approved consortium listed in our drug approval documents;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quantities of FDA-approved plasma with proper specifications;</w:t>
      </w:r>
    </w:p>
    <w:p>
      <w:pPr>
        <w:spacing w:after="0" w:line="225"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to increase our supplies of source plasma, our ability to obtain and maintain regulatory compliance and receive FDA approvals of new plasma collection centers and reliance on third-party supply agreements as well as any extensions to such agreements;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for our products and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investigational new product applications;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acceptability of any of our products, including BIVIGAM, ASCENIV and Nabi-HB, for any purpose, including FDA-approved indications, by physicians, patients or payers;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evaluate the clinical and regulatory paths to grow the ASCENIV franchise through expanded FDA-approved uses;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local regulatory and business review processes and timing by such governmental and regulatory agencies of our business and regulatory submissions;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concurrence by the FDA with our conclusions concerning our products and product candidates;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comparability of results of our hyperimmune and immune globulin (“IG”) products to other comparably run hyperimmune and immune globulin clinical trials;</w:t>
      </w:r>
    </w:p>
    <w:p>
      <w:pPr>
        <w:spacing w:after="0" w:line="170" w:lineRule="exact"/>
        <w:rPr>
          <w:rFonts w:ascii="Arial" w:cs="Arial" w:eastAsia="Arial" w:hAnsi="Arial"/>
          <w:sz w:val="18"/>
          <w:szCs w:val="18"/>
          <w:color w:val="auto"/>
        </w:rPr>
      </w:pPr>
    </w:p>
    <w:p>
      <w:pPr>
        <w:ind w:left="660" w:right="78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ASCENIV and BIVIGAM to provide meaningful clinical improvement for patients living with Primary Humoral Immunodeficiency (“PI”), also known as Primary Immunodeficiency Disease (“PIDD”) or Inborn Errors of Immunity, or other immune deficiencies or any other condition for which the products may be prescribed or evaluated;</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market and promote Nabi-HB in a highly competitive environment with increasing competition from other antiviral therapies and to generate meaningful revenues from this product;</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 and the defense thereof, including our expectations regarding the scope of patent protection with respect to ASCENIV or other future pipeline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manufacturing capabilities, third-party contractor capabilities and vertical integration strategy;</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related to the expansion and efficiencies of our manufacturing capacity, yield improvements, supply-chain robustness, in-house fill-finish capabilities, distribution and other collaborative agreements and the success of such endeavors;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revenues, expenses, capital requirements, timing to profitability and positive cash flows and the need for and availability of additional financing;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or likely reimbursement levels for our currently marketed products;</w:t>
      </w:r>
    </w:p>
    <w:p>
      <w:pPr>
        <w:spacing w:after="0" w:line="225"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regarding market size, projected growth and sales of our existing products as well as our expectations of market acceptance of ASCENIV and BIVIGAM;</w:t>
      </w:r>
    </w:p>
    <w:p>
      <w:pPr>
        <w:spacing w:after="0" w:line="170"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the coronavirus COVID-19 pandemic and other potential pandemics on our business, financial condition, liquidity and results of operations, and our ability to continue operations in the same manner as previously conducted prior to the macroeconomic effects of the COVID-19 pandemic and other potential pandemics; and</w:t>
      </w:r>
    </w:p>
    <w:p>
      <w:pPr>
        <w:spacing w:after="0" w:line="183"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future domestic and global economic conditions including, but not limited to, supply chain constraints, inflationary pressures or performance or geopolitical conditions, including the continuing conflict in Europe or the evolving conflict in the Middle East and surrounding areas.</w:t>
      </w:r>
    </w:p>
    <w:p>
      <w:pPr>
        <w:spacing w:after="0" w:line="12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These statements may be found under the “Risk Factors” and “Management’s Discussion and Analysis of Financial Condition and Results of Operations” sections of this Quarterly Report on Form 10-Q. Forward-looking statements may be identified by the use of terms such as “anticipates,” “believes,” “can,” “continue,” “could,” “estimates,” “expects,” “intends,” “may,” “plans,” “potential,” “predicts,” or “should” or the negative thereof or other variations thereof or comparable terminology.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2022 and in this Quarterly Report on Form 10-Q for the quarter ended September 30, 2023. Any forward-looking statement included or incorporated by reference in this Quarterly Report on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publicly update any forward-looking statements or to publicly announce revisions to any of the forward-looking statements, unless otherwise required by the federal securities laws.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70"/>
              <w:spacing w:after="0"/>
              <w:rPr>
                <w:sz w:val="20"/>
                <w:szCs w:val="20"/>
                <w:color w:val="auto"/>
              </w:rPr>
            </w:pPr>
            <w:r>
              <w:rPr>
                <w:rFonts w:ascii="Arial" w:cs="Arial" w:eastAsia="Arial" w:hAnsi="Arial"/>
                <w:sz w:val="18"/>
                <w:szCs w:val="18"/>
                <w:b w:val="1"/>
                <w:bCs w:val="1"/>
                <w:color w:val="auto"/>
                <w:w w:val="98"/>
              </w:rPr>
              <w:t>PART I</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Arial" w:cs="Arial" w:eastAsia="Arial" w:hAnsi="Arial"/>
                <w:sz w:val="18"/>
                <w:szCs w:val="18"/>
                <w:b w:val="1"/>
                <w:bCs w:val="1"/>
                <w:color w:val="auto"/>
              </w:rPr>
              <w:t>ADMA BIOLOGICS,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3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7"/>
                <w:szCs w:val="17"/>
                <w:color w:val="auto"/>
              </w:rPr>
            </w:pPr>
          </w:p>
        </w:tc>
        <w:tc>
          <w:tcPr>
            <w:tcW w:w="10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3"/>
              </w:rPr>
              <w:t>(Unaudited)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74,156,765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86,521,542</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31,318,680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15,505,048</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163,116,105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163,280,047</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5,107,455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5,095,146</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273,699,005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270,401,783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54,814,607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58,261,481</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476,902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1,013,415</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3,529,509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3,529,509</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Right-to-use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9,753,725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10,485,447</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6,722,817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4,770,246</w:t>
            </w:r>
          </w:p>
        </w:tc>
      </w:tr>
      <w:tr>
        <w:trPr>
          <w:trHeight w:val="257"/>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348,996,565</w:t>
            </w:r>
          </w:p>
        </w:tc>
        <w:tc>
          <w:tcPr>
            <w:tcW w:w="20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348,461,881</w:t>
            </w:r>
          </w:p>
        </w:tc>
        <w:tc>
          <w:tcPr>
            <w:tcW w:w="100" w:type="dxa"/>
            <w:vAlign w:val="bottom"/>
            <w:shd w:val="clear" w:color="auto" w:fill="CCEEFF"/>
          </w:tcPr>
          <w:p>
            <w:pPr>
              <w:spacing w:after="0"/>
              <w:rPr>
                <w:sz w:val="22"/>
                <w:szCs w:val="22"/>
                <w:color w:val="auto"/>
              </w:rPr>
            </w:pPr>
          </w:p>
        </w:tc>
      </w:tr>
      <w:tr>
        <w:trPr>
          <w:trHeight w:val="210"/>
        </w:trPr>
        <w:tc>
          <w:tcPr>
            <w:tcW w:w="32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10,851,446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13,229,390</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29,863,726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24,989,349</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142,834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142,834</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Current portion of lease obligations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982,891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905,369</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41,840,897</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39,266,942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Senior notes payable, net of discount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142,025,542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142,833,063</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1,725,906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1,833,031</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End of term fee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1,567,139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1,500,000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obligations, net of current portion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9,965,088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10,704,176</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434,647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350,454</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197,559,219</w:t>
            </w:r>
          </w:p>
        </w:tc>
        <w:tc>
          <w:tcPr>
            <w:tcW w:w="2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196,487,666</w:t>
            </w:r>
          </w:p>
        </w:tc>
        <w:tc>
          <w:tcPr>
            <w:tcW w:w="100" w:type="dxa"/>
            <w:vAlign w:val="bottom"/>
            <w:shd w:val="clear" w:color="auto" w:fill="CCEEFF"/>
          </w:tcPr>
          <w:p>
            <w:pPr>
              <w:spacing w:after="0"/>
              <w:rPr>
                <w:sz w:val="19"/>
                <w:szCs w:val="19"/>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Preferred Stock, $0.0001 par value, 10,000,000 shares authorized, no shares issued and outstanding</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 voting, $0.0001 par value, 300,000,000 shares authorized, 225,958,084 and 221,816,930 shares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issued and outstanding</w:t>
            </w: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22,596</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22,182</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640,025,888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629,968,704</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(488,611,138)</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(478,016,671)</w:t>
            </w:r>
          </w:p>
        </w:tc>
      </w:tr>
      <w:tr>
        <w:trPr>
          <w:trHeight w:val="223"/>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151,437,346</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151,974,215</w:t>
            </w:r>
          </w:p>
        </w:tc>
        <w:tc>
          <w:tcPr>
            <w:tcW w:w="100" w:type="dxa"/>
            <w:vAlign w:val="bottom"/>
            <w:tcBorders>
              <w:top w:val="single" w:sz="8" w:color="CCEEFF"/>
            </w:tcBorders>
          </w:tcPr>
          <w:p>
            <w:pPr>
              <w:spacing w:after="0"/>
              <w:rPr>
                <w:sz w:val="19"/>
                <w:szCs w:val="19"/>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348,996,565</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348,461,881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40" w:type="dxa"/>
            <w:vAlign w:val="bottom"/>
          </w:tcPr>
          <w:p>
            <w:pPr>
              <w:spacing w:after="0"/>
              <w:rPr>
                <w:sz w:val="20"/>
                <w:szCs w:val="20"/>
                <w:color w:val="auto"/>
              </w:rPr>
            </w:pPr>
          </w:p>
        </w:tc>
        <w:tc>
          <w:tcPr>
            <w:tcW w:w="300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 30,</w:t>
            </w:r>
          </w:p>
        </w:tc>
        <w:tc>
          <w:tcPr>
            <w:tcW w:w="2800" w:type="dxa"/>
            <w:vAlign w:val="bottom"/>
            <w:gridSpan w:val="7"/>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4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67,274,598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41,090,137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9"/>
              </w:rPr>
              <w:t>184,311,323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104,098,237</w:t>
            </w:r>
          </w:p>
        </w:tc>
      </w:tr>
      <w:tr>
        <w:trPr>
          <w:trHeight w:val="223"/>
        </w:trPr>
        <w:tc>
          <w:tcPr>
            <w:tcW w:w="544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42,622,013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31,433,496</w:t>
            </w:r>
          </w:p>
        </w:tc>
        <w:tc>
          <w:tcPr>
            <w:tcW w:w="20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126,455,745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83,010,156</w:t>
            </w:r>
          </w:p>
        </w:tc>
      </w:tr>
      <w:tr>
        <w:trPr>
          <w:trHeight w:val="223"/>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24,652,585</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9,656,641</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57,855,578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21,088,081</w:t>
            </w:r>
          </w:p>
        </w:tc>
        <w:tc>
          <w:tcPr>
            <w:tcW w:w="100" w:type="dxa"/>
            <w:vAlign w:val="bottom"/>
            <w:shd w:val="clear" w:color="auto" w:fill="CCEEFF"/>
          </w:tcPr>
          <w:p>
            <w:pPr>
              <w:spacing w:after="0"/>
              <w:rPr>
                <w:sz w:val="19"/>
                <w:szCs w:val="19"/>
                <w:color w:val="auto"/>
              </w:rPr>
            </w:pPr>
          </w:p>
        </w:tc>
      </w:tr>
      <w:tr>
        <w:trPr>
          <w:trHeight w:val="216"/>
        </w:trPr>
        <w:tc>
          <w:tcPr>
            <w:tcW w:w="54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595,903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1,041,947</w:t>
            </w:r>
          </w:p>
        </w:tc>
        <w:tc>
          <w:tcPr>
            <w:tcW w:w="20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2,854,514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2,539,444</w:t>
            </w: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Plasma center operating expenses</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466,898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4,859,450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3,580,785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12,755,525</w:t>
            </w: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178,838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178,838</w:t>
            </w:r>
          </w:p>
        </w:tc>
        <w:tc>
          <w:tcPr>
            <w:tcW w:w="20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536,514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536,514</w:t>
            </w: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14,725,787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12,893,139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43,485,001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38,563,136</w:t>
            </w:r>
          </w:p>
        </w:tc>
      </w:tr>
      <w:tr>
        <w:trPr>
          <w:trHeight w:val="27"/>
        </w:trPr>
        <w:tc>
          <w:tcPr>
            <w:tcW w:w="5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44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15,967,426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18,973,374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50,456,814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54,394,619</w:t>
            </w:r>
          </w:p>
        </w:tc>
      </w:tr>
      <w:tr>
        <w:trPr>
          <w:trHeight w:val="216"/>
        </w:trPr>
        <w:tc>
          <w:tcPr>
            <w:tcW w:w="5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b w:val="1"/>
                <w:bCs w:val="1"/>
                <w:color w:val="auto"/>
              </w:rPr>
              <w:t>INCOME (LOSS) FROM OPERATIONS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8,685,159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(9,316,733)</w:t>
            </w:r>
          </w:p>
        </w:tc>
        <w:tc>
          <w:tcPr>
            <w:tcW w:w="20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7,398,764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(33,306,538)</w:t>
            </w:r>
          </w:p>
        </w:tc>
      </w:tr>
      <w:tr>
        <w:trPr>
          <w:trHeight w:val="216"/>
        </w:trPr>
        <w:tc>
          <w:tcPr>
            <w:tcW w:w="5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423,276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1,004,551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42,573</w:t>
            </w: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(6,397,553)</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(5,580,366)</w:t>
            </w:r>
          </w:p>
        </w:tc>
        <w:tc>
          <w:tcPr>
            <w:tcW w:w="2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(18,812,144)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(13,542,419)</w:t>
            </w: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(6,669,941)</w:t>
            </w:r>
          </w:p>
        </w:tc>
      </w:tr>
      <w:tr>
        <w:trPr>
          <w:trHeight w:val="223"/>
        </w:trPr>
        <w:tc>
          <w:tcPr>
            <w:tcW w:w="544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(145,827)</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(9,641)</w:t>
            </w:r>
          </w:p>
        </w:tc>
        <w:tc>
          <w:tcPr>
            <w:tcW w:w="20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(185,638)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(195,942)</w:t>
            </w:r>
          </w:p>
        </w:tc>
      </w:tr>
      <w:tr>
        <w:trPr>
          <w:trHeight w:val="223"/>
        </w:trPr>
        <w:tc>
          <w:tcPr>
            <w:tcW w:w="5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Other expense, net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(6,120,104)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(5,582,771)</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(17,993,231</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(20,365,729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2,565,055</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(14,899,504)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(10,594,467)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(53,672,267)</w:t>
            </w:r>
          </w:p>
        </w:tc>
      </w:tr>
      <w:tr>
        <w:trPr>
          <w:trHeight w:val="210"/>
        </w:trPr>
        <w:tc>
          <w:tcPr>
            <w:tcW w:w="54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INCOME (LOSS) PER COMMON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(0.05)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0"/>
        </w:trPr>
        <w:tc>
          <w:tcPr>
            <w:tcW w:w="5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b w:val="1"/>
                <w:bCs w:val="1"/>
                <w:color w:val="auto"/>
              </w:rPr>
              <w:t>DILUTED INCOME (LOSS) PER COMMON SHARE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(0.05)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(0.27)</w:t>
            </w:r>
          </w:p>
        </w:tc>
      </w:tr>
      <w:tr>
        <w:trPr>
          <w:trHeight w:val="20"/>
        </w:trPr>
        <w:tc>
          <w:tcPr>
            <w:tcW w:w="5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w:t>
            </w:r>
          </w:p>
        </w:tc>
        <w:tc>
          <w:tcPr>
            <w:tcW w:w="22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225,276,980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196,383,935</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9"/>
              </w:rPr>
              <w:t>223,306,331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196,204,893</w:t>
            </w:r>
          </w:p>
        </w:tc>
      </w:tr>
      <w:tr>
        <w:trPr>
          <w:trHeight w:val="20"/>
        </w:trPr>
        <w:tc>
          <w:tcPr>
            <w:tcW w:w="5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44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233,761,262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196,383,935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223,306,331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w w:val="99"/>
              </w:rPr>
              <w:t>196,204,893</w:t>
            </w:r>
          </w:p>
        </w:tc>
      </w:tr>
      <w:tr>
        <w:trPr>
          <w:trHeight w:val="20"/>
        </w:trPr>
        <w:tc>
          <w:tcPr>
            <w:tcW w:w="5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gridSpan w:val="6"/>
            <w:vMerge w:val="restart"/>
          </w:tcPr>
          <w:p>
            <w:pPr>
              <w:jc w:val="center"/>
              <w:ind w:right="180"/>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4"/>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Deficit</w:t>
            </w: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80" w:type="dxa"/>
            <w:vAlign w:val="bottom"/>
            <w:shd w:val="clear" w:color="auto" w:fill="CCEEFF"/>
          </w:tcPr>
          <w:p>
            <w:pPr>
              <w:spacing w:after="0"/>
              <w:rPr>
                <w:sz w:val="18"/>
                <w:szCs w:val="18"/>
                <w:color w:val="auto"/>
              </w:rPr>
            </w:pPr>
          </w:p>
        </w:tc>
        <w:tc>
          <w:tcPr>
            <w:tcW w:w="108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221,816,930</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22,182</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629,968,704</w:t>
            </w:r>
          </w:p>
        </w:tc>
        <w:tc>
          <w:tcPr>
            <w:tcW w:w="18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(478,016,671)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151,974,215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1,110,166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1,110,166</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Vesting of Restricted Stock Units, net of shares withheld for taxes</w:t>
            </w:r>
          </w:p>
        </w:tc>
        <w:tc>
          <w:tcPr>
            <w:tcW w:w="11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443,215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(640,990)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(640,946)</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2,443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(6,788,815)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(6,788,815)</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Balance at March 31, 2023</w:t>
            </w: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222,262,588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630,437,880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(484,805,486)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145,654,620</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1,637,038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1,637,038</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w w:val="91"/>
              </w:rPr>
              <w:t>Vesting of Restricted Stock Units, net of shares withheld for taxes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117,484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(224,978)</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(224,966)</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issued in connection with note payable</w:t>
            </w:r>
          </w:p>
        </w:tc>
        <w:tc>
          <w:tcPr>
            <w:tcW w:w="11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5,594,764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5,594,764</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Cashless exercise of warrants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1,967,847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178,829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471,528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471,546</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(6,370,707)</w:t>
            </w: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(6,370,707)</w:t>
            </w: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2023</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224,526,748</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22,453</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637,916,035</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(491,176,193)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146,762,295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800" w:type="dxa"/>
            <w:vAlign w:val="bottom"/>
            <w:gridSpan w:val="2"/>
          </w:tcPr>
          <w:p>
            <w:pPr>
              <w:spacing w:after="0"/>
              <w:rPr>
                <w:sz w:val="20"/>
                <w:szCs w:val="20"/>
                <w:color w:val="auto"/>
              </w:rPr>
            </w:pPr>
            <w:r>
              <w:rPr>
                <w:rFonts w:ascii="Arial" w:cs="Arial" w:eastAsia="Arial" w:hAnsi="Arial"/>
                <w:sz w:val="18"/>
                <w:szCs w:val="18"/>
                <w:color w:val="auto"/>
                <w:w w:val="91"/>
              </w:rPr>
              <w:t>Vesting of Restricted Stock Units, net of shares withheld for taxes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171,295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(208,655)</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(208,638)</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1,260,041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623,867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623,993</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1,694,641</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1,694,641</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2,565,055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2,565,055</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Balance at September 30, 2023</w:t>
            </w: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225,958,084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22,596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640,025,888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(488,611,138)</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151,437,346</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40" w:type="dxa"/>
            <w:vAlign w:val="bottom"/>
            <w:tcBorders>
              <w:bottom w:val="single" w:sz="8" w:color="auto"/>
            </w:tcBorders>
            <w:gridSpan w:val="12"/>
          </w:tcPr>
          <w:p>
            <w:pPr>
              <w:ind w:left="3360"/>
              <w:spacing w:after="0"/>
              <w:rPr>
                <w:sz w:val="20"/>
                <w:szCs w:val="20"/>
                <w:color w:val="auto"/>
              </w:rPr>
            </w:pPr>
            <w:r>
              <w:rPr>
                <w:rFonts w:ascii="Arial" w:cs="Arial" w:eastAsia="Arial" w:hAnsi="Arial"/>
                <w:sz w:val="18"/>
                <w:szCs w:val="18"/>
                <w:b w:val="1"/>
                <w:bCs w:val="1"/>
                <w:color w:val="auto"/>
              </w:rPr>
              <w:t>For the Three and Nine Months Ended September 30, 2022</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6"/>
            <w:vMerge w:val="restart"/>
          </w:tcPr>
          <w:p>
            <w:pPr>
              <w:ind w:left="38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4"/>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Paid-in</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w w:val="89"/>
              </w:rPr>
              <w:t>Shares</w:t>
            </w: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Deficit</w:t>
            </w: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195,813,817</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19,581</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553,265,706</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(412,112,721)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141,172,566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Warrants issued in connection with notes payable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9,569,604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9,569,604</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1,641,388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1,641,388</w:t>
            </w:r>
          </w:p>
        </w:tc>
        <w:tc>
          <w:tcPr>
            <w:tcW w:w="0" w:type="dxa"/>
            <w:vAlign w:val="bottom"/>
          </w:tcPr>
          <w:p>
            <w:pPr>
              <w:spacing w:after="0"/>
              <w:rPr>
                <w:sz w:val="1"/>
                <w:szCs w:val="1"/>
                <w:color w:val="auto"/>
              </w:rPr>
            </w:pPr>
          </w:p>
        </w:tc>
      </w:tr>
      <w:tr>
        <w:trPr>
          <w:trHeight w:val="202"/>
        </w:trPr>
        <w:tc>
          <w:tcPr>
            <w:tcW w:w="4800" w:type="dxa"/>
            <w:vAlign w:val="bottom"/>
            <w:gridSpan w:val="2"/>
          </w:tcPr>
          <w:p>
            <w:pPr>
              <w:spacing w:after="0" w:line="201" w:lineRule="exact"/>
              <w:rPr>
                <w:sz w:val="20"/>
                <w:szCs w:val="20"/>
                <w:color w:val="auto"/>
              </w:rPr>
            </w:pPr>
            <w:r>
              <w:rPr>
                <w:rFonts w:ascii="Arial" w:cs="Arial" w:eastAsia="Arial" w:hAnsi="Arial"/>
                <w:sz w:val="18"/>
                <w:szCs w:val="18"/>
                <w:color w:val="auto"/>
              </w:rPr>
              <w:t>Vesting of Restricted Stock Units, net of shares withheld for</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taxes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533,712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(442,690)</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(442,636)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(25,007,857)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(25,007,857)</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March 31, 2022</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1"/>
              </w:rPr>
              <w:t>196,347,529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564,034,008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(437,120,578)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126,933,065</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1,191,047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1,191,047</w:t>
            </w:r>
          </w:p>
        </w:tc>
        <w:tc>
          <w:tcPr>
            <w:tcW w:w="0" w:type="dxa"/>
            <w:vAlign w:val="bottom"/>
          </w:tcPr>
          <w:p>
            <w:pPr>
              <w:spacing w:after="0"/>
              <w:rPr>
                <w:sz w:val="1"/>
                <w:szCs w:val="1"/>
                <w:color w:val="auto"/>
              </w:rPr>
            </w:pPr>
          </w:p>
        </w:tc>
      </w:tr>
      <w:tr>
        <w:trPr>
          <w:trHeight w:val="202"/>
        </w:trPr>
        <w:tc>
          <w:tcPr>
            <w:tcW w:w="4800" w:type="dxa"/>
            <w:vAlign w:val="bottom"/>
            <w:gridSpan w:val="2"/>
          </w:tcPr>
          <w:p>
            <w:pPr>
              <w:spacing w:after="0" w:line="201" w:lineRule="exact"/>
              <w:rPr>
                <w:sz w:val="20"/>
                <w:szCs w:val="20"/>
                <w:color w:val="auto"/>
              </w:rPr>
            </w:pPr>
            <w:r>
              <w:rPr>
                <w:rFonts w:ascii="Arial" w:cs="Arial" w:eastAsia="Arial" w:hAnsi="Arial"/>
                <w:sz w:val="18"/>
                <w:szCs w:val="18"/>
                <w:color w:val="auto"/>
              </w:rPr>
              <w:t>Vesting of Restricted Stock Units, net of shares withheld for</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taxes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8,703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41,320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41,321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(13,764,906)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(13,764,906)</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June 30, 2022</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1"/>
              </w:rPr>
              <w:t>196,356,232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565,266,375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(450,885,484)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114,400,527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1,313,494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00" w:type="dxa"/>
            <w:vAlign w:val="bottom"/>
            <w:gridSpan w:val="2"/>
          </w:tcPr>
          <w:p>
            <w:pPr>
              <w:spacing w:after="0" w:line="201" w:lineRule="exact"/>
              <w:rPr>
                <w:sz w:val="20"/>
                <w:szCs w:val="20"/>
                <w:color w:val="auto"/>
              </w:rPr>
            </w:pPr>
            <w:r>
              <w:rPr>
                <w:rFonts w:ascii="Arial" w:cs="Arial" w:eastAsia="Arial" w:hAnsi="Arial"/>
                <w:sz w:val="18"/>
                <w:szCs w:val="18"/>
                <w:color w:val="auto"/>
              </w:rPr>
              <w:t>Vesting of Restricted Stock Units, net of shares withheld for</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taxes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420,639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(430,023)</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(429,981)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(14,899,504)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(14,899,504)</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September 30, 2022</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1"/>
              </w:rPr>
              <w:t>196,776,871</w:t>
            </w:r>
          </w:p>
        </w:tc>
        <w:tc>
          <w:tcPr>
            <w:tcW w:w="200" w:type="dxa"/>
            <w:vAlign w:val="bottom"/>
          </w:tcPr>
          <w:p>
            <w:pPr>
              <w:spacing w:after="0"/>
              <w:rPr>
                <w:sz w:val="18"/>
                <w:szCs w:val="18"/>
                <w:color w:val="auto"/>
              </w:rPr>
            </w:pPr>
          </w:p>
        </w:tc>
        <w:tc>
          <w:tcPr>
            <w:tcW w:w="180" w:type="dxa"/>
            <w:vAlign w:val="bottom"/>
          </w:tcPr>
          <w:p>
            <w:pPr>
              <w:jc w:val="center"/>
              <w:ind w:right="1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19,678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566,149,846</w:t>
            </w:r>
          </w:p>
        </w:tc>
        <w:tc>
          <w:tcPr>
            <w:tcW w:w="18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 (465,784,988)</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100,384,536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60" w:type="dxa"/>
            <w:vAlign w:val="bottom"/>
          </w:tcPr>
          <w:p>
            <w:pPr>
              <w:spacing w:after="0"/>
              <w:rPr>
                <w:sz w:val="20"/>
                <w:szCs w:val="20"/>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8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(10,594,467)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(53,672,267)</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6,223,050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5,176,492</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Loss on disposal of fixed assets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110,947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8,408</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 in kind</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2,958,592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2,023,932</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4,441,845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4,145,929</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discount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1,895,790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1,908,127</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6,669,941</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license revenue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(107,125)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(107,125)</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(15,813,632)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7,674,472</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163,942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(38,189,543)</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(12,309)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(1,033,238)</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Deposits and other assets</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(1,220,849)</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195,756</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(1,154,769)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12,768,396</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4,874,378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667,193</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and non-current liabilities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(561,345)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(365,415)</w:t>
            </w:r>
          </w:p>
        </w:tc>
      </w:tr>
      <w:tr>
        <w:trPr>
          <w:trHeight w:val="27"/>
        </w:trPr>
        <w:tc>
          <w:tcPr>
            <w:tcW w:w="84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46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(8,795,952)</w:t>
            </w:r>
          </w:p>
        </w:tc>
        <w:tc>
          <w:tcPr>
            <w:tcW w:w="1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(52,128,942)</w:t>
            </w:r>
          </w:p>
        </w:tc>
      </w:tr>
      <w:tr>
        <w:trPr>
          <w:trHeight w:val="216"/>
        </w:trPr>
        <w:tc>
          <w:tcPr>
            <w:tcW w:w="84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(3,573,786)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(10,162,650)</w:t>
            </w:r>
          </w:p>
        </w:tc>
      </w:tr>
      <w:tr>
        <w:trPr>
          <w:trHeight w:val="27"/>
        </w:trPr>
        <w:tc>
          <w:tcPr>
            <w:tcW w:w="84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46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(3,573,786)</w:t>
            </w:r>
          </w:p>
        </w:tc>
        <w:tc>
          <w:tcPr>
            <w:tcW w:w="1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(10,162,650)</w:t>
            </w:r>
          </w:p>
        </w:tc>
      </w:tr>
      <w:tr>
        <w:trPr>
          <w:trHeight w:val="216"/>
        </w:trPr>
        <w:tc>
          <w:tcPr>
            <w:tcW w:w="84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on notes payable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(100,000,000)</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Payment of debt refinancing fees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(2,000,000)</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note payable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151,750,000</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Taxes paid on vested Restricted Stock Units</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(1,074,550)</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(831,297)</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finance lease obligations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(16,028)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(27,281)</w:t>
            </w: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Net proceeds from the exercise of stock options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1,095,539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deferred financing fees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(2,782,928)</w:t>
            </w:r>
          </w:p>
        </w:tc>
      </w:tr>
      <w:tr>
        <w:trPr>
          <w:trHeight w:val="223"/>
        </w:trPr>
        <w:tc>
          <w:tcPr>
            <w:tcW w:w="846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4,961</w:t>
            </w:r>
          </w:p>
        </w:tc>
        <w:tc>
          <w:tcPr>
            <w:tcW w:w="24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46,108,494</w:t>
            </w:r>
          </w:p>
        </w:tc>
        <w:tc>
          <w:tcPr>
            <w:tcW w:w="100" w:type="dxa"/>
            <w:vAlign w:val="bottom"/>
            <w:tcBorders>
              <w:top w:val="single" w:sz="8" w:color="CCEEFF"/>
            </w:tcBorders>
          </w:tcPr>
          <w:p>
            <w:pPr>
              <w:spacing w:after="0"/>
              <w:rPr>
                <w:sz w:val="19"/>
                <w:szCs w:val="19"/>
                <w:color w:val="auto"/>
              </w:rPr>
            </w:pPr>
          </w:p>
        </w:tc>
      </w:tr>
      <w:tr>
        <w:trPr>
          <w:trHeight w:val="216"/>
        </w:trPr>
        <w:tc>
          <w:tcPr>
            <w:tcW w:w="8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(12,364,777)</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(16,183,098)</w:t>
            </w:r>
          </w:p>
        </w:tc>
      </w:tr>
      <w:tr>
        <w:trPr>
          <w:trHeight w:val="223"/>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86,521,542</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51,089,118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74,156,765</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34,906,020</w:t>
            </w:r>
          </w:p>
        </w:tc>
      </w:tr>
      <w:tr>
        <w:trPr>
          <w:trHeight w:val="20"/>
        </w:trPr>
        <w:tc>
          <w:tcPr>
            <w:tcW w:w="8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BUSINESS</w:t>
      </w:r>
    </w:p>
    <w:p>
      <w:pPr>
        <w:spacing w:after="0" w:line="229" w:lineRule="exact"/>
        <w:rPr>
          <w:sz w:val="20"/>
          <w:szCs w:val="20"/>
          <w:color w:val="auto"/>
        </w:rPr>
      </w:pPr>
    </w:p>
    <w:p>
      <w:pPr>
        <w:ind w:right="80" w:firstLine="607"/>
        <w:spacing w:after="0" w:line="259" w:lineRule="auto"/>
        <w:rPr>
          <w:sz w:val="20"/>
          <w:szCs w:val="20"/>
          <w:color w:val="auto"/>
        </w:rPr>
      </w:pPr>
      <w:r>
        <w:rPr>
          <w:rFonts w:ascii="Arial" w:cs="Arial" w:eastAsia="Arial" w:hAnsi="Arial"/>
          <w:sz w:val="18"/>
          <w:szCs w:val="18"/>
          <w:color w:val="auto"/>
        </w:rPr>
        <w:t>ADMA Biologics, Inc. (“ADMA” or the “Company”) is an end-to-end commercial biopharmaceutical company dedicated to manufacturing, marketing and developing specialty plasma-derived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firstLine="607"/>
        <w:spacing w:after="0" w:line="272" w:lineRule="auto"/>
        <w:rPr>
          <w:sz w:val="20"/>
          <w:szCs w:val="20"/>
          <w:color w:val="auto"/>
        </w:rPr>
      </w:pPr>
      <w:r>
        <w:rPr>
          <w:rFonts w:ascii="Arial" w:cs="Arial" w:eastAsia="Arial" w:hAnsi="Arial"/>
          <w:sz w:val="17"/>
          <w:szCs w:val="17"/>
          <w:color w:val="auto"/>
        </w:rPr>
        <w:t>ADMA operates through its wholly-owned subsidiaries ADMA BioManufacturing, LLC (“ADMA BioManufacturing”) and ADMA BioCenters Georgia Inc. (“ADMA BioCenters”). ADMA BioManufacturing was formed in January 2017 to facilitate the acquisition of the Biotest Therapy Business Unit (“BTBU”) from BPC Plasma, Inc. (formerly Biotest Pharmaceuticals Corporation) (“BPC” and, together with Biotest AG, “Biotest”) on June 6, 2017. The acquisition included certain assets of BTBU, including the U.S. Food and Drug Administration (“FDA”)-licensed BIVIGAM and Nabi-HB immunoglobulin products, and an FDA-licensed plasma fractionation manufacturing facility located in Boca Raton, FL (the “Boca Facility”) (the “Biotest Transaction”). BTBU had previously been the Company’s third-party contract manufacturer. ADMA BioCenters is the Company’s source plasma collection business with ten plasma collection facilities located throughout the U.S., nine of which hold an approved license with the FDA.</w:t>
      </w:r>
    </w:p>
    <w:p>
      <w:pPr>
        <w:spacing w:after="0" w:line="177" w:lineRule="exact"/>
        <w:rPr>
          <w:sz w:val="20"/>
          <w:szCs w:val="20"/>
          <w:color w:val="auto"/>
        </w:rPr>
      </w:pPr>
    </w:p>
    <w:p>
      <w:pPr>
        <w:ind w:right="60" w:firstLine="607"/>
        <w:spacing w:after="0" w:line="269" w:lineRule="auto"/>
        <w:rPr>
          <w:sz w:val="20"/>
          <w:szCs w:val="20"/>
          <w:color w:val="auto"/>
        </w:rPr>
      </w:pPr>
      <w:r>
        <w:rPr>
          <w:rFonts w:ascii="Arial" w:cs="Arial" w:eastAsia="Arial" w:hAnsi="Arial"/>
          <w:sz w:val="17"/>
          <w:szCs w:val="17"/>
          <w:color w:val="auto"/>
        </w:rPr>
        <w:t>The Company has three FDA-approved products, all of which are currently marketed and commercially available: (i) BIVIGAM (Immune Globulin Intravenous, Human), an Intravenous Immune Globulin (“IVIG”) product indicated for the treatment of Primary Humoral Immunodeficiency (“PI”), also known as Primary Immunodeficiency Disease (“PIDD”) or Inborn Errors of Immunity, and for which the Company received FDA approval on May 9, 2019 and commenced commercial sales in August 2019; (ii) ASCENIV (Immune Globulin Intravenous, Human – slra 10% Liquid), an IVIG product indicated for the treatment of PI, for which the Company received FDA approval on April 1, 2019 and commenced first commercial sales in October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provides contract manufacturing and laboratory services for certain clients and generates revenues from the sale of intermediate by-products that result from the immunoglobulin production process as well as sales of normal source and high-titer plasma. The Company seeks to develop a pipeline of plasma-derived therapeutics, and its products and product candidates are intended to be used by physician specialists focused on caring for immune-compromised patients with or at risk for certain infectious diseases.</w:t>
      </w:r>
    </w:p>
    <w:p>
      <w:pPr>
        <w:spacing w:after="0" w:line="18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As of September 30, 2023, the Company had working capital of $231.9 million, including $74.2 million of cash and cash equivalents. Based upon the Company’s current projected revenue and expenditures, including capital expenditures and continued implementation of the Company’s commercialization and expansion activities, the Company’s management currently believes that its cash, cash equivalents, projected revenue and accounts receivable will be sufficient to fund ADMA’s operations, as currently conducted, through the end of fiscal 2024. The Company estimates that it will continue to generate positive cash flow from operations, however these estimates may change based upon several factors, including the success of the Company’s commercial efforts with respect to the sale of its products, whether or not the assumptions underlying the Company’s projected revenues and expenses are correct and the continued acceptability of ADMA’s immune globulin products by physicians, patients or payers. There can be no assurance that the Company’s approved products will continue to be commercially viable, or that plant capacity expansion or other capital improvements will be successfully completed or that any product developed in the future will be approved. The Company is subject to risks common to companies in the biologics, biotechnology and pharmaceutical manufacturing industries including, but not limited to, dependence on collaborative arrangements, development by the Company or its competitors of new technological innovations, dependence on key personnel, inflationary pressures, supply chain constraints, protection of proprietary technology and compliance with FDA and other governmental regulations and approval requirements.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ADMA continues to evaluate a variety of strategic alternatives, and the exploration of value-creating opportunities remains a top corporate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priority.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22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18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annual audited consolidated financial statements and notes thereto as of and for the year ended December 31, 2022 included in the Company’s Annual Report on Form 10-K filed with the U.S. Securities and Exchange Commission (the “SEC”) on March 23, 2023. The accompanying consolidated balance sheet as of December 31, 2022 was derived from the audited financial statements as of and for the year ended December 31, 2022. These condensed consolidated interim financial statements have been prepared in accordance with the instructions to Form 10-Q and Article 8 of Regulation S-X, and therefore omit or condense certain footnotes and other information normally included in complete consolidated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financial position as of September 30, 2023, its results of operations and changes in stockholders’ equity for the three and nine months ended September 30, 2023 and its cash flows for the nine months ended September 30, 2023 and 2022.</w:t>
      </w:r>
    </w:p>
    <w:p>
      <w:pPr>
        <w:spacing w:after="0" w:line="18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During the three and nine months ended September 30, 2023 and 2022, comprehensive loss was equal to the net loss amounts presented for the respective periods in the accompanying condensed consolidated statements of operations. Operating results for interim periods are not necessarily indicative of the results that may be expected for the full fiscal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rebates and chargebacks deducted from gross revenues, the realizable value of accounts receivable, valuation of inventory, assumptions used in projecting future liquidity and capital requirements, assumptions used in the fair value of awards granted under the Company’s equity incentive plans and warrants issued in connection with the issuance of notes payable and the valuation allowance for the Company’s deferred tax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Financial Instruments</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secured term loan (see Note 7) approximates fair value due to the variable interest rate on this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Accounts receivable is reported at realizable value, net of allowances for contractual credits and doubtful accounts in the amount of $0.1 million at September 30, 2023 and December 31, 2022, respectively, which are recognized in the period the related revenue is recorded. </w:t>
      </w:r>
      <w:r>
        <w:rPr>
          <w:rFonts w:ascii="Arial" w:cs="Arial" w:eastAsia="Arial" w:hAnsi="Arial"/>
          <w:sz w:val="16"/>
          <w:szCs w:val="16"/>
          <w:color w:val="212529"/>
        </w:rPr>
        <w:t>The Company extends credit</w:t>
      </w:r>
      <w:r>
        <w:rPr>
          <w:rFonts w:ascii="Arial" w:cs="Arial" w:eastAsia="Arial" w:hAnsi="Arial"/>
          <w:sz w:val="16"/>
          <w:szCs w:val="16"/>
          <w:color w:val="auto"/>
        </w:rPr>
        <w:t xml:space="preserve"> </w:t>
      </w:r>
      <w:r>
        <w:rPr>
          <w:rFonts w:ascii="Arial" w:cs="Arial" w:eastAsia="Arial" w:hAnsi="Arial"/>
          <w:sz w:val="16"/>
          <w:szCs w:val="16"/>
          <w:color w:val="212529"/>
        </w:rPr>
        <w:t xml:space="preserve">to its customers based upon an evaluation of each customer’s financial condition and credit history. Evaluations of the financial condition, payment history and associated credit risk of customers are performed on an ongoing basis. </w:t>
      </w:r>
      <w:r>
        <w:rPr>
          <w:rFonts w:ascii="Arial" w:cs="Arial" w:eastAsia="Arial" w:hAnsi="Arial"/>
          <w:sz w:val="16"/>
          <w:szCs w:val="16"/>
          <w:color w:val="000000"/>
        </w:rPr>
        <w:t>Based on these evaluations, the Company has concluded that its credit risk is</w:t>
      </w:r>
      <w:r>
        <w:rPr>
          <w:rFonts w:ascii="Arial" w:cs="Arial" w:eastAsia="Arial" w:hAnsi="Arial"/>
          <w:sz w:val="16"/>
          <w:szCs w:val="16"/>
          <w:color w:val="212529"/>
        </w:rPr>
        <w:t xml:space="preserve"> </w:t>
      </w:r>
      <w:r>
        <w:rPr>
          <w:rFonts w:ascii="Arial" w:cs="Arial" w:eastAsia="Arial" w:hAnsi="Arial"/>
          <w:sz w:val="16"/>
          <w:szCs w:val="16"/>
          <w:color w:val="000000"/>
        </w:rPr>
        <w:t>minimal. At September 30, 2023, four customers accounted for an aggregate of approximately 95% of the Company’s total accounts receivable, and at December 31, 2022, two customers accounted for approximately 92% of the Company’s total accounts receivable.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25" w:lineRule="exact"/>
        <w:rPr>
          <w:sz w:val="20"/>
          <w:szCs w:val="20"/>
          <w:color w:val="auto"/>
        </w:rPr>
      </w:pPr>
    </w:p>
    <w:p>
      <w:pPr>
        <w:ind w:right="60" w:firstLine="607"/>
        <w:spacing w:after="0" w:line="273" w:lineRule="auto"/>
        <w:rPr>
          <w:sz w:val="20"/>
          <w:szCs w:val="20"/>
          <w:color w:val="auto"/>
        </w:rPr>
      </w:pPr>
      <w:r>
        <w:rPr>
          <w:rFonts w:ascii="Arial" w:cs="Arial" w:eastAsia="Arial" w:hAnsi="Arial"/>
          <w:sz w:val="17"/>
          <w:szCs w:val="17"/>
          <w:color w:val="auto"/>
        </w:rPr>
        <w:t>Raw materials inventory consists of various materials purchased from suppliers, including normal source plasma and Respiratory Syncytial Virus (“RSV”) high titer plasma,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Boca Facility overhead allocation to inventory is generally based upon the estimated square footage of the Boca Facility that is used in the production of the Company’s FDA-approved products relative to the total square footage of the facility.</w:t>
      </w:r>
    </w:p>
    <w:p>
      <w:pPr>
        <w:spacing w:after="0" w:line="178" w:lineRule="exact"/>
        <w:rPr>
          <w:sz w:val="20"/>
          <w:szCs w:val="20"/>
          <w:color w:val="auto"/>
        </w:rPr>
      </w:pPr>
    </w:p>
    <w:p>
      <w:pPr>
        <w:ind w:right="40" w:firstLine="607"/>
        <w:spacing w:after="0" w:line="290" w:lineRule="auto"/>
        <w:rPr>
          <w:sz w:val="20"/>
          <w:szCs w:val="20"/>
          <w:color w:val="auto"/>
        </w:rPr>
      </w:pPr>
      <w:r>
        <w:rPr>
          <w:rFonts w:ascii="Arial" w:cs="Arial" w:eastAsia="Arial" w:hAnsi="Arial"/>
          <w:sz w:val="16"/>
          <w:szCs w:val="16"/>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 In addition, costs associated with the production of conformance or engineering lots that would not qualify as immediately available for commercial sale are charged to cost of product revenue and not capitalized into inventory.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Goodwill represents the excess of purchase price over the fair value of net assets acquired by the Company. Goodwill at September 30, 2023 and December 31, 2022 was $3.5 million. All of the Company’s goodwill is attributable to its ADMA BioManufacturing business segment and is related to the Biotest Transaction.</w:t>
      </w:r>
    </w:p>
    <w:p>
      <w:pPr>
        <w:spacing w:after="0" w:line="18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The Company’s annual goodwill impairment test as of October 1, 2023 did not result in a goodwill impairment charge, and the Company did not record any impairment charges related to goodwill for the three and nine months ended September 30, 2023 and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assesses the recoverability of its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and nine months ended September 30, 2023 and 2022, the Company did not identify any impairment indicators for its long-lived assets, and as a result no impairment charges were recorded.</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Revenues for the three and nine months ended September 30, 2023 and 2022 are comprised of (i) revenues from the sale of the Company’s immunoglobulin products, BIVIGAM, ASCENIV and Nabi-HB, (ii) product revenues from the sale of human plasma collected through the Company’s Plasma Collection Centers business segment, (iii) contract manufacturing and laboratory services revenue, (iv) revenues from the sale of intermediate by-products; and (v) license and other revenues primarily attributable to the out-licensing of ASCENIV to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w:t>
      </w:r>
    </w:p>
    <w:p>
      <w:pPr>
        <w:spacing w:after="0" w:line="16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customer incentives, including prompt pay discounts, wholesaler chargebacks and other wholesaler fees. These estimates are based on historical experience and certain other assumptions, and while the Company believes that such estimates are reasonable, they are subject to change based on future experience and other factors. 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spacing w:after="0" w:line="17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184"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For the nine months ended September 30, 2023, two customers represented an aggregate of approximately 71% of the Company’s consolidated revenues. For the nine months ended September 30, 2022, two customers represented an aggregate of 72% of the Company’s consolidated revenues.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Product Revenue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Cost of product revenue includes costs associated with the manufacture of the Company’s FDA-approved products, intermediates and the sale of human source plasma, as well as expenses related to conformance batch production, process development and scientific and technical operations when these operations are attributable to marketed products. When the activities of these operations are attributable to new products or processes in development, the expenses are classified as research and development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Earnings/loss Per Common Share</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Basic earnings/loss per common share is computed by dividing net earnings/loss attributable to common stockholders by the weighted average number of shares of common stock outstanding during the period. Diluted earnings/loss per common share is calculated by dividing net earnings/loss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as well as Restricted Stock Units (“RSUs”), using the treasury stock method. Potentially dilutive common stock is excluded from the diluted earnings/loss per common share computation to the extent that it would be anti-dilutive. For the three months ended September 30, 2023, basic and diluted earnings per share is calculated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 (numerator)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2,565,055</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Weighted-average number of common shares (denominator)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225,276,980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225,276,980</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Potential shares of common stock arising from outstanding stock options, warrants and unvested RSUs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8,484,282</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shares - diluted (denominator)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233,761,262</w:t>
            </w:r>
          </w:p>
        </w:tc>
        <w:tc>
          <w:tcPr>
            <w:tcW w:w="100" w:type="dxa"/>
            <w:vAlign w:val="bottom"/>
            <w:shd w:val="clear" w:color="auto" w:fill="CCEEFF"/>
          </w:tcPr>
          <w:p>
            <w:pPr>
              <w:spacing w:after="0"/>
              <w:rPr>
                <w:sz w:val="18"/>
                <w:szCs w:val="18"/>
                <w:color w:val="auto"/>
              </w:rPr>
            </w:pP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bl>
    <w:p>
      <w:pPr>
        <w:spacing w:after="0" w:line="187"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For the three months ended September 30, 2023, there were no shares with an anti-dilutive effect that needed to be excluded from the earnings per share computation.</w:t>
      </w:r>
    </w:p>
    <w:p>
      <w:pPr>
        <w:spacing w:after="0" w:line="170"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For the nine months ended September 30, 2023 and for the three and nine months ended September 30, 2022 no potentially dilutive securities are included in the computation of diluted loss per share amounts in the accompanying condensed consolidated financial statements as the Company reported a net loss for these periods. For the nine months ended September 30, 2023 and 2022, the following securities were excluded from the calculation of diluted loss per common share because of their anti-dilutive effects: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60" w:type="dxa"/>
            <w:vAlign w:val="bottom"/>
          </w:tcPr>
          <w:p>
            <w:pPr>
              <w:spacing w:after="0"/>
              <w:rPr>
                <w:sz w:val="20"/>
                <w:szCs w:val="20"/>
                <w:color w:val="auto"/>
              </w:rPr>
            </w:pPr>
          </w:p>
        </w:tc>
        <w:tc>
          <w:tcPr>
            <w:tcW w:w="3380" w:type="dxa"/>
            <w:vAlign w:val="bottom"/>
            <w:gridSpan w:val="4"/>
          </w:tcPr>
          <w:p>
            <w:pPr>
              <w:spacing w:after="0"/>
              <w:rPr>
                <w:sz w:val="20"/>
                <w:szCs w:val="20"/>
                <w:color w:val="auto"/>
              </w:rPr>
            </w:pPr>
            <w:r>
              <w:rPr>
                <w:rFonts w:ascii="Arial" w:cs="Arial" w:eastAsia="Arial" w:hAnsi="Arial"/>
                <w:sz w:val="18"/>
                <w:szCs w:val="18"/>
                <w:b w:val="1"/>
                <w:bCs w:val="1"/>
                <w:color w:val="auto"/>
                <w:w w:val="92"/>
              </w:rPr>
              <w:t>For the Nine Months Ended September 30,</w:t>
            </w:r>
          </w:p>
        </w:tc>
      </w:tr>
      <w:tr>
        <w:trPr>
          <w:trHeight w:val="223"/>
        </w:trPr>
        <w:tc>
          <w:tcPr>
            <w:tcW w:w="786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5,841,241</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8,334,313</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500" w:type="dxa"/>
            <w:vAlign w:val="bottom"/>
          </w:tcPr>
          <w:p>
            <w:pPr>
              <w:jc w:val="right"/>
              <w:spacing w:after="0"/>
              <w:rPr>
                <w:sz w:val="20"/>
                <w:szCs w:val="20"/>
                <w:color w:val="auto"/>
              </w:rPr>
            </w:pPr>
            <w:r>
              <w:rPr>
                <w:rFonts w:ascii="Arial" w:cs="Arial" w:eastAsia="Arial" w:hAnsi="Arial"/>
                <w:sz w:val="18"/>
                <w:szCs w:val="18"/>
                <w:color w:val="auto"/>
              </w:rPr>
              <w:t>4,877,482</w:t>
            </w:r>
          </w:p>
        </w:tc>
        <w:tc>
          <w:tcPr>
            <w:tcW w:w="2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4,129,487</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12,502,906</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13,556,898</w:t>
            </w:r>
          </w:p>
        </w:tc>
      </w:tr>
      <w:tr>
        <w:trPr>
          <w:trHeight w:val="27"/>
        </w:trPr>
        <w:tc>
          <w:tcPr>
            <w:tcW w:w="7860" w:type="dxa"/>
            <w:vAlign w:val="bottom"/>
            <w:shd w:val="clear" w:color="auto" w:fill="CCEEFF"/>
          </w:tcPr>
          <w:p>
            <w:pPr>
              <w:spacing w:after="0"/>
              <w:rPr>
                <w:sz w:val="2"/>
                <w:szCs w:val="2"/>
                <w:color w:val="auto"/>
              </w:rPr>
            </w:pPr>
          </w:p>
        </w:tc>
        <w:tc>
          <w:tcPr>
            <w:tcW w:w="150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8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23,221,629</w:t>
            </w:r>
          </w:p>
        </w:tc>
        <w:tc>
          <w:tcPr>
            <w:tcW w:w="2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26,020,698</w:t>
            </w:r>
          </w:p>
        </w:tc>
      </w:tr>
      <w:tr>
        <w:trPr>
          <w:trHeight w:val="21"/>
        </w:trPr>
        <w:tc>
          <w:tcPr>
            <w:tcW w:w="78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264"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264"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The Company follows recognized accounting guidance which requires all equity-based payments, including grants of stock options, to be recognized in the statement of operations as compensation expense based on their fair values at the date of grant. Compensation expense related to awards to employees and directors with service-based vesting conditions is generally recognized on a straight-line basis over the associated vesting period of the award based on the grant date fair value of the award. Stock options granted under the Company’s equity incentive plans generally have a four-year vesting period and a term of 10 years. Pursuant to ASU No. 2016-09, </w:t>
      </w:r>
      <w:r>
        <w:rPr>
          <w:rFonts w:ascii="Arial" w:cs="Arial" w:eastAsia="Arial" w:hAnsi="Arial"/>
          <w:sz w:val="18"/>
          <w:szCs w:val="18"/>
          <w:i w:val="1"/>
          <w:iCs w:val="1"/>
          <w:color w:val="auto"/>
        </w:rPr>
        <w:t>Improvements to Employee Share-Based Payment Accounting (Topic 718)</w:t>
      </w:r>
      <w:r>
        <w:rPr>
          <w:rFonts w:ascii="Arial" w:cs="Arial" w:eastAsia="Arial" w:hAnsi="Arial"/>
          <w:sz w:val="18"/>
          <w:szCs w:val="18"/>
          <w:color w:val="auto"/>
        </w:rPr>
        <w:t>, the Company has elected not to establish a forfeiture rate, as stock-based compensation expense related to forfeitures of unvested stock options is fully reversed at the time of forfeiture.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The Company is subject to income tax examinations by major taxing authorities for all tax years since 2018 and for previous periods as it relates to the Company’s net operating loss carryforwards.</w:t>
      </w:r>
    </w:p>
    <w:p>
      <w:pPr>
        <w:spacing w:after="0" w:line="16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Derecognition of a tax benefit previously recognized could result in the Company recording a tax liability that would reduce net assets. Based on its analysis, the Company has determined that it has not incurred any liability for unrecognized tax benefits as of September 30, 2023 and December 31, 2022, and during the nine months ended September 30, 2023 and 2022 the Company recognized no adjustments for uncertain tax positions.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color w:val="auto"/>
              </w:rPr>
              <w:t>The following table provides the components of inventories: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49,857,909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48,644,527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58,277,455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56,170,853</w:t>
            </w:r>
          </w:p>
        </w:tc>
      </w:tr>
      <w:tr>
        <w:trPr>
          <w:trHeight w:val="223"/>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54,980,741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58,464,667</w:t>
            </w:r>
          </w:p>
        </w:tc>
      </w:tr>
      <w:tr>
        <w:trPr>
          <w:trHeight w:val="216"/>
        </w:trPr>
        <w:tc>
          <w:tcPr>
            <w:tcW w:w="868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163,116,105</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163,280,047</w:t>
            </w:r>
          </w:p>
        </w:tc>
        <w:tc>
          <w:tcPr>
            <w:tcW w:w="100" w:type="dxa"/>
            <w:vAlign w:val="bottom"/>
            <w:tcBorders>
              <w:top w:val="single" w:sz="8" w:color="CCEEFF"/>
            </w:tcBorders>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Raw materials includes plasma and other materials expected to be used in the production of BIVIGAM, ASCENIV and Nabi-HB. These materials will be consumed in the production of goods expected to be available for sale or otherwise have alternative uses that provide a probable future benefit.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Work-in-process inventory primarily consists of bulk drug substance and unlabeled filled vials of the Company’s immunoglobulin products.</w:t>
      </w:r>
    </w:p>
    <w:p>
      <w:pPr>
        <w:spacing w:after="0" w:line="23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Finished goods inventory is comprised of immunoglobulin product inventory and related intermediates that are available for commercial sale, as well as plasma collected at the Company’s plasma collection centers that is expected to be sold to third-party customers.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at September 30, 2023 and December 31, 2022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September 30, 2023</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2022</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280" w:type="dxa"/>
            <w:vAlign w:val="bottom"/>
          </w:tcPr>
          <w:p>
            <w:pPr>
              <w:spacing w:after="0"/>
              <w:rPr>
                <w:sz w:val="20"/>
                <w:szCs w:val="20"/>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Net</w:t>
            </w:r>
          </w:p>
        </w:tc>
        <w:tc>
          <w:tcPr>
            <w:tcW w:w="24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Amortization</w:t>
            </w:r>
          </w:p>
        </w:tc>
        <w:tc>
          <w:tcPr>
            <w:tcW w:w="240" w:type="dxa"/>
            <w:vAlign w:val="bottom"/>
          </w:tcPr>
          <w:p>
            <w:pPr>
              <w:spacing w:after="0"/>
              <w:rPr>
                <w:sz w:val="20"/>
                <w:szCs w:val="20"/>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Trademark and other intangible rights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related to Nabi-HB</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4,100,046</w:t>
            </w:r>
          </w:p>
        </w:tc>
        <w:tc>
          <w:tcPr>
            <w:tcW w:w="50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3,709,565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390,481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4,100,046</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3,270,276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829,770</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Rights to intermediates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907,421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821,000</w:t>
            </w: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86,421</w:t>
            </w: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907,421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723,776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183,645</w:t>
            </w:r>
          </w:p>
        </w:tc>
      </w:tr>
      <w:tr>
        <w:trPr>
          <w:trHeight w:val="257"/>
        </w:trPr>
        <w:tc>
          <w:tcPr>
            <w:tcW w:w="3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5,007,467</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4,530,565</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476,902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5,007,467</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3,994,052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1,013,415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All of the Company’s intangible assets were acquired in the Biotest Transaction. Amortization expense related to these intangible assets was $0.2 million for the three months ended September 30, 2023 and 2022, and $0.5 million for the nine months ended September 30, 2023 and 2022. Estimated future aggregate amortization expense is expected to be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178,838</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2024</w:t>
            </w:r>
          </w:p>
        </w:tc>
        <w:tc>
          <w:tcPr>
            <w:tcW w:w="5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298,064</w:t>
            </w:r>
          </w:p>
        </w:tc>
      </w:tr>
      <w:tr>
        <w:trPr>
          <w:trHeight w:val="377"/>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5.  PROPERTY AND EQUIPMENT</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7640" w:type="dxa"/>
            <w:vAlign w:val="bottom"/>
            <w:gridSpan w:val="2"/>
          </w:tcPr>
          <w:p>
            <w:pPr>
              <w:ind w:left="320"/>
              <w:spacing w:after="0"/>
              <w:rPr>
                <w:sz w:val="20"/>
                <w:szCs w:val="20"/>
                <w:color w:val="auto"/>
              </w:rPr>
            </w:pPr>
            <w:r>
              <w:rPr>
                <w:rFonts w:ascii="Arial" w:cs="Arial" w:eastAsia="Arial" w:hAnsi="Arial"/>
                <w:sz w:val="18"/>
                <w:szCs w:val="18"/>
                <w:color w:val="auto"/>
              </w:rPr>
              <w:t>Property and equipment and related accumulated depreciation are summarized as follows: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5"/>
              </w:rPr>
              <w:t>September 30, 2023</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2022</w:t>
            </w: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20,748,582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18,767,807</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Office equipment and computer software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6,260,749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5,318,669</w:t>
            </w: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5,704,638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5,109,898</w:t>
            </w: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Construction in process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1,870,317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6,726,995</w:t>
            </w: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20,808,155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17,930,905</w:t>
            </w: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4,339,441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4,339,441</w:t>
            </w:r>
          </w:p>
        </w:tc>
      </w:tr>
      <w:tr>
        <w:trPr>
          <w:trHeight w:val="223"/>
        </w:trPr>
        <w:tc>
          <w:tcPr>
            <w:tcW w:w="7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20,198,724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19,544,307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79,930,606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77,738,022</w:t>
            </w:r>
          </w:p>
        </w:tc>
      </w:tr>
      <w:tr>
        <w:trPr>
          <w:trHeight w:val="223"/>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(25,115,999)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(19,476,541)</w:t>
            </w:r>
          </w:p>
        </w:tc>
      </w:tr>
      <w:tr>
        <w:trPr>
          <w:trHeight w:val="216"/>
        </w:trPr>
        <w:tc>
          <w:tcPr>
            <w:tcW w:w="798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Total property, plant and equipment, net</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54,814,607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58,261,481</w:t>
            </w:r>
          </w:p>
        </w:tc>
        <w:tc>
          <w:tcPr>
            <w:tcW w:w="100" w:type="dxa"/>
            <w:vAlign w:val="bottom"/>
            <w:tcBorders>
              <w:top w:val="single" w:sz="8" w:color="CCEEFF"/>
            </w:tcBorders>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Property and equipment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three to 10 years. Leasehold improvements are amortized over the lesser of the lease term or their estimated useful lives.</w:t>
      </w:r>
    </w:p>
    <w:p>
      <w:pPr>
        <w:spacing w:after="0" w:line="14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Company recorded depreciation expense on property and equipment for the three months ended September 30, 2023 and 2022 of $1.9 million and $1.7 million, respectively, and for the nine months ended September 30, 2023 and 2022 of $5.7 million and $4.6 million, respectively.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and other current liabilities at September 30, 2023 and December 31,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5"/>
              </w:rPr>
              <w:t>September 30, 2023</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2022</w:t>
            </w: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rebates</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15,907,590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11,436,484</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Accrued distribution fees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5,822,699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3,166,896</w:t>
            </w: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incentives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3,309,387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4,193,919</w:t>
            </w: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Accrued testing</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394,630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309,867</w:t>
            </w: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payroll and other compensation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1,816,036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4,086,379</w:t>
            </w:r>
          </w:p>
        </w:tc>
      </w:tr>
      <w:tr>
        <w:trPr>
          <w:trHeight w:val="223"/>
        </w:trPr>
        <w:tc>
          <w:tcPr>
            <w:tcW w:w="7980" w:type="dxa"/>
            <w:vAlign w:val="bottom"/>
            <w:gridSpan w:val="3"/>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2,613,384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1,795,804</w:t>
            </w:r>
          </w:p>
        </w:tc>
      </w:tr>
      <w:tr>
        <w:trPr>
          <w:trHeight w:val="256"/>
        </w:trPr>
        <w:tc>
          <w:tcPr>
            <w:tcW w:w="79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accrued expenses and other current liabilities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29,863,726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24,989,349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85"/>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7.  DEBT</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7640" w:type="dxa"/>
            <w:vAlign w:val="bottom"/>
            <w:gridSpan w:val="2"/>
          </w:tcPr>
          <w:p>
            <w:pPr>
              <w:ind w:left="320"/>
              <w:spacing w:after="0"/>
              <w:rPr>
                <w:sz w:val="20"/>
                <w:szCs w:val="20"/>
                <w:color w:val="auto"/>
              </w:rPr>
            </w:pPr>
            <w:r>
              <w:rPr>
                <w:rFonts w:ascii="Arial" w:cs="Arial" w:eastAsia="Arial" w:hAnsi="Arial"/>
                <w:sz w:val="18"/>
                <w:szCs w:val="18"/>
                <w:color w:val="auto"/>
              </w:rPr>
              <w:t>A summary of outstanding senior notes payable is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5"/>
              </w:rPr>
              <w:t>September 30, 2023</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2022</w:t>
            </w: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payable</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157,706,338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154,747,746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Debt discount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(15,680,796)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(11,914,683)</w:t>
            </w:r>
          </w:p>
        </w:tc>
      </w:tr>
      <w:tr>
        <w:trPr>
          <w:trHeight w:val="216"/>
        </w:trPr>
        <w:tc>
          <w:tcPr>
            <w:tcW w:w="798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Senior notes payable</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142,025,542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142,833,063</w:t>
            </w:r>
          </w:p>
        </w:tc>
        <w:tc>
          <w:tcPr>
            <w:tcW w:w="100" w:type="dxa"/>
            <w:vAlign w:val="bottom"/>
            <w:tcBorders>
              <w:top w:val="single" w:sz="8" w:color="CCEEFF"/>
            </w:tcBorders>
          </w:tcPr>
          <w:p>
            <w:pPr>
              <w:spacing w:after="0"/>
              <w:rPr>
                <w:sz w:val="18"/>
                <w:szCs w:val="18"/>
                <w:color w:val="auto"/>
              </w:rPr>
            </w:pPr>
          </w:p>
        </w:tc>
      </w:tr>
      <w:tr>
        <w:trPr>
          <w:trHeight w:val="21"/>
        </w:trPr>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March 23, 2022 (the “Hayfin Closing Date”), the Company and all of its subsidiaries entered into a Credit and Guaranty Agreement (the “Hayfin Credit Agreement”) with Hayfin Services LLP (“Hayfin”). The Hayfin Credit Agreement provides for a senior secured term loan facility in a principal amount of up to $175.0 million (the “Hayfin Credit Facility”), composed of (i) a term loan made on the Hayfin Closing Date in the principal amount of $150.0 million (the “Hayfin Closing Date Loan”), and (ii) a delayed draw term loan in the principal amount of $25.0 million (the “Hayfin Delayed Draw Loan” and, together with the Hayfin Closing Date Loan, the “Hayfin Loans”). The obligation of the lenders to make the Hayfin Delayed Draw Loan was to have expired on March 22, 2023 and is subject to the satisfaction of certain conditions, including, but not limited to, the Company’s meeting certain 12-month revenue targets as set forth in the Hayfin Credit Agreement. The Hayfin Credit Facility has a maturity date of March 23, 2027 (the “Hayfin Maturity Date”), subject to acceleration pursuant to the Hayfin Credit Agreement, including upon an Event of Default (as defined in the Hayfin Credit Agreement). On March 22, 2023, the Company and Hayfin entered into an amendment to the Hayfin Credit Agreement whereby the lenders’ obligation to make the Hayfin Delayed Draw Loan was extended to June 30, 2023.</w:t>
      </w:r>
    </w:p>
    <w:p>
      <w:pPr>
        <w:spacing w:after="0" w:line="18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the Hayfin Closing Date, the Company used $100.0 million of the Hayfin Closing Date Loan to terminate and pay in full all of the outstanding obligations under the Company’s previously existing credit facility (the “Perceptive Credit Facility”) with Perceptive Credit Holdings II, LP (“Perceptive”). The Company also used $2.0 million of the Hayfin Closing Date Loan proceeds to pay a redemption premium to Perceptive and used approximately $1.0 million of the Hayfin Closing Date Loan proceeds to pay certain fees and expenses incurred in connection with this transaction. In addition, a $1.8 million upfront fee payable to Hayfin was paid “in kind” and was added to the outstanding principal balance in accordance with the terms of the Hayfin Credit Agreement. In connection with the retirement of the Perceptive Credit Facility and all of the obligations thereunder, the Company recorded a loss on extinguishment of debt in the amount of $6.7 million, consisting of the write-off of unamortized discount related to the Perceptive indebtedness and the redemption premium paid to Perceptive.</w:t>
      </w:r>
    </w:p>
    <w:p>
      <w:pPr>
        <w:spacing w:after="0" w:line="19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From the time of the Hayfin Closing Date through May 1, 2023, borrowings under the Hayfin Credit Agreement bore interest, at the Company’s election, at either (a) a base rate (equal to the highest of (i) the rate of interest per annum last quoted by The Wall Street Journal as the “Prime Rate” in the United States, (ii) the federal funds rate in effect on such day plus 0.50% and (iii) adjusted Term Secured Overnight Financing Rate (“SOFR”) for a one-month tenor in effect on such day plus 1.00%), plus an applicable margin of 8.5%, or (b) adjusted Term SOFR for either a one-month or three-month tenor, as elected by the Company, and subject to a floor of 1.25%, plus an applicable margin of 9.5% (the “Applicable Margin”); provided, however, that upon, and during the continuance of, an Event of Default, the Applicable Margin increases by an additional 3% per annum. On the last day of each calendar month or quarter during the term of the Hayfin Credit Facility, the Company pays accrued interest to Hayfin. The rate of interest in effect as of September 30,2023 and December 31, 2022 was approximately 13.9%. The Company is also permitted to pay “in kind” a portion of the interest on the Hayfin Loans for each monthly or quarterly interest period in an amount equal to 2.5% per annum, which is added to the principal amount of the outstanding debt under the Hayfin Credit Facility. For the nine months ending September 30,2023 and 2022, approximately $3.0 million and $2.0 million, respectively, of interest was paid in kind and added to the balance of the outstanding Hayfin Loans.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the Hayfin Maturity Date, the Company is required to pay Hayfin the entire outstanding principal amount underlying the Hayfin Loans and any accrued and unpaid interest thereon, as well as an exit fee of 1.0% of the outstanding principal amount being paid. This exit fee is recorded separately as a non-current liability on the accompanying consolidated balance sheets as of September 30,2023 and December 31,2022. Prior to the Hayfin Maturity Date, there are no scheduled principal payments on the Hayfin Loans.</w:t>
      </w:r>
    </w:p>
    <w:p>
      <w:pPr>
        <w:spacing w:after="0" w:line="187"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All of the Company’s obligations under the Hayfin Credit Agreement are secured by a first-priority lien and security interest in substantially all of the Company’s tangible and intangible assets, including intellectual property and all of the equity interests in the Company’s subsidiaries. The Hayfin Credit Agreement contains certain representations and warranties, affirmative covenants, negative covenants and conditions that are customarily required for similar financings. The negative covenants restrict or limit the ability of the Company and its subsidiaries to, among other things and subject to certain exceptions contained in the Hayfin Credit Agreement, incur new indebtedness; create liens on assets; engage in certain fundamental corporate changes, such as mergers or acquisitions, or changes to the Company’s or its subsidiaries’ business activities; make certain Investments or Restricted Payments (each as defined in the Hayfin Credit Agreement); change its fiscal year; pay dividends; repay certain other indebtedness; engage in certain affiliate transactions; or enter into, amend or terminate any other agreements that have the impact of restricting the Company’s ability to make loan repayments under the Hayfin Credit Agreement. In addition, the Company is required (i) at all times prior to the Maturity Date to maintain a minimum cash balance of $6.0 million; and</w:t>
      </w:r>
    </w:p>
    <w:p>
      <w:pPr>
        <w:spacing w:after="0" w:line="6" w:lineRule="exact"/>
        <w:rPr>
          <w:sz w:val="20"/>
          <w:szCs w:val="20"/>
          <w:color w:val="auto"/>
        </w:rPr>
      </w:pPr>
    </w:p>
    <w:p>
      <w:pPr>
        <w:ind w:right="200" w:firstLine="8"/>
        <w:spacing w:after="0" w:line="302" w:lineRule="auto"/>
        <w:tabs>
          <w:tab w:leader="none" w:pos="265"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of the last day of each fiscal quarter, report IVIG product and related revenues for the trailing 12-month period that exceed the amounts set forth in the Hayfin Credit Agreement, which range from $75.0 million for the fiscal quarter ended June 30, 2022 to $250.0 million for the fiscal quarter ended December 31, 2026. As of September 30, 2023, the Company was in compliance with all of the covenants contained in the Hayfin Credit Agreement.</w:t>
      </w:r>
    </w:p>
    <w:p>
      <w:pPr>
        <w:spacing w:after="0" w:line="15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As consideration for the Hayfin Credit Agreement, the Company issued to various entities affiliated with Hayfin, on the Hayfin Closing Date, warrants to purchase an aggregate of 9,103,047 shares of the Company’s common stock (the “Hayfin Warrants”). The Hayfin Warrants have an exercise price equal to $1.6478 per share, which is equal to the trailing 30-day Volume Weighted-average Price of the Company’s common stock on the business day immediately prior to the Hayfin Closing Date. The Hayfin Warrants were valued by the Company at approximately $9.6 million as of the Hayfin Closing Date and have an expiration date of March 23, 2029.</w:t>
      </w:r>
    </w:p>
    <w:p>
      <w:pPr>
        <w:spacing w:after="0" w:line="18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On May 1, 2023, the Company entered into a second amendment to the Hayfin Credit Agreement (the “Hayfin Second Amendment”) whereby the Applicable Margin for adjusted Term SOFR Loans was reduced from 9.5% to 8.5%. The Hayfin Second Amendment also extended the obligation of the lenders to make the Hayfin Delayed Draw Loan from June 30, 2023 to December 31, 2023.</w:t>
      </w:r>
    </w:p>
    <w:p>
      <w:pPr>
        <w:spacing w:after="0" w:line="18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Under the terms of the Hayfin Second Amendment, in the event the Company elects to prepay all or any portion of the outstanding principal on the Hayfin Loans, the Company will be subject to an early prepayment fee in the amount equal to (i) 7.0% of the prepaid principal amount, if prepaid on or prior to the first anniversary of the Hayfin Second Amendment, (ii) 3.0% of the prepaid principal amount, if prepaid after the first anniversary of the Hayfin Second Amendment and on or prior to the second anniversary of the Hayfin Second Amendment, or (iii) 1.0% of the prepaid principal amount, if prepaid after the second anniversary of the Hayfin Second Amendment and on or prior to the third anniversary of the Hayfin Second Amendment. For any prepayments of principal or payment of principal on the Hayfin Maturity Date, the Company is also required to pay the exit fee. In addition, the Hayfin Second Amendment provides for a 50% reduction to the foregoing early prepayment fees if the Hayfin Loans are prepaid in connection with a change in control of the Company or other strategic transactions as further described in the Hayfin Second Amendment.</w:t>
      </w:r>
    </w:p>
    <w:p>
      <w:pPr>
        <w:spacing w:after="0" w:line="16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In connection with the Hayfin Second Amendment, the Company issued additional warrants to the lenders to purchase 2,391,244 shares of the Company’s common stock at an exercise price of $3.2619 per share (the “Hayfin Second Amendment Warrants”). The Hayfin Second Amendment Warrants were valued at approximately $5.6 million and have an expiration date of May 1, 2030.</w:t>
      </w:r>
    </w:p>
    <w:p>
      <w:pPr>
        <w:spacing w:after="0" w:line="16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a result of the upfront fee and exit fee paid or payable to Hayfin, the expenses incurred by the Company in connection with this transaction and the value of the Hayfin Warrants and Hayfin Second Amendment Warrants, the Company recognized an aggregate discount on the Hayfin Loans in the amount of $19.5 million. The Company records debt discount as a reduction to the face amount of the debt, and the debt discount is amortized as interest expense over the life of the debt using the interest method. Based on the fair value of the Hayfin Warrants and the aggregate amount of fees and expenses associated with obtaining the Hayfin Credit Facility, the effective interest rate on the Hayfin Loans as of September 30,2023 and December 31, 2022 was approximately 17.6% and 16.1%, respectively.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 is currently authorized to issue up to 10 million shares of preferred stock, $0.0001, par value per share. There were no shares of preferred stock outstanding at September 30, 2023 and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225"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As of September 30, 2023 and December 31, 2022, the Company was authorized to issue 300,000,000 shares of its common stock, $0.0001 par value per share, and 225,958,084 and 221,816,930 shares of common stock were outstanding as of September 30, 2023 and December 31, 2022, respectively. After giving effect to the 43,089,619 shares reserved for outstanding warrants and awards issued or reserved for future issuance under the Company’s equity incentive plans, as of September 30, 2023 there were 30,952,297 shares of common stock available for issuance.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connection with the Hayfin Credit Agreement that the Company entered into on March 23, 2022 (see Note 7), the Company issued the Hayfin Warrants to purchase 9,103,047 shares of the Company’s common stock. The Hayfin Warrants were valued at $9.6 million using the Black-Scholes option-pricing model assuming an expected term of seven years, a volatility of 68.1%, a dividend yield of 0% and a risk-free rate of interest of 2.36%. On May 1, 2023 the Company issued the Hayfin Second Amendment Warrants, which were valued at $5.6 million using the Black-Scholes option-pricing model assuming an expected term of seven years, a volatility of 67.8%, a dividend yield of 0% and a risk-free rate of interest of 3.62%.</w:t>
      </w:r>
    </w:p>
    <w:p>
      <w:pPr>
        <w:spacing w:after="0" w:line="176"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On May 13, 2023, warrants to purchase 24,800 shares of the Company’s common stock held by a former noteholder of the Company expired in accordance with their terms. On June 16, 2023, various entities affiliated with Hayfin exercised 3,388,686 Hayfin Warrants in a cashless exercise transaction resulting in the Company issuing 1,967,847 shares of its common stock to such entities. At September 30, 2023 and December 31, 2022, the Company had outstanding warrants to purchase an aggregate of 12,502,906 and 13,525,148 shares, respectively, of common stock, with weighted-average exercise prices of $2.32 and $1.99 per share, respectively, with expiration dates ranging between December 2024 and December 2030.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Incentive Plans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fair value of stock options granted under the Company’s equity incentive plans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nine months ended September 30, 2023 and 2022:</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5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0"/>
        </w:trPr>
        <w:tc>
          <w:tcPr>
            <w:tcW w:w="32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830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rPr>
              <w:t>ADMA BIOLOGICS, INC. AND SUBSIDIARIES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30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8"/>
        </w:trPr>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38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rPr>
              <w:t>Nine Months Ended September 30,</w:t>
            </w:r>
          </w:p>
        </w:tc>
        <w:tc>
          <w:tcPr>
            <w:tcW w:w="10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13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9"/>
                <w:szCs w:val="19"/>
                <w:color w:val="auto"/>
              </w:rPr>
            </w:pPr>
          </w:p>
        </w:tc>
      </w:tr>
      <w:tr>
        <w:trPr>
          <w:trHeight w:val="216"/>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w:t>
            </w:r>
          </w:p>
        </w:tc>
        <w:tc>
          <w:tcPr>
            <w:tcW w:w="5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86"/>
              </w:rPr>
              <w:t>5.5 - 6.3 years</w:t>
            </w:r>
          </w:p>
        </w:tc>
        <w:tc>
          <w:tcPr>
            <w:tcW w:w="1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88"/>
              </w:rPr>
              <w:t>5.5 - 6.3 years</w:t>
            </w:r>
          </w:p>
        </w:tc>
        <w:tc>
          <w:tcPr>
            <w:tcW w:w="100" w:type="dxa"/>
            <w:vAlign w:val="bottom"/>
            <w:shd w:val="clear" w:color="auto" w:fill="CCEEFF"/>
          </w:tcPr>
          <w:p>
            <w:pPr>
              <w:spacing w:after="0"/>
              <w:rPr>
                <w:sz w:val="18"/>
                <w:szCs w:val="18"/>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6980" w:type="dxa"/>
            <w:vAlign w:val="bottom"/>
            <w:gridSpan w:val="2"/>
          </w:tcPr>
          <w:p>
            <w:pPr>
              <w:jc w:val="center"/>
              <w:ind w:left="5870"/>
              <w:spacing w:after="0"/>
              <w:rPr>
                <w:sz w:val="20"/>
                <w:szCs w:val="20"/>
                <w:color w:val="auto"/>
              </w:rPr>
            </w:pPr>
            <w:r>
              <w:rPr>
                <w:rFonts w:ascii="Arial" w:cs="Arial" w:eastAsia="Arial" w:hAnsi="Arial"/>
                <w:sz w:val="18"/>
                <w:szCs w:val="18"/>
                <w:color w:val="auto"/>
                <w:w w:val="94"/>
              </w:rPr>
              <w:t>68%</w:t>
            </w:r>
          </w:p>
        </w:tc>
        <w:tc>
          <w:tcPr>
            <w:tcW w:w="13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68%</w:t>
            </w:r>
          </w:p>
        </w:tc>
        <w:tc>
          <w:tcPr>
            <w:tcW w:w="100" w:type="dxa"/>
            <w:vAlign w:val="bottom"/>
          </w:tcPr>
          <w:p>
            <w:pPr>
              <w:spacing w:after="0"/>
              <w:rPr>
                <w:sz w:val="18"/>
                <w:szCs w:val="18"/>
                <w:color w:val="auto"/>
              </w:rPr>
            </w:pPr>
          </w:p>
        </w:tc>
      </w:tr>
      <w:tr>
        <w:trPr>
          <w:trHeight w:val="216"/>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980" w:type="dxa"/>
            <w:vAlign w:val="bottom"/>
            <w:gridSpan w:val="2"/>
            <w:shd w:val="clear" w:color="auto" w:fill="CCEEFF"/>
          </w:tcPr>
          <w:p>
            <w:pPr>
              <w:jc w:val="center"/>
              <w:ind w:left="5870"/>
              <w:spacing w:after="0"/>
              <w:rPr>
                <w:sz w:val="20"/>
                <w:szCs w:val="20"/>
                <w:color w:val="auto"/>
              </w:rPr>
            </w:pPr>
            <w:r>
              <w:rPr>
                <w:rFonts w:ascii="Arial" w:cs="Arial" w:eastAsia="Arial" w:hAnsi="Arial"/>
                <w:sz w:val="18"/>
                <w:szCs w:val="18"/>
                <w:color w:val="auto"/>
                <w:w w:val="87"/>
              </w:rPr>
              <w:t>0.0</w:t>
            </w:r>
          </w:p>
        </w:tc>
        <w:tc>
          <w:tcPr>
            <w:tcW w:w="13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0.0</w:t>
            </w:r>
          </w:p>
        </w:tc>
        <w:tc>
          <w:tcPr>
            <w:tcW w:w="100" w:type="dxa"/>
            <w:vAlign w:val="bottom"/>
            <w:shd w:val="clear" w:color="auto" w:fill="CCEEFF"/>
          </w:tcPr>
          <w:p>
            <w:pPr>
              <w:spacing w:after="0"/>
              <w:rPr>
                <w:sz w:val="18"/>
                <w:szCs w:val="18"/>
                <w:color w:val="auto"/>
              </w:rPr>
            </w:pPr>
          </w:p>
        </w:tc>
      </w:t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6980" w:type="dxa"/>
            <w:vAlign w:val="bottom"/>
            <w:gridSpan w:val="2"/>
          </w:tcPr>
          <w:p>
            <w:pPr>
              <w:jc w:val="center"/>
              <w:ind w:left="5870"/>
              <w:spacing w:after="0"/>
              <w:rPr>
                <w:sz w:val="20"/>
                <w:szCs w:val="20"/>
                <w:color w:val="auto"/>
              </w:rPr>
            </w:pPr>
            <w:r>
              <w:rPr>
                <w:rFonts w:ascii="Arial" w:cs="Arial" w:eastAsia="Arial" w:hAnsi="Arial"/>
                <w:sz w:val="18"/>
                <w:szCs w:val="18"/>
                <w:color w:val="auto"/>
                <w:w w:val="89"/>
              </w:rPr>
              <w:t>4.20-4.24%</w:t>
            </w:r>
          </w:p>
        </w:tc>
        <w:tc>
          <w:tcPr>
            <w:tcW w:w="13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1.72-1.73%</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On June 21, 2022, the Company’s stockholders approved the ADMA Biologics, Inc. 2022 Compensation Plan (the “2022 Equity Plan”), which replaced the ADMA Biologics, Inc. 2014 Omnibus Incentive Compensation Plan. Approval of the 2022 Equity Plan resulted in approximately 18 million additional shares of the Company’s common stock being reserved for future awards. During the nine months ended September 30, 2023 and 2022, the Company granted options to purchase an aggregate of 1,727,510 and 1,194,032 shares of common stock, respectively, to its directors and employees. The weighted average remaining contractual life of stock options outstanding and expected to vest at September 30, 2023 is 6.8 years. The weighted average remaining contractual life of stock options exercisable at September 30, 2023 is 5.2 years. During the nine months ended September 30, 2023, options to purchase 3,809,210 shares of common stock were exercised, for which 2,108,030 shares were withheld to cover the aggregate exercise prices and 259,867 shares were withheld to cover payroll taxes, and the Company received aggregate net exercise proceeds of $1.1 million.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option activity under the Company’s equity incentive plans and related information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868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Exercise Price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vested and expected to vest at December 31, 2022</w:t>
            </w:r>
          </w:p>
        </w:tc>
        <w:tc>
          <w:tcPr>
            <w:tcW w:w="1120" w:type="dxa"/>
            <w:vAlign w:val="bottom"/>
            <w:tcBorders>
              <w:top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87"/>
              </w:rPr>
              <w:t>8,256,211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(96,392)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(236,878)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center"/>
              <w:ind w:left="310"/>
              <w:spacing w:after="0"/>
              <w:rPr>
                <w:sz w:val="20"/>
                <w:szCs w:val="20"/>
                <w:color w:val="auto"/>
              </w:rPr>
            </w:pPr>
            <w:r>
              <w:rPr>
                <w:rFonts w:ascii="Arial" w:cs="Arial" w:eastAsia="Arial" w:hAnsi="Arial"/>
                <w:sz w:val="18"/>
                <w:szCs w:val="18"/>
                <w:color w:val="auto"/>
                <w:w w:val="89"/>
              </w:rPr>
              <w:t>1,727,510</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(3,809,210)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Options outstanding, vested and expected to vest at September 30, 2023</w:t>
            </w:r>
          </w:p>
        </w:tc>
        <w:tc>
          <w:tcPr>
            <w:tcW w:w="1120" w:type="dxa"/>
            <w:vAlign w:val="bottom"/>
            <w:tcBorders>
              <w:top w:val="single" w:sz="8" w:color="auto"/>
              <w:bottom w:val="single" w:sz="8" w:color="auto"/>
            </w:tcBorders>
          </w:tcPr>
          <w:p>
            <w:pPr>
              <w:jc w:val="center"/>
              <w:ind w:left="310"/>
              <w:spacing w:after="0"/>
              <w:rPr>
                <w:sz w:val="20"/>
                <w:szCs w:val="20"/>
                <w:color w:val="auto"/>
              </w:rPr>
            </w:pPr>
            <w:r>
              <w:rPr>
                <w:rFonts w:ascii="Arial" w:cs="Arial" w:eastAsia="Arial" w:hAnsi="Arial"/>
                <w:sz w:val="18"/>
                <w:szCs w:val="18"/>
                <w:color w:val="auto"/>
                <w:w w:val="89"/>
              </w:rPr>
              <w:t>5,841,241</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3.39</w:t>
            </w: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Options exercisable</w:t>
            </w:r>
          </w:p>
        </w:tc>
        <w:tc>
          <w:tcPr>
            <w:tcW w:w="1120" w:type="dxa"/>
            <w:vAlign w:val="bottom"/>
          </w:tcPr>
          <w:p>
            <w:pPr>
              <w:jc w:val="center"/>
              <w:ind w:left="310"/>
              <w:spacing w:after="0"/>
              <w:rPr>
                <w:sz w:val="20"/>
                <w:szCs w:val="20"/>
                <w:color w:val="auto"/>
              </w:rPr>
            </w:pPr>
            <w:r>
              <w:rPr>
                <w:rFonts w:ascii="Arial" w:cs="Arial" w:eastAsia="Arial" w:hAnsi="Arial"/>
                <w:sz w:val="18"/>
                <w:szCs w:val="18"/>
                <w:color w:val="auto"/>
                <w:w w:val="89"/>
              </w:rPr>
              <w:t>3,163,516</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September 30, 2023, the Company had $4.3 million of unrecognized compensation expense related to options granted under the Company’s equity incentive plans, which is expected to be recognized over a weighted-average period of 2.7 years.</w:t>
      </w:r>
    </w:p>
    <w:p>
      <w:pPr>
        <w:spacing w:after="0" w:line="17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During the nine months ended September 30, 2023 and 2022, the Company granted RSUs representing an aggregate of 3,345,760 and 1,119,266 shares, respectively, to certain employees of the Company and to members of its Board of Directors. These RSUs generally vest annually over a period of four years for employees and semi-annually over a period of one year for directors. During the nine months ended September 30, 2023, an aggregate of 1,032,698 shares of common stock vested in connection with grants of RSUs. With respect to these vested RSUs, 300,704 shares valued at approximately $1.0 million were withheld by the Company to cover employees’ tax liabilities. These shares were no longer outstanding as of September 30, 2023. A summary of the Company’s unvested RSU activity and related information is as follows: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298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5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0"/>
        </w:trPr>
        <w:tc>
          <w:tcPr>
            <w:tcW w:w="32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6940" w:type="dxa"/>
            <w:vAlign w:val="bottom"/>
            <w:gridSpan w:val="3"/>
          </w:tcPr>
          <w:p>
            <w:pPr>
              <w:jc w:val="right"/>
              <w:ind w:right="2380"/>
              <w:spacing w:after="0"/>
              <w:rPr>
                <w:sz w:val="20"/>
                <w:szCs w:val="20"/>
                <w:color w:val="auto"/>
              </w:rPr>
            </w:pPr>
            <w:r>
              <w:rPr>
                <w:rFonts w:ascii="Arial" w:cs="Arial" w:eastAsia="Arial" w:hAnsi="Arial"/>
                <w:sz w:val="18"/>
                <w:szCs w:val="18"/>
                <w:b w:val="1"/>
                <w:bCs w:val="1"/>
                <w:color w:val="auto"/>
              </w:rPr>
              <w:t>ADMA BIOLOGICS, INC. AND SUBSIDIARIES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96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3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Average Grant</w:t>
            </w:r>
          </w:p>
        </w:tc>
      </w:tr>
      <w:tr>
        <w:trPr>
          <w:trHeight w:val="241"/>
        </w:trPr>
        <w:tc>
          <w:tcPr>
            <w:tcW w:w="3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9"/>
              </w:rPr>
              <w:t>Date Fair Value</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56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2,866,987</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720" w:type="dxa"/>
            <w:vAlign w:val="bottom"/>
            <w:gridSpan w:val="2"/>
          </w:tcPr>
          <w:p>
            <w:pPr>
              <w:jc w:val="right"/>
              <w:spacing w:after="0"/>
              <w:rPr>
                <w:sz w:val="20"/>
                <w:szCs w:val="20"/>
                <w:color w:val="auto"/>
              </w:rPr>
            </w:pPr>
            <w:r>
              <w:rPr>
                <w:rFonts w:ascii="Arial" w:cs="Arial" w:eastAsia="Arial" w:hAnsi="Arial"/>
                <w:sz w:val="18"/>
                <w:szCs w:val="18"/>
                <w:color w:val="auto"/>
              </w:rPr>
              <w:t>3,345,760</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6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(1,032,698)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r>
      <w:tr>
        <w:trPr>
          <w:trHeight w:val="223"/>
        </w:trPr>
        <w:tc>
          <w:tcPr>
            <w:tcW w:w="29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6940" w:type="dxa"/>
            <w:vAlign w:val="bottom"/>
            <w:gridSpan w:val="3"/>
          </w:tcPr>
          <w:p>
            <w:pPr>
              <w:jc w:val="right"/>
              <w:ind w:right="160"/>
              <w:spacing w:after="0"/>
              <w:rPr>
                <w:sz w:val="20"/>
                <w:szCs w:val="20"/>
                <w:color w:val="auto"/>
              </w:rPr>
            </w:pPr>
            <w:r>
              <w:rPr>
                <w:rFonts w:ascii="Arial" w:cs="Arial" w:eastAsia="Arial" w:hAnsi="Arial"/>
                <w:sz w:val="18"/>
                <w:szCs w:val="18"/>
                <w:color w:val="auto"/>
              </w:rPr>
              <w:t>(302,567)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r>
        <w:trPr>
          <w:trHeight w:val="257"/>
        </w:trPr>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2023</w:t>
            </w:r>
          </w:p>
        </w:tc>
        <w:tc>
          <w:tcPr>
            <w:tcW w:w="56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4,877,482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September 30, 2023, the Company had $11.6 million of unrecognized compensation expense related to unvested RSUs granted under the Company’s equity incentive plans, which is expected to be recognized over a weighted-average period of 3.1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stock-based compensation expense for all awards granted under the Company’s equity incentive plans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2980" w:type="dxa"/>
            <w:vAlign w:val="bottom"/>
            <w:gridSpan w:val="6"/>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4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14,521</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Plasma center operating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41,346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21,588</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104,108</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62,255</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1,450,454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1,187,043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3,838,651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3,772,860</w:t>
            </w: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190,513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99,911</w:t>
            </w:r>
          </w:p>
        </w:tc>
        <w:tc>
          <w:tcPr>
            <w:tcW w:w="2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471,955</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296,293</w:t>
            </w:r>
          </w:p>
        </w:tc>
      </w:tr>
      <w:tr>
        <w:trPr>
          <w:trHeight w:val="256"/>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1,694,641</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1,313,494</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4,441,845</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4,145,929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leases an office building and equipment from Areth, LLC (“Areth”) pursuant to an agreement for services effective as of January 1, 2016, as amended from time to time, and pays monthly rent on this facility in the amount of $10,000 through December 31, 2026. Rent expense for the three and nine months ended September 30, 2023 and 2022 amounted to $30,000 and $90,000, respectively. Areth is a company controlled by Dr. Jerrold B. Grossman, the Vice Chairman of the Company’s Board of Directors, and Adam S. Grossman, the Company’s President and Chief Executive Officer. The Company also reimburses Areth for office and building-related (common area) expenses, equipment and certain other operational expenses, which were not material to the condensed consolidated financial statements for the nine months ended September 30, 2023 and 2022.</w:t>
      </w:r>
    </w:p>
    <w:p>
      <w:pPr>
        <w:spacing w:after="0" w:line="164"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During the nine months ended September 30, 2023 and 2022, the Company purchased certain specialized medical equipment and services primarily related to the Company’s plasma collection centers, as well as personal protective equipment, from GenesisBPS and its affiliates (“Genesis”), aggregating to $0.4 million and $0.1 million, respectively. Genesis is owned by Dr. Grossman and Adam Grossman.</w:t>
      </w:r>
    </w:p>
    <w:p>
      <w:pPr>
        <w:spacing w:after="0" w:line="165"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On August 15, 2023, two of the Company’s executive officers exercised options to purchase 2,909,721 shares of the Company’s common stock on a cashless basis, and 688,657 shares of common stock were issued to these executive officers, net of 257,867 shares of common stock to cover a portion of their tax liabilities (see Note 8).</w:t>
      </w:r>
    </w:p>
    <w:p>
      <w:pPr>
        <w:spacing w:after="0" w:line="18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See Note 7 for a discussion of the Company’s former credit facility and related transactions with Perceptive, a holder of more than 5% of the Company’s common stock during the nine months ended September 30, 2022. There were no transactions with Perceptive during the nine months ended September 30, 2023.</w:t>
      </w:r>
    </w:p>
    <w:p>
      <w:pPr>
        <w:spacing w:after="0" w:line="18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Legal Matters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IT Systems Disruption</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June 19, 2023, the Company experienced an IT systems disruption, which rendered certain of the Company’s IT technology systems inaccessible for less than one week. The Company’s investigation of the disruption has essentially been completed with the assistance of third-party consultants. While no definitive root cause has been identified, as previously disclosed the Company believes that this IT systems disruption may have been caused by a third-party who may have gained access to the system. There was no original financial systems or other data loss or any evidence of files exfiltrated due to this disruption. Normal course operations have resumed across the Company’s business units. At the time of the disruption, the Company was in production of two batches of BIVIGAM, and after a prolonged hold time, it was deemed to be a prudent GMP quality decision to discard these two in-process production batches as these batches were no longer viable for further production or had any alternative use. As a result, the Company recorded a one-time, non-recurring charge of $2.1 million in the second quarter of 2023 for this inventory, which is reflected in Cost of product revenue in the accompanying consolidated statements of operations for the nine months ending September 30, 2023. In addition, during the second quarter of 2023, the Company’s Plasma center operating expenses were adversely impacted by approximately $0.7 million due to the temporary closing of the Company’s plasma collection centers while their IT systems were restored.</w:t>
      </w:r>
    </w:p>
    <w:p>
      <w:pPr>
        <w:spacing w:after="0" w:line="182"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 Company carries appropriate insurance for these types of instances, and while there can be no assurances ADMA will be reimbursed for the insurance claims made pertaining to these charges, the Company is actively working with its insurance broker and carriers.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Pandemic</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Company continues to monitor the ongoing developments related to the COVID-19 pandemic, including the emergence of the Delta, Omicron and BA.2 variants and other resistant strains of the coronavirus, and its impacts to the Company’s commercial and manufacturing operations and plasma collection facilities, including collections of source plasma, procurement of raw materials and packaging materials, a portion of which are sourced internationally, and the testing of finished drug product that is required prior to its availability for commercial sale. A substantial portion of such testing had historically been performed by contract laboratories outside the United States.</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Due to a combination of previously mandated state and local “shelter-in-place” orders, as well as government stimulus packages, persisting social distancing measures and varying roll-outs of vaccinations by state, the Company at times experienced lower than normal donor collections at its FDA approved plasma collection centers during 2021 and part of 2022. From time to time during 2021 and 2022, the Company was also subject to delays in shipments of source plasma from its contracted third-party suppliers, as well as delays in deliveries for personal protective equipment, reagents and other non-plasma raw materials and supplies used in the manufacture and distribution of its products. In addition, the Company has been subject to supply chain delays as a result of certain of its suppliers diverting significant resources towards the rapid development and distribution of COVID-19 vaccines and, as a result, the Company elected to carry more raw materials inventory than it had in the past. The COVID-19 pandemic previously impacted, to a certain degree, the Company’s customer engagement initiatives, whereby ADMA’s sales and medical affairs field personnel faced difficulties communicating directly with physicians and other healthcare professionals, as well as the cancellation or postponement of a number of key scientific and medical meetings, further limiting the Company’s ability to communicate with potential customers.</w:t>
      </w:r>
    </w:p>
    <w:p>
      <w:pPr>
        <w:spacing w:after="0" w:line="18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pandemic could also impact the Company’s ability to interact with the FDA or other regulatory authorities and could result in delays in the conduct of inspections or review of pending applications or submissions. Although the Company has received FDA approvals for six of its plasma collection centers since January 1, 2022 and previously received several other FDA approvals while two FDA inspections of the Boca Facility were completed during the year ended December 31, 2021, no assurances can be provided as to the timing for completion of any future regulatory submissions or applications that may be impacted by restrictions related to COVID-19.</w:t>
      </w:r>
    </w:p>
    <w:p>
      <w:pPr>
        <w:spacing w:after="0" w:line="18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During the nine months ended September 30, 2023 and 2022, the Company’s total revenues attributable to international customers was approximately 6% and 7%, respectively. As the Company seeks to grow this aspect of its business, it may also be subject to the impacts of the COVID-19 pandemic in locations outside the United States.</w:t>
      </w:r>
    </w:p>
    <w:p>
      <w:pPr>
        <w:spacing w:after="0" w:line="184"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Notwithstanding the foregoing, the COVID-19 pandemic to date has not had a material impact on the Company’s financial condition or results of operations, and the Company does not believe that its production operations at the Boca Facility, the Company’s contract fill/finishers or its plasma collection facilities have been significantly impacted by the COVID-19 pandemic. As a result, the Company does not anticipate and has not experienced any material impairments with respect to any of its long-lived assets, including the Company’s property and equipment, goodwill or intangible assets.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Although the COVID-19 pandemic has not, to date, materially adversely impacted the Company’s capital and financial resources, because the Company is unable to determine the ultimate severity or duration of the COVID-19 pandemic or other pandemics or their long-term effects on, among other things, the global, national or local economies, the capital and credit markets or the Company’s workforce, customers or suppliers, at this time the Company is unable to predict whether COVID-19 or other pandemics will have a material adverse impact on the Company’s business, financial condition, liquidity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Vendor Commitments</w:t>
      </w:r>
    </w:p>
    <w:p>
      <w:pPr>
        <w:spacing w:after="0" w:line="22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Pursuant to the terms of a plasma purchase agreement with BPC dated as of November 17, 2011 (the “2011 Plasma Purchase Agreement”), the Company agreed to purchase from BPC an annual minimum volume of source plasma containing antibodies to RSV to be used in the manufacture of ASCENIV. The Company must purchase a to-be-determined and agreed upon annual minimum volume from BPC, and under the original 2011 Plasma Purchase Agreement, the Company was permitted to also collect high-titer RSV plasma from up to five wholly-owned ADMA plasma collection facilities. During 2015, the Company and BPC amended the 2011 Plasma Purchase Agreement to (i) allow the Company to collect its raw material RSV high-titer plasma from any number of wholly-owned ADMA plasma collection facilities and (ii) to allow the Company to purchase its raw material RSV high-titer plasma from other third-party collection organizations, in each case, provided that the annual minimum volumes from BPC were met, thus allowing the Company to expand its reach for raw material supply as it executes its commercialization plans for ASCENIV. As part of the closing of the Biotest Transaction, the parties amended the 2011 Plasma Purchase Agreement to extend the initial term through the 10-year anniversary of the closing date of the Biotest Transaction. Unless terminated earlier, the 2011 Plasma Purchase Agreement expires in June 2027, after which it may be renewed for two additional five-year periods if agreed to by the parties. On December 10, 2018, BPC assigned its rights and obligations under the 2011 Plasma Purchase Agreement to Grifols Worldwide Operations Limited (“Grifols”) as its successor-in-interest, effective January 1, 2019. On January 1, 2019, Grifols and the Company entered into an additional amendment to the 2011 Plasma Purchase Agreement for the purchase of source plasma containing antibodies to RSV from Grifols. Pursuant to this amendment, until January 1, 2022, the Company could purchase RSV plasma from Grifols from the two plasma collection centers that were transferred to BPC on January 1, 2019 at a price equal to cost plus five percent (5%) (without any additional increase due to inflation). Effective January 1, 2022, RSV plasma purchased from these two plasma collection centers are subject to the pricing terms in effect for RSV plasma purchased from other plasma collection centers owned by Grifols.</w:t>
      </w:r>
    </w:p>
    <w:p>
      <w:pPr>
        <w:spacing w:after="0" w:line="17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June 6, 2017, the Company and BPC entered into a Plasma Supply Agreement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the Company and BPC entered into an amendment to the Plasma Supply Agreement to provide, among other things, that in the event BPC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June 6, 2017, the Company and BPC entered into a Plasma Purchase Agreement (the “2017 Plasma Purchase Agreement”), pursuant to which ADMA BioManufacturing purchases normal source plasma (“NSP”) from BPC at agreed upon annual quantities and prices. The 2017 Plasma Purchase Agreement has an initial term of five years after which the 2017 Plasma Purchase Agreement may be renewed for additional two terms of two years each upon the mutual written consent of the parties. On July 19, 2018, the Company and BPC entered into an amendment to the 2017 Plasma Purchase Agreement to, among other things, provide agreed upon amounts of normal source plasma to be supplied by BPC to ADMA BioManufacturing in calendar year 2019 at a specified price per liter, provided that ADMA BioManufacturing delivers a valid purchase order to BPC. Additionally, pursuant to the amendment to the 2017 Plasma Purchase Agreement, BPC agreed that, for calendar years 2020 and 2021, it shall supply no less than a high double-digit percentage of ADMA BioManufacturing’s requested NSP amounts, provided that such requested NSP amounts are within an agreed range, at a price per liter to be mutually determined. Furthermore, pursuant to the amendment to the 2017 Plasma Purchase Agreement, in the event BPC fails to supply ADMA BioManufacturing with at least a high double-digit percentage of ADMA BioManufacturing’s requested NSP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Effective as of May 12, 2021, the Company and Grifols amended the foregoing 2017 Plasma Purchase Agreement whereby, among other things, the term of the agreement was extended through December 31, 2022, however Grifols’ commitment to supply the Company with NSP under this agreement was not satisfied until March of 2023. In order to maintain a reliable supply of raw material plasma thereafter, the Company has executed additional agreements with multiple third-party suppliers of NSP. The Company has also increased its number of plasma collection center buildouts such that the Company expects to have ten FDA-approved plasma collection centers in operation by the end of 2023, while also continuing to increase its plasma collection capabilities at its ADMA BioCenters plasma collection centers business segment.</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Through December 31, 2022, the Company purchased substantially all of its raw material plasma from Grifols. For the nine months ended September 30, 2023, plasma purchases from Grifols totaled $6.5 million, or approximately 23% of the Company’s total inventory purchases. For the nine months ended September 30, 2022, plasma purchases from Grifols totaled $40.3 million, representing approximately 68% of the Company’s total inventory purchases.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Post-Marketing Commitments</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were required to be completed by June of 2023. Both studies have been completed and the study reports have been submitted to the FDA. ADMA had assumed the remaining obligations, and the costs of the studies have been expensed as incurred as research and development expenses. For the nine months ended September 30, 2023 and 2022, the Company incurred expenses related to these studies of $1.7 million and $1.5 million, respectively.</w:t>
      </w:r>
    </w:p>
    <w:p>
      <w:pPr>
        <w:spacing w:after="0" w:line="16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the FDA’s approval of ASCENIV on April 1, 2019, the Company is required to perform a pediatric study to evaluate the safety and efficacy of ASCENIV in children and adolescents. For the nine months ended September 30, 2023 and 2022, the Company incurred expenses related to this study in the amount of $0.6 million and $0.3 million, respectively. The Company expects to incur expenses of approximately $1.3 million to complete this study, which is required to be completed by June of 2026.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Employment Contracts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has entered into employment agreements with Mr. Grossman and with Brian Lenz, the Company’s Executive Vice President, Chief Financial Officer and General Manager, ADMA BioCenters.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Commitments</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September 30, 2023. The Company does not anticipate recognizing any significant losses relating to these arrangements.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SEGMENTS</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is engaged in the manufacture, marketing and development of specialty plasma-derived biologics. The Company’s ADMA BioManufacturing segment reflects the Company’s immunoglobulin manufacturing, commercial and development operations in Boca Raton, FL. The Plasma Collection Centers segment consists of ten operational plasma collection facilities located throughout the U.S., nine of which currently hold FDA licenses.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16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637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ADMA</w:t>
            </w:r>
          </w:p>
        </w:tc>
        <w:tc>
          <w:tcPr>
            <w:tcW w:w="160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Plasma Collection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BioManufacturing</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Centers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Corporate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16"/>
        </w:trPr>
        <w:tc>
          <w:tcPr>
            <w:tcW w:w="3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66,566,884</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672,006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67,274,598</w:t>
            </w:r>
          </w:p>
        </w:tc>
      </w:tr>
      <w:tr>
        <w:trPr>
          <w:trHeight w:val="216"/>
        </w:trPr>
        <w:tc>
          <w:tcPr>
            <w:tcW w:w="3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41,733,958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888,055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42,622,013</w:t>
            </w:r>
          </w:p>
        </w:tc>
      </w:tr>
      <w:tr>
        <w:trPr>
          <w:trHeight w:val="216"/>
        </w:trPr>
        <w:tc>
          <w:tcPr>
            <w:tcW w:w="3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15,016,875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(682,947)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(5,648,769)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8,685,159</w:t>
            </w:r>
          </w:p>
        </w:tc>
      </w:tr>
      <w:tr>
        <w:trPr>
          <w:trHeight w:val="216"/>
        </w:trPr>
        <w:tc>
          <w:tcPr>
            <w:tcW w:w="3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(140,669)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(5,979,035)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(6,120,104)</w:t>
            </w:r>
          </w:p>
        </w:tc>
      </w:tr>
      <w:tr>
        <w:trPr>
          <w:trHeight w:val="216"/>
        </w:trPr>
        <w:tc>
          <w:tcPr>
            <w:tcW w:w="3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14,876,206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(683,347)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(11,627,804)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2,565,055</w:t>
            </w:r>
          </w:p>
        </w:tc>
      </w:tr>
      <w:tr>
        <w:trPr>
          <w:trHeight w:val="216"/>
        </w:trPr>
        <w:tc>
          <w:tcPr>
            <w:tcW w:w="3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262,553,540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35,621,536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50,821,489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348,996,565</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1,282,076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810,432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2,092,508</w:t>
            </w:r>
          </w:p>
        </w:tc>
      </w:tr>
      <w:tr>
        <w:trPr>
          <w:trHeight w:val="425"/>
        </w:trPr>
        <w:tc>
          <w:tcPr>
            <w:tcW w:w="34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6"/>
          </w:tcPr>
          <w:p>
            <w:pPr>
              <w:ind w:left="580"/>
              <w:spacing w:after="0"/>
              <w:rPr>
                <w:sz w:val="20"/>
                <w:szCs w:val="20"/>
                <w:color w:val="auto"/>
              </w:rPr>
            </w:pPr>
            <w:r>
              <w:rPr>
                <w:rFonts w:ascii="Arial" w:cs="Arial" w:eastAsia="Arial" w:hAnsi="Arial"/>
                <w:sz w:val="18"/>
                <w:szCs w:val="18"/>
                <w:b w:val="1"/>
                <w:bCs w:val="1"/>
                <w:color w:val="auto"/>
                <w:w w:val="95"/>
              </w:rPr>
              <w:t>Three Months Ended September 30, 2022</w:t>
            </w: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4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ADMA</w:t>
            </w:r>
          </w:p>
        </w:tc>
        <w:tc>
          <w:tcPr>
            <w:tcW w:w="1600" w:type="dxa"/>
            <w:vAlign w:val="bottom"/>
            <w:gridSpan w:val="4"/>
          </w:tcPr>
          <w:p>
            <w:pPr>
              <w:ind w:left="80"/>
              <w:spacing w:after="0" w:line="198" w:lineRule="exact"/>
              <w:rPr>
                <w:sz w:val="20"/>
                <w:szCs w:val="20"/>
                <w:color w:val="auto"/>
              </w:rPr>
            </w:pPr>
            <w:r>
              <w:rPr>
                <w:rFonts w:ascii="Arial" w:cs="Arial" w:eastAsia="Arial" w:hAnsi="Arial"/>
                <w:sz w:val="18"/>
                <w:szCs w:val="18"/>
                <w:b w:val="1"/>
                <w:bCs w:val="1"/>
                <w:color w:val="auto"/>
                <w:w w:val="96"/>
              </w:rPr>
              <w:t>Plasma Collection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BioManufacturing</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Centers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Corporate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16"/>
        </w:trPr>
        <w:tc>
          <w:tcPr>
            <w:tcW w:w="3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37,280,798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3,773,631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41,090,137</w:t>
            </w:r>
          </w:p>
        </w:tc>
      </w:tr>
      <w:tr>
        <w:trPr>
          <w:trHeight w:val="216"/>
        </w:trPr>
        <w:tc>
          <w:tcPr>
            <w:tcW w:w="3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27,883,046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3,550,450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31,433,496</w:t>
            </w:r>
          </w:p>
        </w:tc>
      </w:tr>
      <w:tr>
        <w:trPr>
          <w:trHeight w:val="216"/>
        </w:trPr>
        <w:tc>
          <w:tcPr>
            <w:tcW w:w="3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(4,636,269)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(4,977,774)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(9,316,733)</w:t>
            </w:r>
          </w:p>
        </w:tc>
      </w:tr>
      <w:tr>
        <w:trPr>
          <w:trHeight w:val="216"/>
        </w:trPr>
        <w:tc>
          <w:tcPr>
            <w:tcW w:w="3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(5,579,594)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(5,582,771)</w:t>
            </w:r>
          </w:p>
        </w:tc>
      </w:tr>
      <w:tr>
        <w:trPr>
          <w:trHeight w:val="216"/>
        </w:trPr>
        <w:tc>
          <w:tcPr>
            <w:tcW w:w="3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(4,636,423)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(10,557,368)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(14,899,504)</w:t>
            </w:r>
          </w:p>
        </w:tc>
      </w:tr>
      <w:tr>
        <w:trPr>
          <w:trHeight w:val="216"/>
        </w:trPr>
        <w:tc>
          <w:tcPr>
            <w:tcW w:w="3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242,983,498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39,125,933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18,448,139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300,557,570</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1,214,529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647,463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1,861,992</w:t>
            </w:r>
          </w:p>
        </w:tc>
      </w:tr>
      <w:tr>
        <w:trPr>
          <w:trHeight w:val="554"/>
        </w:trPr>
        <w:tc>
          <w:tcPr>
            <w:tcW w:w="3400" w:type="dxa"/>
            <w:vAlign w:val="bottom"/>
          </w:tcPr>
          <w:p>
            <w:pPr>
              <w:spacing w:after="0"/>
              <w:rPr>
                <w:sz w:val="24"/>
                <w:szCs w:val="24"/>
                <w:color w:val="auto"/>
              </w:rPr>
            </w:pPr>
          </w:p>
        </w:tc>
        <w:tc>
          <w:tcPr>
            <w:tcW w:w="2400" w:type="dxa"/>
            <w:vAlign w:val="bottom"/>
            <w:gridSpan w:val="2"/>
          </w:tcPr>
          <w:p>
            <w:pPr>
              <w:jc w:val="right"/>
              <w:ind w:right="10"/>
              <w:spacing w:after="0"/>
              <w:rPr>
                <w:sz w:val="20"/>
                <w:szCs w:val="20"/>
                <w:color w:val="auto"/>
              </w:rPr>
            </w:pPr>
            <w:r>
              <w:rPr>
                <w:rFonts w:ascii="Arial" w:cs="Arial" w:eastAsia="Arial" w:hAnsi="Arial"/>
                <w:sz w:val="14"/>
                <w:szCs w:val="14"/>
                <w:color w:val="auto"/>
              </w:rPr>
              <w:t>19</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40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Nine Months Ended September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2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3"/>
          </w:tcPr>
          <w:p>
            <w:pPr>
              <w:ind w:left="180"/>
              <w:spacing w:after="0" w:line="205" w:lineRule="exact"/>
              <w:rPr>
                <w:sz w:val="20"/>
                <w:szCs w:val="20"/>
                <w:color w:val="auto"/>
              </w:rPr>
            </w:pPr>
            <w:r>
              <w:rPr>
                <w:rFonts w:ascii="Arial" w:cs="Arial" w:eastAsia="Arial" w:hAnsi="Arial"/>
                <w:sz w:val="18"/>
                <w:szCs w:val="18"/>
                <w:b w:val="1"/>
                <w:bCs w:val="1"/>
                <w:color w:val="auto"/>
              </w:rPr>
              <w:t>ADMA</w:t>
            </w: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6"/>
          </w:tcPr>
          <w:p>
            <w:pPr>
              <w:spacing w:after="0" w:line="205" w:lineRule="exact"/>
              <w:rPr>
                <w:sz w:val="20"/>
                <w:szCs w:val="20"/>
                <w:color w:val="auto"/>
              </w:rPr>
            </w:pPr>
            <w:r>
              <w:rPr>
                <w:rFonts w:ascii="Arial" w:cs="Arial" w:eastAsia="Arial" w:hAnsi="Arial"/>
                <w:sz w:val="18"/>
                <w:szCs w:val="18"/>
                <w:b w:val="1"/>
                <w:bCs w:val="1"/>
                <w:color w:val="auto"/>
                <w:w w:val="96"/>
              </w:rPr>
              <w:t>Plasma Collection</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00" w:type="dxa"/>
            <w:vAlign w:val="bottom"/>
            <w:gridSpan w:val="4"/>
          </w:tcPr>
          <w:p>
            <w:pPr>
              <w:spacing w:after="0"/>
              <w:rPr>
                <w:sz w:val="20"/>
                <w:szCs w:val="20"/>
                <w:color w:val="auto"/>
              </w:rPr>
            </w:pPr>
            <w:r>
              <w:rPr>
                <w:rFonts w:ascii="Arial" w:cs="Arial" w:eastAsia="Arial" w:hAnsi="Arial"/>
                <w:sz w:val="18"/>
                <w:szCs w:val="18"/>
                <w:b w:val="1"/>
                <w:bCs w:val="1"/>
                <w:color w:val="auto"/>
                <w:w w:val="96"/>
              </w:rPr>
              <w:t>BioManufacturing</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Centers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Corporate</w:t>
            </w:r>
          </w:p>
        </w:tc>
        <w:tc>
          <w:tcPr>
            <w:tcW w:w="10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gridSpan w:val="2"/>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2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175,904,955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8,299,243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107,125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184,311,323</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118,708,495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7,747,250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126,455,745</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26,576,977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(3,028,792)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(16,149,421)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7,398,764</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(170,069)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(17,822,557)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(17,993,231)</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26,406,908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(3,029,397)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(33,971,978)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(10,594,467)</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1,767,825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1,805,961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3,573,786</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3,857,085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5"/>
          </w:tcPr>
          <w:p>
            <w:pPr>
              <w:jc w:val="right"/>
              <w:ind w:right="140"/>
              <w:spacing w:after="0"/>
              <w:rPr>
                <w:sz w:val="20"/>
                <w:szCs w:val="20"/>
                <w:color w:val="auto"/>
              </w:rPr>
            </w:pPr>
            <w:r>
              <w:rPr>
                <w:rFonts w:ascii="Arial" w:cs="Arial" w:eastAsia="Arial" w:hAnsi="Arial"/>
                <w:sz w:val="18"/>
                <w:szCs w:val="18"/>
                <w:color w:val="auto"/>
              </w:rPr>
              <w:t>2,365,965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6,223,050</w:t>
            </w:r>
          </w:p>
        </w:tc>
      </w:tr>
      <w:tr>
        <w:trPr>
          <w:trHeight w:val="425"/>
        </w:trPr>
        <w:tc>
          <w:tcPr>
            <w:tcW w:w="34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Nine Months Ended September 30, 2022</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4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ind w:left="180"/>
              <w:spacing w:after="0" w:line="198" w:lineRule="exact"/>
              <w:rPr>
                <w:sz w:val="20"/>
                <w:szCs w:val="20"/>
                <w:color w:val="auto"/>
              </w:rPr>
            </w:pPr>
            <w:r>
              <w:rPr>
                <w:rFonts w:ascii="Arial" w:cs="Arial" w:eastAsia="Arial" w:hAnsi="Arial"/>
                <w:sz w:val="18"/>
                <w:szCs w:val="18"/>
                <w:b w:val="1"/>
                <w:bCs w:val="1"/>
                <w:color w:val="auto"/>
              </w:rPr>
              <w:t>ADMA</w:t>
            </w:r>
          </w:p>
        </w:tc>
        <w:tc>
          <w:tcPr>
            <w:tcW w:w="140" w:type="dxa"/>
            <w:vAlign w:val="bottom"/>
          </w:tcPr>
          <w:p>
            <w:pPr>
              <w:spacing w:after="0"/>
              <w:rPr>
                <w:sz w:val="17"/>
                <w:szCs w:val="17"/>
                <w:color w:val="auto"/>
              </w:rPr>
            </w:pPr>
          </w:p>
        </w:tc>
        <w:tc>
          <w:tcPr>
            <w:tcW w:w="1520" w:type="dxa"/>
            <w:vAlign w:val="bottom"/>
            <w:gridSpan w:val="6"/>
          </w:tcPr>
          <w:p>
            <w:pPr>
              <w:spacing w:after="0" w:line="198" w:lineRule="exact"/>
              <w:rPr>
                <w:sz w:val="20"/>
                <w:szCs w:val="20"/>
                <w:color w:val="auto"/>
              </w:rPr>
            </w:pPr>
            <w:r>
              <w:rPr>
                <w:rFonts w:ascii="Arial" w:cs="Arial" w:eastAsia="Arial" w:hAnsi="Arial"/>
                <w:sz w:val="18"/>
                <w:szCs w:val="18"/>
                <w:b w:val="1"/>
                <w:bCs w:val="1"/>
                <w:color w:val="auto"/>
                <w:w w:val="96"/>
              </w:rPr>
              <w:t>Plasma Collection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00" w:type="dxa"/>
            <w:vAlign w:val="bottom"/>
            <w:gridSpan w:val="4"/>
          </w:tcPr>
          <w:p>
            <w:pPr>
              <w:spacing w:after="0"/>
              <w:rPr>
                <w:sz w:val="20"/>
                <w:szCs w:val="20"/>
                <w:color w:val="auto"/>
              </w:rPr>
            </w:pPr>
            <w:r>
              <w:rPr>
                <w:rFonts w:ascii="Arial" w:cs="Arial" w:eastAsia="Arial" w:hAnsi="Arial"/>
                <w:sz w:val="18"/>
                <w:szCs w:val="18"/>
                <w:b w:val="1"/>
                <w:bCs w:val="1"/>
                <w:color w:val="auto"/>
                <w:w w:val="96"/>
              </w:rPr>
              <w:t>BioManufacturing</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Centers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Corporate</w:t>
            </w:r>
          </w:p>
        </w:tc>
        <w:tc>
          <w:tcPr>
            <w:tcW w:w="10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gridSpan w:val="2"/>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2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95,129,542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8,861,570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107,125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104,098,237</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74,383,948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8,626,208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83,010,156</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(4,423,228)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(12,520,163)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(16,363,147)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(33,306,538)</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(70,084)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(1,221)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(13,624,483)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(13,695,788)</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(6,669,941)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(6,669,941)</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(4,493,312)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(12,521,384)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(36,657,571)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(53,672,267)</w:t>
            </w:r>
          </w:p>
        </w:tc>
      </w:tr>
      <w:tr>
        <w:trPr>
          <w:trHeight w:val="216"/>
        </w:trPr>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4,292,246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5,870,404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10,162,650</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3,486,212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5"/>
          </w:tcPr>
          <w:p>
            <w:pPr>
              <w:jc w:val="right"/>
              <w:ind w:right="140"/>
              <w:spacing w:after="0"/>
              <w:rPr>
                <w:sz w:val="20"/>
                <w:szCs w:val="20"/>
                <w:color w:val="auto"/>
              </w:rPr>
            </w:pPr>
            <w:r>
              <w:rPr>
                <w:rFonts w:ascii="Arial" w:cs="Arial" w:eastAsia="Arial" w:hAnsi="Arial"/>
                <w:sz w:val="18"/>
                <w:szCs w:val="18"/>
                <w:color w:val="auto"/>
              </w:rPr>
              <w:t>1,689,362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5,176,492</w:t>
            </w:r>
          </w:p>
        </w:tc>
      </w:tr>
      <w:tr>
        <w:trPr>
          <w:trHeight w:val="418"/>
        </w:trPr>
        <w:tc>
          <w:tcPr>
            <w:tcW w:w="8360" w:type="dxa"/>
            <w:vAlign w:val="bottom"/>
            <w:gridSpan w:val="10"/>
          </w:tcPr>
          <w:p>
            <w:pPr>
              <w:spacing w:after="0"/>
              <w:rPr>
                <w:sz w:val="20"/>
                <w:szCs w:val="20"/>
                <w:color w:val="auto"/>
              </w:rPr>
            </w:pPr>
            <w:r>
              <w:rPr>
                <w:rFonts w:ascii="Arial" w:cs="Arial" w:eastAsia="Arial" w:hAnsi="Arial"/>
                <w:sz w:val="18"/>
                <w:szCs w:val="18"/>
                <w:color w:val="auto"/>
                <w:w w:val="93"/>
              </w:rPr>
              <w:t>Net revenues according to geographic area, based on the location of where the product is shipped, is as follows: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Arial" w:cs="Arial" w:eastAsia="Arial" w:hAnsi="Arial"/>
                <w:sz w:val="18"/>
                <w:szCs w:val="18"/>
                <w:b w:val="1"/>
                <w:bCs w:val="1"/>
                <w:color w:val="auto"/>
                <w:w w:val="93"/>
              </w:rPr>
              <w:t>Three Months Ended September 30,</w:t>
            </w:r>
          </w:p>
        </w:tc>
        <w:tc>
          <w:tcPr>
            <w:tcW w:w="100" w:type="dxa"/>
            <w:vAlign w:val="bottom"/>
          </w:tcPr>
          <w:p>
            <w:pPr>
              <w:spacing w:after="0"/>
              <w:rPr>
                <w:sz w:val="24"/>
                <w:szCs w:val="24"/>
                <w:color w:val="auto"/>
              </w:rPr>
            </w:pPr>
          </w:p>
        </w:tc>
        <w:tc>
          <w:tcPr>
            <w:tcW w:w="2780" w:type="dxa"/>
            <w:vAlign w:val="bottom"/>
            <w:gridSpan w:val="11"/>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3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2023</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64,617,747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37,854,167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173,920,284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96,445,162</w:t>
            </w:r>
          </w:p>
        </w:tc>
        <w:tc>
          <w:tcPr>
            <w:tcW w:w="100" w:type="dxa"/>
            <w:vAlign w:val="bottom"/>
            <w:shd w:val="clear" w:color="auto" w:fill="CCEEFF"/>
          </w:tcPr>
          <w:p>
            <w:pPr>
              <w:spacing w:after="0"/>
              <w:rPr>
                <w:sz w:val="18"/>
                <w:szCs w:val="18"/>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International</w:t>
            </w:r>
          </w:p>
        </w:tc>
        <w:tc>
          <w:tcPr>
            <w:tcW w:w="2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2,656,851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3,235,970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10,391,039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7,653,075</w:t>
            </w:r>
          </w:p>
        </w:tc>
      </w:tr>
      <w:tr>
        <w:trPr>
          <w:trHeight w:val="256"/>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0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67,274,598</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41,090,137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184,311,323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104,098,237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LEASE OBLIGATIONS</w:t>
      </w:r>
    </w:p>
    <w:p>
      <w:pPr>
        <w:spacing w:after="0" w:line="229"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The Company leases certain properties and equipment for its ADMA BioCenters and ADMA BioManufacturing subsidiaries, which leases provide the right to use the underlying assets and require lease payments through the respective lease terms which expire at various dates through 2033. The Company’s lease agreements do not contain any material residual value guarantees or material restrictive covenants.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For all of its leases, the Company has elected and applies the practical expedient available to lessees to combine non-lease components with their related lease components and account for them as a single combined lease component.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The Company’s lease expense is recognized on a straight-line basis over the lease term and is reflected in Plasma center operating expenses and Selling, general and administrative expenses. Aggregate lease expense for the Company’s leases for the three months ended September 30, 2023 and 2022 was approximately $0.6 million, and aggregate lease expense for the nine months ended September 30, 2023 and 2022 was $1.8 million and $1.5 million, respectively. Cash paid for the Company’s leases for the three months ended September 30, 2023 and 2022 was approximately $0.6 million and $0.5 million, respectively, and cash paid for the nine months ended September 30, 2023 and 2022 was approximately $1.8 million and $1.3 million, respectively.</w:t>
      </w:r>
    </w:p>
    <w:p>
      <w:pPr>
        <w:spacing w:after="0" w:line="16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has aggregate lease liabilities of $10.9 million and $11.6 million as of September 30, 2023 and December 31, 2022, respectively, which are comprised primarily of the leases for the Company’s plasma collection centers and a warehouse lease for raw material storage related to the Company’s immunoglobulin manufacturing operations. The Company’s operating leases have a weighted average remaining term of 7.9 years. Scheduled payments under the Company’s lease obligations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shd w:val="clear" w:color="auto" w:fill="CCEEFF"/>
          </w:tcPr>
          <w:p>
            <w:pPr>
              <w:jc w:val="right"/>
              <w:ind w:right="3790"/>
              <w:spacing w:after="0"/>
              <w:rPr>
                <w:sz w:val="20"/>
                <w:szCs w:val="20"/>
                <w:color w:val="auto"/>
              </w:rPr>
            </w:pPr>
            <w:r>
              <w:rPr>
                <w:rFonts w:ascii="Arial" w:cs="Arial" w:eastAsia="Arial" w:hAnsi="Arial"/>
                <w:sz w:val="18"/>
                <w:szCs w:val="18"/>
                <w:color w:val="auto"/>
              </w:rPr>
              <w:t>Remainder of 2023</w:t>
            </w:r>
          </w:p>
        </w:tc>
        <w:tc>
          <w:tcPr>
            <w:tcW w:w="40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597,659</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jc w:val="right"/>
              <w:ind w:right="3790"/>
              <w:spacing w:after="0"/>
              <w:rPr>
                <w:sz w:val="20"/>
                <w:szCs w:val="20"/>
                <w:color w:val="auto"/>
              </w:rPr>
            </w:pPr>
            <w:r>
              <w:rPr>
                <w:rFonts w:ascii="Arial" w:cs="Arial" w:eastAsia="Arial" w:hAnsi="Arial"/>
                <w:sz w:val="18"/>
                <w:szCs w:val="18"/>
                <w:color w:val="auto"/>
                <w:w w:val="88"/>
              </w:rPr>
              <w:t>Year ended December 31, 2024</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2,343,314</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jc w:val="right"/>
              <w:ind w:right="3790"/>
              <w:spacing w:after="0"/>
              <w:rPr>
                <w:sz w:val="20"/>
                <w:szCs w:val="20"/>
                <w:color w:val="auto"/>
              </w:rPr>
            </w:pPr>
            <w:r>
              <w:rPr>
                <w:rFonts w:ascii="Arial" w:cs="Arial" w:eastAsia="Arial" w:hAnsi="Arial"/>
                <w:sz w:val="18"/>
                <w:szCs w:val="18"/>
                <w:color w:val="auto"/>
              </w:rPr>
              <w:t>2025</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2,366,432</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jc w:val="right"/>
              <w:ind w:right="3790"/>
              <w:spacing w:after="0"/>
              <w:rPr>
                <w:sz w:val="20"/>
                <w:szCs w:val="20"/>
                <w:color w:val="auto"/>
              </w:rPr>
            </w:pPr>
            <w:r>
              <w:rPr>
                <w:rFonts w:ascii="Arial" w:cs="Arial" w:eastAsia="Arial" w:hAnsi="Arial"/>
                <w:sz w:val="18"/>
                <w:szCs w:val="18"/>
                <w:color w:val="auto"/>
              </w:rPr>
              <w:t>2026</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2,116,036</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jc w:val="right"/>
              <w:ind w:right="3790"/>
              <w:spacing w:after="0"/>
              <w:rPr>
                <w:sz w:val="20"/>
                <w:szCs w:val="20"/>
                <w:color w:val="auto"/>
              </w:rPr>
            </w:pPr>
            <w:r>
              <w:rPr>
                <w:rFonts w:ascii="Arial" w:cs="Arial" w:eastAsia="Arial" w:hAnsi="Arial"/>
                <w:sz w:val="18"/>
                <w:szCs w:val="18"/>
                <w:color w:val="auto"/>
              </w:rPr>
              <w:t>2027</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2,040,690</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jc w:val="right"/>
              <w:ind w:right="3790"/>
              <w:spacing w:after="0"/>
              <w:rPr>
                <w:sz w:val="20"/>
                <w:szCs w:val="20"/>
                <w:color w:val="auto"/>
              </w:rPr>
            </w:pPr>
            <w:r>
              <w:rPr>
                <w:rFonts w:ascii="Arial" w:cs="Arial" w:eastAsia="Arial" w:hAnsi="Arial"/>
                <w:sz w:val="18"/>
                <w:szCs w:val="18"/>
                <w:color w:val="auto"/>
              </w:rPr>
              <w:t>2028</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2,087,825</w:t>
            </w:r>
          </w:p>
        </w:tc>
        <w:tc>
          <w:tcPr>
            <w:tcW w:w="100" w:type="dxa"/>
            <w:vAlign w:val="bottom"/>
          </w:tcPr>
          <w:p>
            <w:pPr>
              <w:spacing w:after="0"/>
              <w:rPr>
                <w:sz w:val="18"/>
                <w:szCs w:val="18"/>
                <w:color w:val="auto"/>
              </w:rPr>
            </w:pPr>
          </w:p>
        </w:tc>
      </w:tr>
      <w:tr>
        <w:trPr>
          <w:trHeight w:val="223"/>
        </w:trPr>
        <w:tc>
          <w:tcPr>
            <w:tcW w:w="6160" w:type="dxa"/>
            <w:vAlign w:val="bottom"/>
            <w:tcBorders>
              <w:bottom w:val="single" w:sz="8" w:color="CCEEFF"/>
            </w:tcBorders>
            <w:shd w:val="clear" w:color="auto" w:fill="CCEEFF"/>
          </w:tcPr>
          <w:p>
            <w:pPr>
              <w:jc w:val="right"/>
              <w:ind w:right="3790"/>
              <w:spacing w:after="0"/>
              <w:rPr>
                <w:sz w:val="20"/>
                <w:szCs w:val="20"/>
                <w:color w:val="auto"/>
              </w:rPr>
            </w:pPr>
            <w:r>
              <w:rPr>
                <w:rFonts w:ascii="Arial" w:cs="Arial" w:eastAsia="Arial" w:hAnsi="Arial"/>
                <w:sz w:val="18"/>
                <w:szCs w:val="18"/>
                <w:color w:val="auto"/>
              </w:rPr>
              <w:t>Thereafter</w:t>
            </w:r>
          </w:p>
        </w:tc>
        <w:tc>
          <w:tcPr>
            <w:tcW w:w="38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6,150,745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160" w:type="dxa"/>
            <w:vAlign w:val="bottom"/>
          </w:tcPr>
          <w:p>
            <w:pPr>
              <w:jc w:val="right"/>
              <w:ind w:right="3790"/>
              <w:spacing w:after="0"/>
              <w:rPr>
                <w:sz w:val="20"/>
                <w:szCs w:val="20"/>
                <w:color w:val="auto"/>
              </w:rPr>
            </w:pPr>
            <w:r>
              <w:rPr>
                <w:rFonts w:ascii="Arial" w:cs="Arial" w:eastAsia="Arial" w:hAnsi="Arial"/>
                <w:sz w:val="18"/>
                <w:szCs w:val="18"/>
                <w:color w:val="auto"/>
              </w:rPr>
              <w:t>Total payments</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17,702,701</w:t>
            </w:r>
          </w:p>
        </w:tc>
      </w:tr>
      <w:tr>
        <w:trPr>
          <w:trHeight w:val="216"/>
        </w:trPr>
        <w:tc>
          <w:tcPr>
            <w:tcW w:w="6160" w:type="dxa"/>
            <w:vAlign w:val="bottom"/>
            <w:shd w:val="clear" w:color="auto" w:fill="CCEEFF"/>
          </w:tcPr>
          <w:p>
            <w:pPr>
              <w:jc w:val="right"/>
              <w:ind w:right="3790"/>
              <w:spacing w:after="0"/>
              <w:rPr>
                <w:sz w:val="20"/>
                <w:szCs w:val="20"/>
                <w:color w:val="auto"/>
              </w:rPr>
            </w:pPr>
            <w:r>
              <w:rPr>
                <w:rFonts w:ascii="Arial" w:cs="Arial" w:eastAsia="Arial" w:hAnsi="Arial"/>
                <w:sz w:val="18"/>
                <w:szCs w:val="18"/>
                <w:color w:val="auto"/>
              </w:rPr>
              <w:t>Less: imputed interest</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(6,754,722)</w:t>
            </w:r>
          </w:p>
        </w:tc>
      </w:tr>
      <w:tr>
        <w:trPr>
          <w:trHeight w:val="223"/>
        </w:trPr>
        <w:tc>
          <w:tcPr>
            <w:tcW w:w="6160" w:type="dxa"/>
            <w:vAlign w:val="bottom"/>
          </w:tcPr>
          <w:p>
            <w:pPr>
              <w:jc w:val="right"/>
              <w:ind w:right="3790"/>
              <w:spacing w:after="0"/>
              <w:rPr>
                <w:sz w:val="20"/>
                <w:szCs w:val="20"/>
                <w:color w:val="auto"/>
              </w:rPr>
            </w:pPr>
            <w:r>
              <w:rPr>
                <w:rFonts w:ascii="Arial" w:cs="Arial" w:eastAsia="Arial" w:hAnsi="Arial"/>
                <w:sz w:val="18"/>
                <w:szCs w:val="18"/>
                <w:color w:val="auto"/>
              </w:rPr>
              <w:t>Current portion</w:t>
            </w:r>
          </w:p>
        </w:tc>
        <w:tc>
          <w:tcPr>
            <w:tcW w:w="3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(982,891)</w:t>
            </w:r>
          </w:p>
        </w:tc>
      </w:tr>
      <w:tr>
        <w:trPr>
          <w:trHeight w:val="257"/>
        </w:trPr>
        <w:tc>
          <w:tcPr>
            <w:tcW w:w="6160" w:type="dxa"/>
            <w:vAlign w:val="bottom"/>
            <w:tcBorders>
              <w:bottom w:val="single" w:sz="8" w:color="CCEEFF"/>
            </w:tcBorders>
            <w:shd w:val="clear" w:color="auto" w:fill="CCEEFF"/>
          </w:tcPr>
          <w:p>
            <w:pPr>
              <w:jc w:val="right"/>
              <w:ind w:right="3790"/>
              <w:spacing w:after="0"/>
              <w:rPr>
                <w:sz w:val="20"/>
                <w:szCs w:val="20"/>
                <w:color w:val="auto"/>
              </w:rPr>
            </w:pPr>
            <w:r>
              <w:rPr>
                <w:rFonts w:ascii="Arial" w:cs="Arial" w:eastAsia="Arial" w:hAnsi="Arial"/>
                <w:sz w:val="18"/>
                <w:szCs w:val="18"/>
                <w:color w:val="auto"/>
                <w:w w:val="89"/>
              </w:rPr>
              <w:t>Balance at September 30, 2023</w:t>
            </w:r>
          </w:p>
        </w:tc>
        <w:tc>
          <w:tcPr>
            <w:tcW w:w="38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9,965,088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DISCLOSURE OF CASH FLOW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for the nine months ended September 30, 2023 and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3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13,895,692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9,610,361</w:t>
            </w:r>
          </w:p>
        </w:tc>
      </w:tr>
      <w:tr>
        <w:trPr>
          <w:trHeight w:val="210"/>
        </w:trPr>
        <w:tc>
          <w:tcPr>
            <w:tcW w:w="54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Noncash Financing and Investing Activities:</w:t>
            </w:r>
          </w:p>
        </w:tc>
        <w:tc>
          <w:tcPr>
            <w:tcW w:w="3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Equipment acquired reflected in accounts payable and accrued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270,328</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1,749,746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460" w:type="dxa"/>
            <w:vAlign w:val="bottom"/>
          </w:tcPr>
          <w:p>
            <w:pPr>
              <w:ind w:left="180"/>
              <w:spacing w:after="0"/>
              <w:rPr>
                <w:sz w:val="20"/>
                <w:szCs w:val="20"/>
                <w:color w:val="auto"/>
              </w:rPr>
            </w:pPr>
            <w:r>
              <w:rPr>
                <w:rFonts w:ascii="Arial" w:cs="Arial" w:eastAsia="Arial" w:hAnsi="Arial"/>
                <w:sz w:val="18"/>
                <w:szCs w:val="18"/>
                <w:color w:val="auto"/>
              </w:rPr>
              <w:t>Right-to-use assets in exchange for lease obligations</w:t>
            </w:r>
          </w:p>
        </w:tc>
        <w:tc>
          <w:tcPr>
            <w:tcW w:w="3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3,660,890</w:t>
            </w:r>
          </w:p>
        </w:tc>
      </w:tr>
      <w:tr>
        <w:trPr>
          <w:trHeight w:val="20"/>
        </w:trPr>
        <w:tc>
          <w:tcPr>
            <w:tcW w:w="54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 issued in connection with 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5,594,764</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9,569,604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62"/>
        </w:trPr>
        <w:tc>
          <w:tcPr>
            <w:tcW w:w="5460" w:type="dxa"/>
            <w:vAlign w:val="bottom"/>
          </w:tcPr>
          <w:p>
            <w:pPr>
              <w:spacing w:after="0"/>
              <w:rPr>
                <w:sz w:val="24"/>
                <w:szCs w:val="24"/>
                <w:color w:val="auto"/>
              </w:rPr>
            </w:pPr>
          </w:p>
        </w:tc>
        <w:tc>
          <w:tcPr>
            <w:tcW w:w="3180" w:type="dxa"/>
            <w:vAlign w:val="bottom"/>
          </w:tcPr>
          <w:p>
            <w:pPr>
              <w:jc w:val="right"/>
              <w:ind w:right="2856"/>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460" w:type="dxa"/>
            <w:vAlign w:val="bottom"/>
            <w:tcBorders>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2022, filed on March 23, 2023 (the “2022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 from our current expectations.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ADMA Biologics, Inc. (the “Company,” “ADMA,” “we,” “us” or “our”) is an end-to-end commercial biopharmaceutical company dedicated to manufacturing, marketing and developing specialty plasma-derived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We currently have three products with U.S. Food and Drug Administration (the “FDA”) approval, all of which are currently marketed and commercially available: (i) BIVIGAM (Immune Globulin Intravenous, Human), an Intravenous Immune Globulin (“IVIG”) product indicated for the treatment of Primary Humoral Immunodeficiency (“PI”), also known as Primary Immunodeficiency Disease (“PIDD”) or Inborn Errors of Immunity, and for which we received FDA approval on May 9, 2019 and commenced commercial sales in August 2019; (ii) ASCENIV (Immune Globulin Intravenous, Human – slra 10% Liquid),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HBsAg and other listed exposures to Hepatitis B. We seek to develop a pipeline of plasma-derived therapeutics, including but not limited to, a product based on our most recently approved patent application under U.S. Patent No. 10,259,865 related to methods of treatment and prevention of </w:t>
      </w:r>
      <w:r>
        <w:rPr>
          <w:rFonts w:ascii="Arial" w:cs="Arial" w:eastAsia="Arial" w:hAnsi="Arial"/>
          <w:sz w:val="17"/>
          <w:szCs w:val="17"/>
          <w:i w:val="1"/>
          <w:iCs w:val="1"/>
          <w:color w:val="auto"/>
        </w:rPr>
        <w: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pneumonia </w:t>
      </w:r>
      <w:r>
        <w:rPr>
          <w:rFonts w:ascii="Arial" w:cs="Arial" w:eastAsia="Arial" w:hAnsi="Arial"/>
          <w:sz w:val="17"/>
          <w:szCs w:val="17"/>
          <w:color w:val="auto"/>
        </w:rPr>
        <w:t>infection for an immunoglobulin manufactured to contain standardized antibodies to numerous serotypes of</w:t>
      </w:r>
      <w:r>
        <w:rPr>
          <w:rFonts w:ascii="Arial" w:cs="Arial" w:eastAsia="Arial" w:hAnsi="Arial"/>
          <w:sz w:val="17"/>
          <w:szCs w:val="17"/>
          <w:i w:val="1"/>
          <w:iCs w:val="1"/>
          <w:color w:val="auto"/>
        </w:rPr>
        <w:t xml:space="preserve"> S. pneumoniae</w:t>
      </w:r>
      <w:r>
        <w:rPr>
          <w:rFonts w:ascii="Arial" w:cs="Arial" w:eastAsia="Arial" w:hAnsi="Arial"/>
          <w:sz w:val="17"/>
          <w:szCs w:val="17"/>
          <w:color w:val="auto"/>
        </w:rPr>
        <w:t>. Our products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candidates are intended to be used by physician specialists focused on caring for immune-compromised patients with or at risk for certain infectious diseases.</w:t>
      </w:r>
    </w:p>
    <w:p>
      <w:pPr>
        <w:spacing w:after="0" w:line="18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manufacture these products at our FDA-licensed, plasma fractionation and purification facility located in Boca Raton, Florida with a peak annual source plasma processing capability of up to 600,000 liters (the “Boca Facility”). Based on current production yields, our completed and ongoing supply chain enhancements and capacity expansion initiatives, we believe this facility has the potential to produce quantities of our immune globulin (“IG”) products representing annual revenues of $250 million or more in 2023, potentially more than $290 million in annual revenue in 2024 and potentially in excess of $335 million of annual revenue thereafter. At these revenue levels, we forecast achieving consolidated gross margins in the range of 40-50% and net income margins in the range of 20-30%. Primarily as a result of the significant revenue growth and continued physician, patient and payer acceptance of BIVIGAM and ASCENIV that we have experienced over the past several years, we achieved positive net income and positive cash flow from operations for the first time in the Company’s history during the three months ended September 30, 2023. These assumptions translate to potential annual gross profit and net income in excess of $110-$160 million and $55-$100 million, respectively, during the 2024-2025 time periods.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Through our ADMA BioCenters subsidiary, we currently operate ten source plasma collection facilities in the U.S. This business unit, which we refer to as our Plasma Collection Centers business segment, provides us with substantially all of our blood plasma for the manufacture of our products, and also allows us to sell certain quantities of source plasma and certain other plasma products to third-party customers for further manufacturing. Currently, nine of our plasma collection centers hold FDA licenses, with the remaining plasma collection center anticipated to receive FDA approval later in 2023. In addition, three of our FDA-approved plasma collection centers also have approvals from the Korean Ministry of Food and Drug Safety (“MFDS”), as well as FDA approval to operate a Hepatitis B immunization program. A typical plasma collection center, such as those operated by ADMA BioCenters, can collect approximately 30,000 to 50,000 liters of source and hyperimmune plasma annually, which may be sold for different prices depending upon the type of plasma, quantity of purchase and market conditions at the time of sale. Plasma collected from ADMA BioCenters’ facilities that is not used to manufacture our products is sold to third-party customers in the U.S. and in other locations outside the U.S. where we are approved under supply agreements or in the open “spot” market.</w:t>
      </w:r>
    </w:p>
    <w:p>
      <w:pPr>
        <w:spacing w:after="0" w:line="18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sell plasma-derived intermediate fractions to certain customers, which are generated as part of our FDA-approved manufacturing process for IG and IVIG products. In January 2020, we announced our entry into a five-year manufacturing and supply agreement to produce and sell these intermediate by-products, which are used as the starting raw material to produce other plasma-derived biologics. In addition, from time to time we provide contract manufacturing and testing services for certain third-party clients. We also provide laboratory contracting services to certain customers and anticipate providing contract filling, labeling and packaging services in light of the FDA approval of our in-house fill-finish capabilities.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16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On May 9, 2019, the FDA approved the Prior Approval Supplement (the “PAS”) for the use of our IVIG manufacturing process, thereby enabling us to re-launch and commercialize this product in the United States.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April 28,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had a favorable impact on our gross margins and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ASCENIV</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April 1,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We are able to identify the high titer or “hyperimmune” plasma that meets our internal and required specifications for ASCENIV with our patented testing methods and assay. This type of high titer plasma is typically found in less than 10% of the total donor collection samples we test.</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ASCENIV is approved for the treatment of Primary Immune Deficiency Disorder (“PIDD”), a class of inherited genetic disorders that causes a deficient or absent immune system in adults and adolescents (12 to 17 years of age). Our pivotal Phase III clinical trial in 59 PIDD patients met the primary endpoint of no Serious Bacterial Infections (“SBI”)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PIDD better positions ADMA to potentially further evaluate ASCENIV in immune-compromised patients infected with or at-risk for RSV infection or potentially other respiratory viral pathogens at an appropriate time. Due to the COVID-19 pandemic, our plans have been delayed. In the future however, we may work with the FDA and the immunology and infectious disease community to design an appropriate clinical trial to evaluate the use of ASCENIV in this patient population. Commercial sales of ASCENIV commenced in October of 2019 and our commercial and medical education efforts are focused on the labeled indication of patients with PIDD. ASCENIV’s prescriber and patient base continued to expand during the fourth quarter of 2022, which drove record utilization and pull-through for the product. These elevated demand trends have sustained into 2023, and ADMA currently expects that this product’s rapid growth will continue throughout 2023 and beyond.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POTENTIAL IMPACT OF COVID-19, GLOBAL CONFLICTS AND ECONOMIC UNCERTAINTY</w:t>
      </w:r>
    </w:p>
    <w:p>
      <w:pPr>
        <w:spacing w:after="0" w:line="229"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We continue to monitor the ongoing developments related to the COVID-19 pandemic, including the emergence of the Delta, Omicron and BA.2 variants and other resistant strains of the coronavirus, as well as the global conflicts and associated economic uncertainty, and their impacts to our commercial and manufacturing operations and plasma collection facilities, including collections of source plasma, procurement of raw materials and packaging materials, a portion of which are sourced internationally, and the testing of finished drug product that is required prior to its availability for commercial sale. A substantial portion of such testing had historically been performed by contract laboratories outside the United States.</w:t>
      </w:r>
    </w:p>
    <w:p>
      <w:pPr>
        <w:spacing w:after="0" w:line="16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Due to a combination of previously mandated state and local “shelter-in-place” orders, as well as government stimulus packages, persisting social distancing measures and varying roll-outs of vaccinations by state, we experienced at times lower than normal donor collections at our FDA approved plasma collection centers during 2021 and part of 2022. From time to time during 2021 and 2022, we were also subject to delays in shipments of source plasma from our contracted third-party suppliers, as well as delays in deliveries for personal protective equipment, reagents and other non-plasma raw materials and supplies used in the manufacture and distribution of our products. In addition, we have been subject to supply chain delays as a result of certain of our suppliers diverting significant resources towards the rapid development and distribution of COVID-19 vaccines and, as a result, we elected to carry more raw materials inventory than we have in the past. The COVID-19 pandemic previously impacted, to a certain degree, our customer engagement initiatives, whereby ADMA’s sales and medical affairs field personnel faced difficulties communicating directly with physicians and other healthcare professionals, as well as the cancellation or postponement of a number of key scientific and medical meetings, further limiting our ability to communicate with potential customers.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pandemic could also impact our ability to interact with the FDA or other regulatory authorities and could result in delays in the conduct of inspections or review of pending applications or submissions. Although we have received FDA approvals for six of our plasma collection centers since January 1, 2022 and previously received several other FDA approvals while two FDA inspections of the Boca Facility were completed during the year ended December 31, 2021, no assurances can be provided as to the timing for completion of any future regulatory submissions or applications that may be impacted by restrictions related to COVID-19.</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During the nine months ended September 30, 2023 and 2022, the Company’s total revenues attributable to international customers was approximately 6% and 7%, respectively. As we seek to grow this aspect of our business, we may also be subject to the impacts of the COVID-19 pandemic in locations outside the United States.</w:t>
      </w:r>
    </w:p>
    <w:p>
      <w:pPr>
        <w:spacing w:after="0" w:line="18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Notwithstanding the foregoing, the COVID-19 pandemic to date has not had a material impact on our financial condition or results of operations, and we do not believe that our production operations at the Boca Facility, our contract fill/finishers or our plasma collection facilities have been significantly impacted by the COVID-19 pandemic. As a result, we do not anticipate and have not experienced any material impairments with respect to any of our long-lived assets, including our property and equipment, goodwill or intangible assets.</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Although the COVID-19 pandemic and global conflicts and economic uncertainty have not, to date, materially adversely impacted our capital and financial resources, because we are unable to determine the ultimate severity or duration of the pandemic and any global conflicts and economic uncertainty or their long-term effects on, among other things, the global, national or local economies, the capital and credit markets or our workforce, customers or suppliers, at this time we are unable to predict whether COVID-19, or any known or future variant or government order, or global conflicts and economic uncertainty will have a material adverse impact on our business, financial condition, liquidity and results of operations. After the COVID-19 global pandemic has settled, we may continue to experience adverse impacts to our business as a result of evolving macroeconomic factors, including general economic uncertainty, international conflicts, unemployment rates, inflationary pressures and any actual economic recession that has occurred or may occur in the future.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IT SYSTEMS DISRUPTION</w:t>
      </w:r>
    </w:p>
    <w:p>
      <w:pPr>
        <w:spacing w:after="0" w:line="229"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On June 19, 2023, we experienced an IT systems disruption, which rendered certain of our IT technology systems inaccessible for less than one week. Our investigation of the disruption has essentially been completed with the assistance of third-party consultants. While no definitive root cause has been identified, as previously disclosed we believe that this IT systems disruption may have been caused by a third-party who may have gained access to the system. There was no original financial systems or other data loss or any evidence of files exfiltrated due to this disruption. Normal operations have resumed across our business units. At the time of the disruption, we were in production of two batches of BIVIGAM, and after a prolonged hold time, it was deemed to be a prudent GMP quality decision to discard these two in-process production batches as these batches were no longer viable for further production or had any alternative use. As a result, we recorded a one-time, non-recurring charge of $2.1 million for this inventory in the second quarter of 2023, which is reflected in Cost of product revenue in the accompanying consolidated statements of operations for the nine months ended September 30, 2023. In addition, during the second quarter, of 2023, the Company’s Plasma center operating expenses were adversely impacted by approximately $0.7 million due to the temporary closing of our plasma collection centers while their IT systems were restored.</w:t>
      </w:r>
    </w:p>
    <w:p>
      <w:pPr>
        <w:spacing w:after="0" w:line="16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carry appropriate insurance for these types of instances, and while there can be no assurances ADMA will be reimbursed for the insurance claims made pertaining to these charges, we are actively working with its insurance broker and carriers.</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This Management’s Discussion and Analysis of Financial Condition and Results of Operations is based on our condensed consolidated financial statements, which have been prepared in accordance with Accounting Principles Generally Accepted in the United States of America (“U.S. GAAP”). The preparation of these condensed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rebates and certain other deductions from gross revenues, impairment of long-lived assets, assumptions used in projecting future liquidity and capital requirements, assumptions used in the fair value of awards granted under our equity incentive plans and warrants issued in connection with the issuance of notes payable and the valuation allowance for our deferred tax assets.</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estimates and their application are considered to be critical to understanding our business operations, financial condition and results of operations. For a description of our significant accounting policies, see Note 2 to the Consolidated Financial Statements included in the 2022 10-K. Estimates and assumptions used in projecting future liquidity and capital requirements are described in Note 1 to the condensed consolidated financial statements appearing elsewhere in this Quarterly Report on Form 10-Q.</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Historically, adjustments to these estimates to reflect actual results or updated expectations have not been material to our overall business. However, two of our primary immunoglobulin products, ASCENIV and BIVIGAM, were approved for commercial sale by the FDA in 2019. Therefore, while we have some historical experience with rebates with respect to these products, it is not extensive. If any of our ratios, factors, assessments, experiences or judgments are not indicative or accurate estimates of our future experience, our results could be materially affected. Estimates that are most at risk for material adjustment are those associated with U.S. Medicaid rebates because of the extensive time delay between the recording of the accrual and its ultimate settlement, an interval that can generally take up to several years or more. These estimates may change from time to time based on changes in utilization, payor and channel mixes. While our results of operations to date have not required any material adjustment due to this risk, the delay between when this obligation is initially recorded and ultimately settled could potentially materially impact our revenues and our results of operations in the future.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Valuation of Warrants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All equity-based payments, including grants of stock options and Restricted Stock Units (“RSUs”) are recognized at their estimated fair value at the date of grant, and compensation expense is recognized on a straight-line basis over the grantee’s requisite vesting period. For the purpose of valuing stock options granted to our employees, directors and officers, we use the Black-Scholes option pricing model. The Black-Scholes option valuation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we utilize the U.S. Treasury yield curve in effect at the time of the grant with a term consistent with the expected term of our awards. The expected term of the options granted is in accordance with U.S. Securities and Exchange Commission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We will continue to analyze the expected stock price volatility and expected term assumptions and will adjust our Black-Scholes option pricing assumptions as appropriate. Any changes in the foregoing Black-Scholes assumptions, or our election to utilize an alternative method for valuing stock options granted to employees, directors and officers, could potentially impact our stock-based compensation expense and our results of operations.</w:t>
      </w:r>
    </w:p>
    <w:p>
      <w:pPr>
        <w:spacing w:after="0" w:line="174" w:lineRule="exact"/>
        <w:rPr>
          <w:sz w:val="20"/>
          <w:szCs w:val="20"/>
          <w:color w:val="auto"/>
        </w:rPr>
      </w:pPr>
    </w:p>
    <w:p>
      <w:pPr>
        <w:jc w:val="both"/>
        <w:ind w:right="480" w:firstLine="648"/>
        <w:spacing w:after="0" w:line="263" w:lineRule="auto"/>
        <w:rPr>
          <w:sz w:val="20"/>
          <w:szCs w:val="20"/>
          <w:color w:val="auto"/>
        </w:rPr>
      </w:pPr>
      <w:r>
        <w:rPr>
          <w:rFonts w:ascii="Arial" w:cs="Arial" w:eastAsia="Arial" w:hAnsi="Arial"/>
          <w:sz w:val="18"/>
          <w:szCs w:val="18"/>
          <w:color w:val="auto"/>
        </w:rPr>
        <w:t>We also use the Black-Scholes option valuation model for the purpose of estimating the fair value of warrants we issue from time to time in connection with the issuance of notes payable. Changes in our Black-Scholes assumptions, or our election to utilize an alternative method for valuing warrants issued to our lenders, could impact our interest expense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nine months ended September 30, 2023 and 2022, we did not identify any impairment indicators for our long-lived assets, and as a result no impairment charges were recorded. Examples of events or circumstances that may be indicative of impairment that would require the use of significant judgment by management include:</w:t>
      </w:r>
    </w:p>
    <w:p>
      <w:pPr>
        <w:spacing w:after="0" w:line="19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the asset.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and continued cash flow losses.</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is used, such as a restriction imposed by the FDA or other regulatory authorities that could affect our ability to manufacture our products using a particular asset.</w:t>
      </w:r>
    </w:p>
    <w:p>
      <w:pPr>
        <w:ind w:left="660" w:right="38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expectation of losses or reduced profits associated with an asset. This could result, for example, from the introduction of a competitor’s product that impacts projected revenue growth, or a change in the acceptance of a product by patients, physicians and payers that results in an inability to sustain projected product revenues.</w:t>
      </w:r>
    </w:p>
    <w:p>
      <w:pPr>
        <w:spacing w:after="0" w:line="19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Goodwill is not amortized but is assessed for impairment on an annual basis or more frequently if impairment indicators exist. The testing of goodwill for impairment requires us to determine whether or not the fair value of the reporting unit associated with the goodwill is less than its carrying amount, including goodwill and other intangible assets. An impairment charge is recorded to the extent the reporting unit’s carrying value exceeds its fair value, with the impairment loss recognized not to exceed the total amount of goodwill allocated to that reporting unit. In order to determine the fair value of the reporting unit, we utilize the fair value of the Company as a whole, as determined by its market capitalization. Determination of the fair value and carrying value of each reporting unit, relative to the fair value of the Company, requires management to employ certain estimates, assumptions and judgment, which we believe are reasonable. However, any changes to these estimates and assumptions could impact our determination of whether or not our goodwill is impaired. We did not recognize any impairment charges related to goodwill for the nine months ended September 30, 2023 and 2022.</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maintain a full valuation allowance against all of our net deferred tax assets, and as a result have recorded no income tax benefit in the accompanying consolidated financial statements. This valuation allowance reflects our assessment of whether it is more likely than not that we will generate sufficient taxable income in the future to be able to utilize our deferred tax assets. In determining whether a valuation allowance is warranted, we evaluate factors such as prior earnings history, expected future earnings, carryback and carryforward periods and tax strategies. We consider all positive and negative evidence to estimate if sufficient future taxable income will be generated to realize our deferred tax assets. We consider cumulative losses in recent years to be a significant type of negative evidence. Based on our history of losses prior to the three months ending September 30, 2023, at this time we have not included future projected taxable income as a source of income to recognize our deferred tax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2023 Compared to Three Months Ended September 30, 2022</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three months ended September 30, 2023, our third fiscal quarter, compared to the three months ended September 30,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gridSpan w:val="8"/>
          </w:tcPr>
          <w:p>
            <w:pPr>
              <w:jc w:val="right"/>
              <w:ind w:right="620"/>
              <w:spacing w:after="0"/>
              <w:rPr>
                <w:sz w:val="20"/>
                <w:szCs w:val="20"/>
                <w:color w:val="auto"/>
              </w:rPr>
            </w:pPr>
            <w:r>
              <w:rPr>
                <w:rFonts w:ascii="Arial" w:cs="Arial" w:eastAsia="Arial" w:hAnsi="Arial"/>
                <w:sz w:val="18"/>
                <w:szCs w:val="18"/>
                <w:b w:val="1"/>
                <w:bCs w:val="1"/>
                <w:color w:val="auto"/>
                <w:w w:val="99"/>
              </w:rPr>
              <w:t>Three Months Ended September 30,</w:t>
            </w:r>
          </w:p>
        </w:tc>
      </w:tr>
      <w:tr>
        <w:trPr>
          <w:trHeight w:val="198"/>
        </w:trPr>
        <w:tc>
          <w:tcPr>
            <w:tcW w:w="7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(Decrease)</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67,274,598</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41,090,137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26,184,461</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42,622,013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31,433,496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11,188,517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24,652,585</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9,656,641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14,995,944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595,903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1,041,947</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(446,044)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466,898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4,859,450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(4,392,552)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178,838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178,838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14,725,787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12,893,139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1,832,648</w:t>
            </w: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8,685,159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(9,316,733)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18,001,892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(6,397,553)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(5,580,366)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(817,187)</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277,449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279,854</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2,565,055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(14,899,504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17,464,559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12,749,756</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(6,143,652)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18,893,408</w:t>
            </w:r>
          </w:p>
        </w:tc>
      </w:tr>
      <w:tr>
        <w:trPr>
          <w:trHeight w:val="425"/>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Revenues</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We recorded total revenues of $67.3 million during the three months ended September 30, 2023, as compared to $41.1 million during the three months ended September 30, 2022, an increase of $26.2 million, or approximately 64%. The increase is primarily related to increased sales of BIVIGAM and ASCENIV in 2023 of $30.9 million, as we continue to experience increased physician, payer and patient acceptance and utilization of ASCENIV and expand our customer base for BIVIGAM.</w:t>
      </w:r>
    </w:p>
    <w:p>
      <w:pPr>
        <w:spacing w:after="0" w:line="187"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The foregoing increase in IVIG revenues in the third quarter of 2023 was partially offset by a $3.1 million decrease in third-party plasma sales by our Plasma Collection Centers business segment. During the first quarter of 2023, we fulfilled our entire commitment to supply normal source plasma (“NSP”) to our primary third-party customer for fiscal 2023. As a result, we do not expect to generate significant revenues from this business segment during the remainder of 2023, as we anticipate using all of the plasma collected during that period to support our IVIG production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 and Gross Profit</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Cost of product revenue was $42.6 million for the three months ended September 30, 2023, as compared to $31.4 million for the three months ended September 30, 2022. This increase is primarily attributable to volume-driven increases in product revenue costs related to the increased sales of BIVIGAM and ASCENIV of $14.9 million, partially offset by $2.7 million of lower product revenue costs related to plasma sales and a reduction in unabsorbed manufacturing costs in 2023 of $0.7 million.</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the three months ended September 30, 2023, we had gross profit of $24.7 million, as compared to $9.7 million for the same period of a year ago, which represents an increase of $15.0 million. As a result, we achieved a gross margin of 36.6% in the third quarter of 2023 as compared to 23.5% in the third quarter of 2022. The improvement in gross margin is mainly driven by the substantial increase in our IVIG product revenues, higher gross margins on BIVIGAM sales in the third quarter of 2023 as compared to the third quarter of 2022 and a more favorable overall product mix toward increased sales of our higher margin ASCENIV product in 2023 as compared to 2022.</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Research and development (“R&amp;D”) expenses totaled $0.6 million for the third quarter of 2023, as compared to $1.0 million for the third quarter of 2022. The decrease is primarily due to lower expenditures related to the BIVIGAM post-marketing commitments, which were completed in June of 2023 (see Note 10 to the consolidated financial statements) as required by the FDA.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Plasma Center Operating Expenses decreased from $4.9 million for the three months ended September 30, 2022 to $0.5 million for the three months ended September 30, 2023. As a result of our plasma center expansion initiatives which have resulted in 10 plasma centers currently collecting plasma, we were able to double the amount of plasma collected in the third quarter of 2023 as compared to the third quarter of 2022. In addition, as a result of changes in the market price of NSP and the impact on the net realizable value of our plasma inventory, coupled with a reduction in the cost per liter to collect plasma, the amount of plasma center costs we capitalized into inventory increased by $11.6 million for the three months ended September 30, 2023 as compared to the same period of a year ago. This amount was partially offset by increases in donor fees of $3.3 million, compensation, benefits and temporary labor of $0.9 million, softgoods and supplies of $1.0 million, donor testing expenses of $1.3 million, depreciation of $0.2 million and software maintenance expense of $0.4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Amortization expense pertains to the amortization of intangible assets acquired in a 2017 acquisition transaction and was $0.2 million for the three months ended September 30, 2023 and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Selling, general and administrative (“SG&amp;A”) expenses were $14.7 million for the three months ended September 30, 2023, an increase of $1.8 million from the three months ended September 30, 2022. The increase reflects increases in employee-related costs, including salaries, benefits, stock-based compensation, travel, relocation and recruiting, in the amount of $0.5 million, state and local taxes of $0.5 million, insurance expense of $0.4 million, data services and market intelligence fees in support of the continued ASCENIV and BIVIGAM commercialization efforts in the amount of $0.3 million and marketing and advertising expenses of $0.2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Income/Loss from Operations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operating income was $8.7 million for the third quarter of 2023, as compared to an operating loss of $9.3 million for the third quarter of 2022. The $18.0 million increase in operating income was mainly due to the improved gross profit of $15.0 million, as well as the reduction in total operating expenses of $3.0 million, which was driven by the reduction in plasma center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Interest expense for the three months ended September 30, 2023 was $6.4 million, as compared to $5.6 million for the three months ended September 30, 2022. The increase is mainly due to rising interest rates on the indebtedness underlying our senior credit facility (see “Liquidity and Capital Resources”) and, to a lesser extent, increases in debt principal resulting from “in kind” interest paid in the form of additional indebtedness.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Other income, net, for the three months ended September 30, 2023 was $0.3 million, as compared to other expense, net, of $2,000 for the three months ended September 30, 2022. The increase is mainly due to an increase in interest income of approximately $0.4 million in 2023.</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Income/Loss</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net income was $2.6 million for the third quarter of 2023, as compared to a net loss of $14.9 million for the third quarter of 2022. This $17.5 million improvement in our results of operations was primarily due to the increase in operating income of $18.0 million discussed above. Although we recorded net income for the three months ended September 30, 2023, we did not record any income tax provision or benefit for this period, as we believe our net operating loss carryforwards are sufficient to offset any associated income tax liability. In addition, we have retained the full valuation allowance against our deferred tax assets as of September 30, 2023, as we do not believe our net income for this reporting period constitutes adequate positive evidence that we will generate sufficient future taxable income to realize our deferred tax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2023 Compared to Nine Months Ended September 30, 2022</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nine months ended September 30, 2023, compared to the nine months ended September 30,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gridSpan w:val="8"/>
          </w:tcPr>
          <w:p>
            <w:pPr>
              <w:jc w:val="right"/>
              <w:ind w:right="66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184,311,323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104,098,237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80,213,086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126,455,745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83,010,156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43,445,589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57,855,578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21,088,081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36,767,497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2,854,514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2,539,444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315,070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3,580,785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12,755,525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(9,174,740)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536,514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536,514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43,485,001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38,563,136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4,921,865</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7,398,764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(33,306,538)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40,705,302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(18,812,144)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(13,542,419)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(5,269,725)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(6,669,941)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6,669,941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818,913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(153,369)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972,282</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(10,594,467)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(53,672,267)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43,077,800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Adjusted EBITDA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21,652,544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(24,137,486)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45,790,030</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recorded total revenues of $184.3 million for the nine months ended September 30, 2023, as compared to $104.1 million for the nine months ended September 30, 2022, an increase of $80.2 million, or approximately 77%. The increase is primarily related to increased sales of our immunoglobulin products, mainly ASCENIV and BIVIGAM, generated by our Boca Facility manufacturing operations in 2023 of $80.9 million, as we continue to experience increased physician, payer and patient acceptance and utilization of ASCENIV and expand our customer base for BIVIGAM, partially offset by a decrease in sales of plasma in our Plasma Collection Centers business segment of $0.6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 and Gross Profit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product revenue was $126.5 million for first nine months of 2023, as compared to $83.0 million for the first nine months of 2022.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increase is primarily attributable to volume-driven increases in product revenue costs related to the increased sales of our immunoglobulin products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$45.5 million. Cost of product revenue was also impacted by the inventory losses of $2.1 million related to the June 2023 IT disruption, partially offset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other manufacturing expenses of approximately $2.7 million in 2023, mainly due to a shorter planned shutdown of the Boca Facility in 2023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compared to 2022, and lower plasma product revenue costs of $1.5 million.</w:t>
      </w:r>
    </w:p>
    <w:p>
      <w:pPr>
        <w:spacing w:after="0" w:line="21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For the nine months ended September 30, 2023, we had gross profit of $57.9 million, as compared to $21.1 million for the same period of a year ago. This gross profit increase of $36.8 million was primarily due to the revenue increases and the reduction in other manufacturing costs discussed above as we elected to extend our otherwise-routine plant shutdown in the first quarter of 2022 in order to complete certain projects. As a result, we achieved a gross margin of 31.4% in the nine months of 2023 as compared to 20.3% in the nine months of 2022.</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R&amp;D expenses totaled $2.9 million for the first nine months of 2023, as compared to $2.5 million for the first nine months of 2022. The increase is primarily due to higher expenditures related to the BIVIGAM and ASCENIV post-marketing commitments we have with the FDA.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Plasma Center Operating Expenses decreased from $12.8 million in the first nine months of 2022 to $3.6 million in the first nine months of 2023. As a result of our plasma center expansion initiatives, which resulted in our more than doubling the number of liters of plasma collected, with a corresponding reduction in the cost per liter, for the first nine months of 2023 as compared to the first nine months of 2022, coupled with the changes in the market price of NSP and its impact on the net realizable value of our plasma inventory, the amount of plasma center costs we capitalized into inventory increased by approximately $33.3 million in 2023. This amount was largely offset by increases in donor fees of $10.0 million, compensation, benefits and temporary labor of $3.7 million, softgoods and supplies of $4.0 million, donor testing expenses of $3.5 million, depreciation of $0.7 million, software maintenance expense of $0.8 million, utilities of $0.2 million, travel expenses of $0.1 million, transportation costs of $0.1 million, advertising expense of $0.1 million, repairs and maintenance expense of $0.1 million and rent of $0.2 million. In addition, our plasma center collections and operating costs were unfavorably impacted by approximately $0.7 million due to the temporary closing of our plasma collection centers while their IT systems were restored.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Amortization expense pertains to the amortization of intangible assets acquired in a 2017 acquisition transaction and was $0.5 million for the nine months ended September 30, 2023 and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SG&amp;A expenses were $43.5 million for the nine months ended September 30, 2023, an increase of $4.9 million from the nine months ended September 30, 2022. The increase reflects higher expenses for data services and market intelligence fees in support of the continued ASCENIV and BIVIGAM commercialization efforts in the amount of $1.7 million, employee-related costs including salaries, benefits, stock-based compensation, travel, relocation and recruiting of $1.2 million, marketing and advertising expenses of $0.4 million, insurance expense of $0.6 million, state and local taxes of $0.6 an software maintenance expense of $0.4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Income/Loss from Operations</w:t>
      </w:r>
    </w:p>
    <w:p>
      <w:pPr>
        <w:spacing w:after="0" w:line="22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For the first nine months of 2023, we had operating income of $7.4 million, as compared to an operating loss was $33.3 million for the first nine months of 2022. The $40.7 million increase in operating income was mainly due to the improved gross profit of $36.8 million and the reduction in plasma center operating expenses of $9.2 million, partially offset by the increases in R&amp;D and SG&amp;A.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Interest expense for the nine months ended September 30, 2023 was $18.8 million, as compared to $13.5 million for the nine months ended September 30, 2022. The increase is mainly due to approximately $57.7 million of additional debt principal resulting from the refinancing of our senior credit facility on March 23, 2022 (see Note 7 to the consolidated financial statements and “Liquidity and Capital Resources”), including interest payments made “in kind” in the form of additional indebtedness of approximately $6.0 million, as well as an increase in the stated interest rate on our senior debt from 10.75% in 2022 to as high as 14.4% at certain points in fiscal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Other income, net, for the nine months ended September 30, 2023 was $0.8 million, as compared to other expense, net, of $0.2 million for the nine months ended September 30, 2022. The increase is mainly due to an increase in interest and other income of approximately $1.0 million in 2023 due to higher interest earned on our cash balances in 2023.</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net loss was $10.6 million for the first nine months of 2023, as compared to $53.7 million for the first nine months of 2022. The $43.1 million decrease in net loss was mainly due to the improvement in operating income/loss of $40.7 million mainly attributable to the increased revenues and gross profit, the loss on extinguishment of debt of $6.7 million we recorded in the first quarter of 2022 in connection with the refinancing of our senior credit facility and $1.0 million of higher interest income, partially offset by the $5.3 million increase in 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Before Interest, Taxes, Depreciation and Amortization (“EBITDA”), Adjusted EBITDA</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EBITDA and Adjusted EBITDA are important non-GAAP financial measures used by our management and Board of Directors to assess our operating performance. We use EBITDA and Adjusted EBITDA as key performance measures because we believe that they facilitate operating performance comparisons from period to period that exclude potential differences driven by the impact of variations of non-cash items such as depreciation and amortization, as well as, in the case of Adjusted EBITDA, stock-based compensation or certain one-time and non-recurring items. In addition, we believe that EBITDA, Adjusted EBITDA and similar measures are widely used by investors, securities analysts, ratings agencies and other parties in evaluating companies in our industry as a measure of financial performance and debt-service capabilities. See below for a reconciliation of our EBITDA and Adjusted EBITDA to net income/loss, the most directly comparable financial measure calculated and presented in accordance with U.S. GAAP.</w:t>
      </w:r>
    </w:p>
    <w:p>
      <w:pPr>
        <w:spacing w:after="0" w:line="166"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Because EBITDA and Adjusted EBITDA are measures not deemed to be in accordance with U.S. GAAP and are susceptible to varying calculations, our EBITDA and Adjusted EBITDA may not be comparable to similarly titled measures of other companies, including companies in our industry, because other companies may calculate EBITDA and Adjusted EBITDA in a different manner than we calculate these measurements. Although the Company uses Adjusted EBITDA as one of several financial measures to assess its operating performance, its use is limited as it excludes certain significant operating expenses. EBITDA and Adjusted EBITDA are not intended to represent cash flows for the periods presented, nor have they been presented as an alternative to operating income/loss, net income/loss or as an indicator of operating performance and should not be considered in isolation or as a substitute for measures of performance prepared in accordance with U.S. GAAP. The following table presents the reconciliation of net loss to EBITDA and Adjusted EBITDA for the three and nine months ended September 30, 2023 and 2022: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2980" w:type="dxa"/>
            <w:vAlign w:val="bottom"/>
            <w:gridSpan w:val="6"/>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4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2,565,055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(14,899,504)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(10,594,467)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(53,672,267)</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1,913,669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1,683,154</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5,686,536</w:t>
            </w:r>
          </w:p>
        </w:tc>
        <w:tc>
          <w:tcPr>
            <w:tcW w:w="2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4,639,978</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178,838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178,838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536,514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536,514</w:t>
            </w: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6,397,553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5,580,366</w:t>
            </w: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18,812,144</w:t>
            </w:r>
          </w:p>
        </w:tc>
        <w:tc>
          <w:tcPr>
            <w:tcW w:w="2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13,542,419</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11,055,115</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(7,457,146)</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14,440,727</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(34,953,356)</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1,694,641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1,313,494</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4,441,845</w:t>
            </w:r>
          </w:p>
        </w:tc>
        <w:tc>
          <w:tcPr>
            <w:tcW w:w="2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4,145,929</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IT systems disruption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2,769,972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6,669,941</w:t>
            </w: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12,749,756</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(6,143,652)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21,652,544</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(24,137,486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Adjusted EBITDA increased by $45.8 million for the nine months ended September 30, 2023 as compared to the same period of a year ago. The improvement is driven primarily by the lower net loss attributable to increased sales and gross profit in 2023, as well as continued operational oversight and cost containment efforts at both of our business segments.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September 30, 2023, we had working capital of $231.9 million, primarily consisting of $163.1 million of inventory, cash and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$74.2 million and $31.3 million of accounts receivable, partially offset by current liabilities of $41.8 million, as compared to working capital at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of $231.1 million, primarily consisting of $163.3 million of inventory, cash and cash equivalents of $86.5 million and accounts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receivable of $15.5 million, partially offset by current liabilities of $39.3 million. We have incurred an accumulated deficit of $488.6 million since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inception and although we had positive cash flow from operations of $12.0 million for the three months ended September 30, 2023, we had negative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flows from operations of $8.8 million and $52.1 million for the nine months ended September 30, 2023 and 2022, respectively, and $59.5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$112.4 million for the years ended December 31, 2022 and 2021, respectively. We have funded our operations over the past few years primarily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 of our equity and debt securities. Our material cash requirements are primarily comprised of:</w:t>
      </w:r>
    </w:p>
    <w:p>
      <w:pPr>
        <w:spacing w:after="0" w:line="211" w:lineRule="exact"/>
        <w:rPr>
          <w:sz w:val="20"/>
          <w:szCs w:val="20"/>
          <w:color w:val="auto"/>
        </w:rPr>
      </w:pPr>
    </w:p>
    <w:p>
      <w:pPr>
        <w:ind w:left="1300" w:right="240" w:hanging="320"/>
        <w:spacing w:after="0" w:line="258"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collection and procurement of raw material plasma and other raw materials necessary to maintain and scale up our manufacturing operations;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 compensation and benefits;</w:t>
      </w:r>
    </w:p>
    <w:p>
      <w:pPr>
        <w:spacing w:after="0" w:line="9" w:lineRule="exact"/>
        <w:rPr>
          <w:rFonts w:ascii="Arial" w:cs="Arial" w:eastAsia="Arial" w:hAnsi="Arial"/>
          <w:sz w:val="18"/>
          <w:szCs w:val="18"/>
          <w:color w:val="auto"/>
        </w:rPr>
      </w:pPr>
    </w:p>
    <w:p>
      <w:pPr>
        <w:ind w:left="1300" w:right="120" w:hanging="320"/>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expenditures to complete the buildout for and maintain our plasma collection facilities and for equipment upgrades and capacity expansion at the Boca Facility;</w:t>
      </w: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Plasma donor fees and plasma center supplies;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on our debt;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Marketing programs, medical education and continued commercialization efforts;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Boca Facility maintenance, upgrades, repairs and supplies;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Conducting required post-marketing clinical trials for our FDA-approved products; and</w:t>
      </w:r>
    </w:p>
    <w:p>
      <w:pPr>
        <w:spacing w:after="0" w:line="9" w:lineRule="exact"/>
        <w:rPr>
          <w:rFonts w:ascii="Arial" w:cs="Arial" w:eastAsia="Arial" w:hAnsi="Arial"/>
          <w:sz w:val="18"/>
          <w:szCs w:val="18"/>
          <w:color w:val="auto"/>
        </w:rPr>
      </w:pPr>
    </w:p>
    <w:p>
      <w:pPr>
        <w:ind w:left="1300" w:right="740" w:hanging="320"/>
        <w:spacing w:after="0" w:line="26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Continuous improvements and updates to our IT infrastructure, laboratory equipment and assays, and facilities and engineering equipment.</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our end-to-end production cycle time from procurement of raw materials to commercial release of finished product can take between seven and 12 months or potentially longer, requiring substantial inventories of raw material plasma and other manufacturing and laboratory testing materials and single use disposables.</w:t>
      </w:r>
    </w:p>
    <w:p>
      <w:pPr>
        <w:spacing w:after="0" w:line="18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Although we achieved net income of $2.6 million for the three months ended September 30, 2023, at present we cannot be certain that we will be able to continue to generate a sufficient amount of product revenue to maintain profitability on an ongoing basis. We currently anticipate, based upon our projected revenue and expenditures, that our current cash, cash equivalents and accounts receivable will be sufficient to fund our operations, as currently conducted, through the end of fiscal 2024, during which time we believe that we will continue to generate positive cash flows from operations. Our current outlook with respect to cash flows and profitability may change based upon several factors, including the success of our commercial efforts with respect to the sale of our products and the continued acceptability of our immune globulin products by physicians, patients or payers, and whether or not the assumptions underlying our projected revenues and expenses are correct. If we are unable to maintain positive cash flow throughout fiscal 2024, we may need to raise additional capital and if such capital is not available due to widespread liquidity constraints or significant market instability that could result from international or global conflicts, economic uncertainty, COVID-19 or other pandemics, inflationary pressures or other factors beyond our control, we may have to delay, curtail or eliminate some of our commercialization efforts or product development activities. If we are unable to generate sufficient revenue to maintain positive cash flow throughout fiscal 2024 and need to raise additional capital, we may decide to do so through public or private equity offerings or debt financings, or we may enter into a corporate collaboration or licensing arrangement. The sale of additional equity or debt securities, if convertible, could result in dilution to our stockholders and, in such event, the value and potential future market price of our common stock may decline.</w:t>
      </w:r>
    </w:p>
    <w:p>
      <w:pPr>
        <w:spacing w:after="0" w:line="17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ADMA continues to evaluate a variety of strategic alternatives, and the exploration of value-creating opportunities remains a top corporate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priority.</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March 23, 2022, (the “Hayfin Closing Date”) we and all of our subsidiaries entered into a Credit and Guaranty Agreement (the “Hayfin Credit Agreement”) with Hayfin Services LLP (“Hayfin”). The Hayfin Credit Agreement provides for a senior secured term loan facility in a principal amount of up to $175.0 million (the “Hayfin Credit Facility”), composed of (i) a term loan made on the Hayfin Closing Date in the principal amount of $150.0 million (the “Hayfin Closing Date Loan”), and (ii) a delayed draw term loan in the principal amount of $25.0 million (the “Hayfin Delayed Draw Loan” and, together with the Hayfin Closing Date Loan, the “Hayfin Loans”). Pursuant to an amendment to the Hayfin Credit Agreement dated May 1, 2023 (the “Hayfin Second Amendment”), the obligation of the lenders to make the Hayfin Delayed Draw Loan expires on December 31, 2023, and was subject to the satisfaction of certain conditions, including, but not limited to, our meeting certain 12-month revenue targets as set forth in the Hayfin Credit Agreement which have been met. The Hayfin Credit Facility has a maturity date of March 23, 2027 (the “Hayfin Maturity Date”), subject to acceleration pursuant to the Hayfin Credit Agreement, including upon an Event of Default (as defined in the Hayfin Credit Agreement).</w:t>
      </w:r>
    </w:p>
    <w:p>
      <w:pPr>
        <w:spacing w:after="0" w:line="18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After giving effect to the Hayfin Second Amendment, borrowings under the Hayfin Credit Agreement currently bear interest at the adjusted Term Secured Overnight Financing Rate (“SOFR”) for either a one-month or three-month tenor, as elected by us, and subject to a floor of 1.25%, plus an applicable margin of 8.5% (the “Applicable Margin”); provided, however, that upon, and during the continuance of, an Event of Default, the Applicable Margin shall increase by an additional 3% per annum. We will also continue to pay “in kind” a portion of the interest on the Hayfin Loans for each monthly or quarterly interest period in an amount equal to 2.5% per annum. Such interest paid “in kind” will reduce our quarterly cash interest obligation by approximately $1.0 million and will be added to the principal amount of the outstanding debt under the Hayfin Credit Facility. As a result, our outstanding debt principal on the Hayfin Loans will increase each month as long as we elect to continue to pay a portion of our interest obligation “in kind.” On the Hayfin Closing Date and as of September 30, 2023, the stated interest rate on the Hayfin Loans was 10.75% and 13.9%, respectively. On the last day of each calendar month or quarter during the term of the Hayfin Credit Facility, we are required to pay accrued interest to Hayfin of approximately $1.5 million per month or approximately $4.4 million per quarter based on current interest rates, after giving effect to the “in kind” interest of 2.5% per annum, but without giving effect to the Hayfin Delayed Draw Loan, which we have yet to draw upon. As of September 30, 2023, the outstanding principal balance on the Hayfin Loans is $157.7 million.</w:t>
      </w:r>
    </w:p>
    <w:p>
      <w:pPr>
        <w:spacing w:after="0" w:line="17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the Hayfin Maturity Date, we must pay Hayfin the entire outstanding principal amount underlying the Hayfin Loans and any accrued and unpaid interest thereon, as well as an exit fee of 1.0% of the outstanding principal amount being paid. Prior to the Hayfin Maturity Date, there are no scheduled principal payments on the Hayfin Loans. We may prepay outstanding principal on the Hayfin Loans at any time and from time to time upon five business days’ prior written notice, subject to the payment to Hayfin of, (A) any accrued but unpaid interest on the prepaid principal amount plus (B) a prepayment fee in the amount equal to (i) 7.0% of the prepaid principal amount, if prepaid on or prior to the first anniversary of the Hayfin Second Amendment, (ii) 3.0% of the prepaid principal amount, if prepaid after the first anniversary of the Hayfin Second Amendment and on or prior to the second anniversary of the Hayfin Second Amendment, or (iii) 1.0% of the prepaid principal amount, if prepaid after the second anniversary of the Hayfin Second Amendment and on or prior to the third anniversary of the Hayfin Second Amendment. The Hayfin Second Amendment also provides for a 50% reduction to the foregoing early prepayment fees if the Hayfin Loans are prepaid under certain circumstances as defined in the Hayfin Second Amendment. In addition, for any prepayments of principal, we are required to pay the 1.0% exit fee for the amount of principal being paid.</w:t>
      </w:r>
    </w:p>
    <w:p>
      <w:pPr>
        <w:spacing w:after="0" w:line="16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All of our obligations under the Hayfin Credit Agreement are secured by a first-priority lien and security interest in substantially all of our tangible and intangible assets, including intellectual property and all of the equity interests in our subsidiaries. The Hayfin Credit Agreement contains certain representations and warranties, affirmative covenants, negative covenants and conditions that are customarily required for similar financings. The negative covenants restrict or limit our ability and the ability of our subsidiaries to, among other things and subject to certain exceptions contained in the Hayfin Credit Agreement, incur new indebtedness; create liens on assets; engage in certain fundamental corporate changes, such as mergers or acquisitions, or changes to our or our subsidiaries’ business activities; make certain Investments or Restricted Payments (each as defined in the Hayfin Credit Agreement); change our fiscal year; pay dividends; repay certain other indebtedness; engage in certain affiliate transactions; or enter into, amend or terminate any other agreements that have the impact of restricting our ability to make loan repayments under the Hayfin Credit Agreement. In addition, we are required (i) at all times prior to the Maturity Date to maintain a minimum cash balance of $6.0 million; and (ii) as of the last day of each fiscal quarter, report IVIG product and related revenues for the trailing 12-month period that exceed the amounts set forth in the Hayfin Credit Agreement, which range from $75.0 million for the fiscal quarter ending June 30, 2022 to $250.0 million for the fiscal quarter ending December 31, 2026 and each fiscal quarter thereafter. As of September 30, 2023, we were in compliance with all of the financial covenants contained in the Hayfin Credit Agreement.</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20" w:firstLine="648"/>
        <w:spacing w:after="0" w:line="220" w:lineRule="exact"/>
        <w:rPr>
          <w:sz w:val="20"/>
          <w:szCs w:val="20"/>
          <w:color w:val="auto"/>
        </w:rPr>
      </w:pPr>
      <w:r>
        <w:rPr>
          <w:rFonts w:ascii="Arial" w:cs="Arial" w:eastAsia="Arial" w:hAnsi="Arial"/>
          <w:sz w:val="17"/>
          <w:szCs w:val="17"/>
          <w:color w:val="auto"/>
        </w:rPr>
        <w:t>On December 9, 2022, we completed an underwritten public offering whereby we issued 24,125,873 shares of our common stock. Net proceeds after underwriting discounts and expenses associated with the offering were approximately $64.6 million and are being used to accelerate commercialization and production activities, complete plasma center buildouts and obtain FDA approvals, to conclude post</w:t>
      </w:r>
      <w:r>
        <w:rPr>
          <w:rFonts w:ascii="MS PGothic" w:cs="MS PGothic" w:eastAsia="MS PGothic" w:hAnsi="MS PGothic"/>
          <w:sz w:val="17"/>
          <w:szCs w:val="17"/>
          <w:color w:val="auto"/>
        </w:rPr>
        <w:t>‑</w:t>
      </w:r>
      <w:r>
        <w:rPr>
          <w:rFonts w:ascii="Arial" w:cs="Arial" w:eastAsia="Arial" w:hAnsi="Arial"/>
          <w:sz w:val="17"/>
          <w:szCs w:val="17"/>
          <w:color w:val="auto"/>
        </w:rPr>
        <w:t>FDA marketing approval research and development projects, and for working capital, capital expenditures and general corporate purposes.</w:t>
      </w:r>
    </w:p>
    <w:p>
      <w:pPr>
        <w:spacing w:after="0" w:line="20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September 3, 2021, we entered into a distribution agreement with Raymond James &amp; Associates, Inc., as agent (“Agent”), pursuant to which we may offer and sell, from time to time, at our option, through or to the Agent, up to an aggregate of $50 million of shares of our common stock (the “Distribution Agreement”). We currently intend to use any net proceeds from the sale of our common stock under the Distribution Agreement for general corporate purposes, including procurement of source plasma and other raw materials, supply chain initiatives and production expenditures, working capital, capital expenditures, expansion and resources for commercialization activities, and other potential research and development and business opportunities. We currently have approximately $42.8 million of shares available to sell under the Distribution Agreement.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60" w:type="dxa"/>
            <w:vAlign w:val="bottom"/>
          </w:tcPr>
          <w:p>
            <w:pPr>
              <w:ind w:left="6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tc>
        <w:tc>
          <w:tcPr>
            <w:tcW w:w="2780" w:type="dxa"/>
            <w:vAlign w:val="bottom"/>
            <w:gridSpan w:val="6"/>
            <w:vMerge w:val="restart"/>
          </w:tcPr>
          <w:p>
            <w:pPr>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19"/>
                <w:szCs w:val="19"/>
                <w:color w:val="auto"/>
              </w:rPr>
            </w:pPr>
          </w:p>
        </w:tc>
        <w:tc>
          <w:tcPr>
            <w:tcW w:w="278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(8,795,952)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(52,128,942)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(3,573,786)</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(10,162,650)</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46,108,494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(12,364,777)</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(16,183,098)</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86,521,542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51,089,118</w:t>
            </w: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74,156,765</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34,906,020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Cash used in operations for the nine months ended September 30, 2023 was $8.8 million, a decrease of $43.3 million from the same period of a year ago, mainly due to a lower net loss after non-cash items and favorable changes in inventories, accounts payable and accrued expenses in 2023, partially offset by unfavorable changes in accounts receivable. The following table illustrates the primary components of and changes to our cash flows from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(10,594,467)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(53,672,267)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Non-cash expenses, gains and losses</w:t>
            </w: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15,523,099</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19,825,704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(15,813,632)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7,674,472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Changes in inventories</w:t>
            </w: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163,942</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(38,189,543)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Changes in prepaid expenses and other current assets</w:t>
            </w: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(12,309)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(1,033,238)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Changes in accounts payable and accrued expenses</w:t>
            </w: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3,719,609</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13,435,589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(1,782,194)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(169,659)</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used in operations</w:t>
            </w:r>
          </w:p>
        </w:tc>
        <w:tc>
          <w:tcPr>
            <w:tcW w:w="3980" w:type="dxa"/>
            <w:vAlign w:val="bottom"/>
            <w:gridSpan w:val="2"/>
          </w:tcPr>
          <w:p>
            <w:pPr>
              <w:ind w:left="37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(8,795,952)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(52,128,942)</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3760" w:type="dxa"/>
            <w:vAlign w:val="bottom"/>
            <w:vMerge w:val="restart"/>
          </w:tcPr>
          <w:p>
            <w:pPr>
              <w:jc w:val="right"/>
              <w:ind w:right="2679"/>
              <w:spacing w:after="0"/>
              <w:rPr>
                <w:sz w:val="20"/>
                <w:szCs w:val="20"/>
                <w:color w:val="auto"/>
              </w:rPr>
            </w:pPr>
            <w:r>
              <w:rPr>
                <w:rFonts w:ascii="Arial" w:cs="Arial" w:eastAsia="Arial" w:hAnsi="Arial"/>
                <w:sz w:val="14"/>
                <w:szCs w:val="14"/>
                <w:color w:val="auto"/>
              </w:rPr>
              <w:t>35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470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70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firstLine="648"/>
        <w:spacing w:after="0" w:line="229" w:lineRule="auto"/>
        <w:rPr>
          <w:sz w:val="20"/>
          <w:szCs w:val="20"/>
          <w:color w:val="auto"/>
        </w:rPr>
      </w:pPr>
      <w:r>
        <w:rPr>
          <w:rFonts w:ascii="Arial" w:cs="Arial" w:eastAsia="Arial" w:hAnsi="Arial"/>
          <w:sz w:val="18"/>
          <w:szCs w:val="18"/>
          <w:color w:val="auto"/>
        </w:rPr>
        <w:t>Net cash used in investing activities for the nine months ended September 30, 2023 and 2022 was $3.6 million and $10.2 million, respectively, and is comprised of capital expenditures for the construction and buildout of new plasma collection centers and related equipment and capital expenditures at the Boca Facility. The decrease in capital expenditures in 2023 is due to the completion of the construction and buildout of our 10 plasma collection facilities, with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facility opening in the first quarter of 2023. While we currently have no firm commitments for capital expenditures, we expect our total capital expenditures will be between $2.0 million and $4.0 million for the remainder of fiscal 2023, mainly for additional upgrades to the Boca Facility manufacturing operations and related operational systems.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Cash provided by financing activities was $5,000 for the nine months ended September 30, 2023, as the net proceeds we received from the exercise of stock options was offset by the shares that were withheld and the related taxes we paid on RSUs that vested during the period. Cash provided by financing activities of $46.1 million for the nine months ended September 30, 2022 mainly consisted of proceeds received from the Hayfin Credit Facility, net of payments to retire our previously existing credit facility with Perceptive (see Note 7 to the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Inflation impacted a number of facets of our business during the nine months ended September 30, 2023 and 2022 at both of our business segments. We experienced price increases for, among other items, certain raw materials, consumable supplies, services for repairs and maintenance of our facilities, utilities, shipping and freight charges, fuel surcharges and labor costs, among other expenses. Based upon publicly available information and reports form the U.S. Government, we expect this trend to continue through 2023 and potentially longer, which could potentially have a significant impact on our future results of operations. In addition, some of our third-party plasma purchase agreements provide for annual price increases that are tied to various consumer price indices, which have resulted in higher than historical percentage price increases and has resulted in and is expected to continue to result in higher source plasma and other raw material and supplies costs for the remainder of 2023 and into future periods. We are unable to predict when these external drivers of inflation will subside.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We are exposed to market risk as the result of changes in interest rates. Our senior credit facility with Hayfin requires monthly or quarterly payments of interest based on the adjusted Term SOFR plus the Applicable Margin. We currently do not utilize any derivative financial instruments, such as interest rate swaps or caps, to mitigate this risk. As of September 30, 2023, we had $157.7 million outstanding under our senior credit facility that is subject to a variable interest rate. As a result, the effect of a hypothetical, instantaneous and unfavorable change of 100 basis points in the interest rate would have an approximate $1.6 million annualized negative impact on our earnings and cash flows.</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Under the supervision of and with the participation of our management, including our principal executive officer and principal financial officer, we conducted an evaluation of our disclosure controls and procedures as of September 30, 2023. Based on this evaluation, our principal executive officer and our principal financial officer concluded that our disclosure controls and procedures as of September 30, 2023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2023 that have materially affected, or are reasonably likely to materially affect, our internal control over financial reporting.</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1" w:name="page42"/>
    <w:bookmarkEnd w:id="4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may become subject to certain legal proceedings and claims arising in connection with the normal course of our business. In the opinion of management, there are currently no material pending legal proceedings that would have a material adverse effect on our consolidated financial position, results of operations or cash flows.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the 2022 10-K and our other filings with the SEC, before making an investment decision regarding our common stock.</w:t>
      </w:r>
    </w:p>
    <w:p>
      <w:pPr>
        <w:spacing w:after="0" w:line="187" w:lineRule="exact"/>
        <w:rPr>
          <w:sz w:val="20"/>
          <w:szCs w:val="20"/>
          <w:color w:val="auto"/>
        </w:rPr>
      </w:pPr>
    </w:p>
    <w:p>
      <w:pPr>
        <w:ind w:left="660" w:right="3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 history of losses and we may, in the future, need to raise additional capital to operate our business, which may not be available on favorable terms, if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Although we achieved profitability for the third quarter of 2023 for the first time, we may not be able to maintain profitability in the future.</w:t>
      </w:r>
    </w:p>
    <w:p>
      <w:pPr>
        <w:spacing w:after="0" w:line="236" w:lineRule="exact"/>
        <w:rPr>
          <w:rFonts w:ascii="Arial" w:cs="Arial" w:eastAsia="Arial" w:hAnsi="Arial"/>
          <w:sz w:val="17"/>
          <w:szCs w:val="17"/>
          <w:color w:val="auto"/>
        </w:rPr>
      </w:pPr>
    </w:p>
    <w:p>
      <w:pPr>
        <w:jc w:val="both"/>
        <w:ind w:left="660" w:right="1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COVID-19 pandemic or other pandemics and efforts to reduce their spread has significantly affected worldwide economic conditions and could have a material adverse impact on our business, liquidity, financial condition and results of operations, as well as a change to the overall market size and potential for our products.</w:t>
      </w:r>
    </w:p>
    <w:p>
      <w:pPr>
        <w:spacing w:after="0" w:line="183"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65" w:lineRule="exact"/>
        <w:rPr>
          <w:rFonts w:ascii="Arial" w:cs="Arial" w:eastAsia="Arial" w:hAnsi="Arial"/>
          <w:sz w:val="17"/>
          <w:szCs w:val="17"/>
          <w:color w:val="auto"/>
        </w:rPr>
      </w:pPr>
    </w:p>
    <w:p>
      <w:pPr>
        <w:ind w:left="660" w:right="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6" w:lineRule="exact"/>
        <w:rPr>
          <w:rFonts w:ascii="Arial" w:cs="Arial" w:eastAsia="Arial" w:hAnsi="Arial"/>
          <w:sz w:val="17"/>
          <w:szCs w:val="17"/>
          <w:color w:val="auto"/>
        </w:rPr>
      </w:pPr>
    </w:p>
    <w:p>
      <w:pPr>
        <w:ind w:left="660" w:right="4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Both of our business segments and our facilities are subject to periodic inspections by the FDA, which, depending on the outcome of such inspections, could result in certain FDA actions, including the issuance of observations, notices, citations or warning letters.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interruptions could adversely affect our business.</w:t>
      </w:r>
    </w:p>
    <w:p>
      <w:pPr>
        <w:spacing w:after="0" w:line="225"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Although we have received approval from the FDA to market ASCENIV as a treatment for PIDD, our ability to market or seek approval for ASCENIV for alternative indications could be limited and FDA could require clinical trials beyond what we may deem to be reasonable. Unless additional clinical trials are successfully conducted and the FDA approves a BLA or other required submission for review, we may not be authorized to market ASCENIV for any other indication.</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With the approval to market ASCENIV, BIVIGAM and Nabi-HB, there can be no assurance that we will be successful in further developing and expanding commercial operations or balancing our research and development activities with our commercialization activities.</w:t>
      </w:r>
    </w:p>
    <w:p>
      <w:pPr>
        <w:spacing w:after="0" w:line="146" w:lineRule="exact"/>
        <w:rPr>
          <w:rFonts w:ascii="Arial" w:cs="Arial" w:eastAsia="Arial" w:hAnsi="Arial"/>
          <w:sz w:val="17"/>
          <w:szCs w:val="17"/>
          <w:color w:val="auto"/>
        </w:rPr>
      </w:pPr>
    </w:p>
    <w:p>
      <w:pPr>
        <w:ind w:left="660" w:right="2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depend on third-party researchers, developers and vendors to develop, manufacture, supply materials for or test our products and product candidates, and such parties are outside of our control.</w:t>
      </w:r>
    </w:p>
    <w:p>
      <w:pPr>
        <w:spacing w:after="0" w:line="355"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660" w:right="2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70"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physicians, payers and patients do not accept and use our current products or our future product candidates, our ability to generate revenue from these products will be materially impaired.</w:t>
      </w:r>
    </w:p>
    <w:p>
      <w:pPr>
        <w:spacing w:after="0" w:line="170" w:lineRule="exact"/>
        <w:rPr>
          <w:rFonts w:ascii="Arial" w:cs="Arial" w:eastAsia="Arial" w:hAnsi="Arial"/>
          <w:sz w:val="18"/>
          <w:szCs w:val="18"/>
          <w:color w:val="auto"/>
        </w:rPr>
      </w:pPr>
    </w:p>
    <w:p>
      <w:pPr>
        <w:jc w:val="both"/>
        <w:ind w:left="660" w:right="8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83"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senior secured credit facility with Hayfin Services LLP (“Hayfin”) is subject to acceleration in specified circumstances, which may result in Hayfin taking possession and disposing of any collateral.</w:t>
      </w:r>
    </w:p>
    <w:p>
      <w:pPr>
        <w:spacing w:after="0" w:line="170" w:lineRule="exact"/>
        <w:rPr>
          <w:rFonts w:ascii="Arial" w:cs="Arial" w:eastAsia="Arial" w:hAnsi="Arial"/>
          <w:sz w:val="18"/>
          <w:szCs w:val="18"/>
          <w:color w:val="auto"/>
        </w:rPr>
      </w:pPr>
    </w:p>
    <w:p>
      <w:pPr>
        <w:ind w:left="660" w:right="8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46"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Cyberattacks and other security breaches could compromise our proprietary and confidential information, which could harm our business and reputation.</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market price of our common stock may be volatile and may fluctuate in a way that is disproportionate to our operating performance.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To date, we have a history of losses and have historically needed to raise, and in the future may be required to raise, additional capital to operate our business.</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long-term liquidity depends upon our ability to grow our commercial programs, expand our commercial operations at the Boca Facility, improve our supply-chain capabilities, improve production yields, continue to build out our commercial infrastructure and meet our ongoing obligations. In addition, our end-to-end production cycle from procurement of raw materials to commercial release of finished product can take between seven and 12 months or potentially longer, requiring substantial investments in raw material plasma and other manufacturing materials.</w:t>
      </w:r>
    </w:p>
    <w:p>
      <w:pPr>
        <w:spacing w:after="0" w:line="17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currently anticipate, based upon our projected revenue and expenditures, that our current cash, cash equivalents and accounts receivable will be sufficient to fund our operations, as currently conducted, through the end of fiscal 2024, during which time we believe that we will continue to generate positive cash flow from operations. However, our current outlook on cash flows and profitability may change based upon how quickly we are able to execute on our commercialization efforts and operational initiatives and whether or not the assumptions underlying our projected revenues and expenses are correct. Although we achieved net income and positive cash flow from operations for the first time in our history during the third quarter of 2023, at present we cannot be certain that we will be able to generate a sufficient amount of product revenue to maintain profitability through 2024 and beyond. If we are unable to generate sufficient positive cash flow throughout 2024 and cannot raise additional capital if needed, we may have to delay, curtail or eliminate our commercialization efforts as well as product development activities. Even if we are able to raise additional capital, such equity or debt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7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Historically, the major source of our cash has been from proceeds from various public offerings of our common stock and the issuance of debt securities. The actual amount of additional cash that we may need, if any, is subject to many factors. There can be no assurances that additional financing will be available if needed or that management will be able to obtain financing on terms acceptable to us or that we will continue to be profitable and generate positive operating cash flow.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profitability in 2024 and beyond.</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have a history of losses and incurred substantial losses and negative operating cash flows through the first half of 2023, and we may not be able to maintain profitability. For the years ended December 31, 2022 and 2021, we incurred net losses of $65.9 million and $71.6 million, respectively, and for the nine months ended September 30, 2023 and 2022 we incurred net losses of $10.6 million and $53.7 million, respectively. From our inception in 2004 through September 30, 2023, we have incurred an accumulated deficit of $488.6 million. We may not be able to generate a sufficient amount of product revenue to maintain profitability during the remainder of fiscal 2023 and throughout 2024, and if we are unable to continue to generate positive cash flow we may need to continue to finance our operations through additional equity or debt financings or corporate collaboration and licensing agreements. We also expect to continue to incur significant operating and capital expenditures and anticipate that as our business continues to grow our operating expenses will increase accordingly as we:</w:t>
      </w:r>
    </w:p>
    <w:p>
      <w:pPr>
        <w:spacing w:after="0" w:line="17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commercialization and marketing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 additional internal systems, controls and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and build out our plasma center network;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production capacity at the Boca Facility.</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a result, we will need to generate significant revenues in order to maintain profitability. We may not be able to generate these revenues or maintain profitability in the future.</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The COVID-19 pandemic and efforts to reduce its spread has significantly affected worldwide economic conditions, caused supply chain disruptions and could have a material adverse impact on our business, liquidity, financial condition and results of operations.</w:t>
      </w:r>
    </w:p>
    <w:p>
      <w:pPr>
        <w:spacing w:after="0" w:line="14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 COVID-19 pandemic, including the Delta, Omicron and BA.2 variants and other resistant, mutating and emerging strains of the coronavirus, has the potential to adversely impact several aspects of each of our business segments, our commercial manufacturing operations and plasma collection facilities, including but not limited to potential disruptions to our supply-chain operations, including procurement of raw materials and packaging materials, a portion of which are sourced internationally, and the testing of finished drug product that is required prior to its availability for commercial sale. Such testing has historically been performed by contract laboratories outside the United States. While we do not believe that the COVID-19 pandemic has significantly affected operations and immunoglobulin production at our Boca Facility or our ADMA BioCenters plasma collection operations at this time, we may experience adverse effects in the future from the COVID-19 pandemic or future pandemics. For example, our employees becoming ill, the imposition of additional mandatory remote working environments and federal, state and local responses to the pandemic could materially affect the efficiency and pace of our operations and manufacturing at our Boca Facility. Employee or donor illness, if not properly managed, could also impact the availability of and quality of our products. Further, in certain instances and geographic regions, we may experience decreased customer engagement (for example, as a result of a temporary shutdown of a customer’s facilities or the continuation of no in-person meetings) could impact our results of operations. In addition, travel and other restrictions that were implemented in the United States or could be implemented in the future could impact our commercial efforts with respect to any of our products, including BIVIGAM and ASCENIV, as trade shows, industry and medical conferences and other events we had been planning to utilize and exhibit and attend with our staff to increase awareness of our products by physicians and payers were subject to limitations, rescheduling, virtual attendance or outright cancellation in response to the pandemic. Also, due to a combination of previous state and local “shelter-in-place” orders, as well as government stimulus packages, amongst other initiatives, we were experiencing, and may experience in the future, lower than expected donor collections at our FDA-licensed plasma collection centers. We are also subject to delays in shipments of source plasma from our contracted third-party suppliers, as well as delays in deliveries for personal protective equipment, reagents and other non-plasma raw materials and supplies used in the manufacture, testing and distribution of our products. We also experienced supply chain delays as a result of significant resources being diverted towards the rapid development and distribution of COVID-19 vaccines, which could result in our need to carry more inventory than we have in the past, which would put an additional strain on our cash resources. After the COVID-19 global pandemic has settled, we may continue to experience adverse impacts to our business as a result of evolving macroeconomic factors, including general economic uncertainty, unemployment rates, high inflation, recessionary pressures and any actual economic recession that has occurred or may occur in the future.</w:t>
      </w:r>
    </w:p>
    <w:p>
      <w:pPr>
        <w:spacing w:after="0" w:line="17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the future we may continue to experience pandemic-related challenges with respect to obtaining and manufacturing a sufficient amount of supplies, raw materials, and finished product to meet our need for commercial and clinical product supply. If we or any of our suppliers or manufacturers are adversely impacted by pandemics or the restrictions resulting from outbreaks, if they or we cannot obtain the necessary supplies, or if third parties need to prioritize other products or customers over us, including under the Defense Production Act, we may experience future delays or disruptions in our supply chain, which could have a material and adverse impact on our business. Moreover, we, our suppliers, and any third-party manufacturers may also need to implement measures and changes, or deviate from typical requirements, because of pandemics that may otherwise adversely impact our supply chains or the quality of the resulting products or supplies. Depending on the change, we may need to obtain FDA pre-approval or otherwise provide the FDA with a notification of the change.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5" w:name="page46"/>
    <w:bookmarkEnd w:id="4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To the extent that we or our partners are conducting clinical trials, pandemics could cause delays or disruptions in these or future development programs. By example, the pandemic may result in slower enrollment, the need to suspend enrollment into studies, patient withdrawals, postponement of planned clinical or preclinical studies, redirection of site resources from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could require that we consult with relevant review and ethics committees, IRBs, and the FDA. The foregoing could also impact the integrity of study data. The effects of pandemics may also increase the need for clinical trial patient monitoring and regulatory reporting of adverse effects. Pandemics could further impact our ability to interact with the FDA or other regulatory authorities and may result in delays in the conduct of inspections or review of pending applications or submissions. No assurances can be provided as to the timing for completion of any regulatory submissions or applications or other circumstances unknown to us presently or that are out of our direct control. Due to the potential impact of the COVID-19 outbreak on clinical trials, drug development, and manufacturing, the FDA issued a number of guidances specifically concerning COVID-19, including guidance with respect to blood and blood components. The FDA’s guidance is continually evolving.</w:t>
      </w:r>
    </w:p>
    <w:p>
      <w:pPr>
        <w:spacing w:after="0" w:line="17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COVID-19 pandemic resulted in and future pandemics may also result in changes in laws and regulations. By example, in March 2020, the U.S. Congress passed the CARES Act, which includes various provisions regarding FDA drug shortage reporting requirements, as well as provisions regarding supply chain security, such as risk management plan requirements, and the promotion of supply chain redundancy and domestic manufacturing. The CARES Act further included reporting requirements related to the volume of products produced over the course of the year. FDA issued guidance regarding this requirement. This and any future changes in law may require that we change our internal processes and procedures to ensure continued compliance. Additionally, the previous guidelines that were issued by public health authorities or any new or changing recommendations or guidelines may still impact the demand for or usage as well as the prescriptions of our IVIG products.</w:t>
      </w:r>
    </w:p>
    <w:p>
      <w:pPr>
        <w:spacing w:after="0" w:line="17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ultimate impact of the COVID-19 pandemic is highly uncertain and subject to change. We do not yet know the full extent of potential delays or impacts on our business, operations, or financial condition, or on healthcare systems or the global economy as a whole. Although the COVID-19 pandemic has not adversely affected our capital and financial resources to date, the pandemic’s effects could have a material impact on our ability to access the capital markets as needed and on our operations and business, including those of the third parties on which we rely. Because we are unable to determine the ultimate severity or duration of the pandemic or its effects on, among other things, the global, national or local economies, the capital and credit markets, our workforce, our customers or our suppliers, at this time we are unable to predict whether COVID-19 will have a material adverse impact on our business, financial condition, liquidity and results of operations.</w:t>
      </w:r>
    </w:p>
    <w:p>
      <w:pPr>
        <w:spacing w:after="0" w:line="17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We contract with third parties for a portion of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4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Third-party fill/finish providers may not perform as agreed or in accordance with FDA requirements. Any significant problem that our fill/finish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fill/finish services meeting the necessary quality standards or at all could have a material and adverse effect on our products, business, financial condition and results from operations.</w:t>
      </w:r>
    </w:p>
    <w:p>
      <w:pPr>
        <w:spacing w:after="0" w:line="18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Although we are utilizing our FDA-approved fill/finish suite that we built at the Boca Facility for a portion of our finished drug product, we also intend to continue to utilize third parties to supplement our fill/finish process for final drug product. Any failure by us, our contract fill/finishers, or other third parties involved in the process for producing our products or product candidates to comply with the applicable manufacturing, including manufacturing quality requirements, could place us and them at risk of regulatory enforcement actions, recalls and other adverse consequences, could adversely impact our products, and could adversely impact patients receiving our products, which may negatively impact our business and our ability to produce and supply products to meet commercial and clinical needs.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anticipated reliance on a limited number of third-party manufacturers exposes us to the following risks:</w:t>
      </w:r>
    </w:p>
    <w:p>
      <w:pPr>
        <w:spacing w:after="0" w:line="225" w:lineRule="exact"/>
        <w:rPr>
          <w:sz w:val="20"/>
          <w:szCs w:val="20"/>
          <w:color w:val="auto"/>
        </w:rPr>
      </w:pPr>
    </w:p>
    <w:p>
      <w:pPr>
        <w:ind w:left="660" w:right="220" w:hanging="652"/>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unable to identify contract fill/finishers on acceptable terms or at all because the number of potential service providers is limited and the FDA must inspect and qualify any contract manufacturers for current cGMP compliance as part of our marketing application;</w:t>
      </w:r>
    </w:p>
    <w:p>
      <w:pPr>
        <w:spacing w:after="0" w:line="123" w:lineRule="exact"/>
        <w:rPr>
          <w:rFonts w:ascii="Arial" w:cs="Arial" w:eastAsia="Arial" w:hAnsi="Arial"/>
          <w:sz w:val="16"/>
          <w:szCs w:val="16"/>
          <w:color w:val="auto"/>
        </w:rPr>
      </w:pPr>
    </w:p>
    <w:p>
      <w:pPr>
        <w:ind w:left="660" w:right="40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fill/finisher would have to be educated in, or develop substantially equivalent processes for, the production of our products and product candidates;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COVID-19 pandemic could adversely affect our contracted fill/finishers’ operations, supply chain or workforce;</w:t>
      </w:r>
    </w:p>
    <w:p>
      <w:pPr>
        <w:spacing w:after="0" w:line="225" w:lineRule="exact"/>
        <w:rPr>
          <w:rFonts w:ascii="Arial" w:cs="Arial" w:eastAsia="Arial" w:hAnsi="Arial"/>
          <w:sz w:val="18"/>
          <w:szCs w:val="18"/>
          <w:color w:val="auto"/>
        </w:rPr>
      </w:pPr>
    </w:p>
    <w:p>
      <w:pPr>
        <w:ind w:left="660" w:right="30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contracted fill/finishers’ resources and level of expertise with plasma-derived biologics may be limited, and therefore they may require a significant amount of support from us in order to implement and maintain the infrastructure and processes required to deliver our finished drug product;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our third-party fill/finishers might be unable to timely provide finished drug product in sufficient quantity  to meet our commercial needs;</w:t>
      </w:r>
    </w:p>
    <w:p>
      <w:pPr>
        <w:spacing w:after="0" w:line="237"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inspection procedures and required tests appropriately;</w:t>
      </w:r>
    </w:p>
    <w:p>
      <w:pPr>
        <w:spacing w:after="0" w:line="225" w:lineRule="exact"/>
        <w:rPr>
          <w:rFonts w:ascii="Arial" w:cs="Arial" w:eastAsia="Arial" w:hAnsi="Arial"/>
          <w:sz w:val="18"/>
          <w:szCs w:val="18"/>
          <w:color w:val="auto"/>
        </w:rPr>
      </w:pPr>
    </w:p>
    <w:p>
      <w:pPr>
        <w:ind w:left="660" w:right="460" w:hanging="652"/>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contract manufacturers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183" w:lineRule="exact"/>
        <w:rPr>
          <w:rFonts w:ascii="Arial" w:cs="Arial" w:eastAsia="Arial" w:hAnsi="Arial"/>
          <w:sz w:val="18"/>
          <w:szCs w:val="18"/>
          <w:color w:val="auto"/>
        </w:rPr>
      </w:pPr>
    </w:p>
    <w:p>
      <w:pPr>
        <w:ind w:left="660" w:right="60" w:hanging="652"/>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contract manufacturers may fail to comply with applicable regulatory requirements, placing them and us at risk of regulatory enforcement actions, recalls and other adverse consequences, which may negatively impact our business and their ability to supply products to meet our development, clinical and commercial needs;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third-party fill/finishers could breach or terminate their agreements with us; and</w:t>
      </w:r>
    </w:p>
    <w:p>
      <w:pPr>
        <w:spacing w:after="0" w:line="225"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Each of these risks could delay or prevent the completion of our finished drug product and the release of finished drug product by us or the FDA, which could result in higher costs or adversely impact our revenues. These risks could also result in the delay in obtaining clinical supplies, which would delay our development programs. In addition, our contract fill/finishers and our other third-party vendors may source their materials and supplies globally and are therefore subject to supply disruptions in the event of fire, weather related events such as hurricanes, wind and rain, international conflicts, trade and sanction requirements and limits, other acts of God or force majeure events or global health occurrences and emergencies, including the COVID-19 pandemic.</w:t>
      </w:r>
    </w:p>
    <w:p>
      <w:pPr>
        <w:spacing w:after="0" w:line="19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Market opportunity estimates and growth forecasts are subject to significant uncertainty and are based on assumptions and estimates that may not prove to be accurate, including as a result of changing circumstances during the ongoing COVID-19 pandemic. In particular, the size and growth of the overall U.S. IVIG and source plasma markets are subject to significant variables that can be difficult to measure, estimate or quantify. Our business depends on, 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collection facilities are capable of generating.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Geopolitical conditions, war, terrorism or other military actions may have a material adverse effect on our business.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Geopolitical conflicts, war or other military action or international acts of terrorism may cause significant disruption to commerce throughout the world. To the extent that such disruptions result in disruptions to our supply chain, delays or cancellations of customer orders, a general decrease in consumer spending, our inability to effectively market and distribute our products and/or our inability to access the capital markets, our business and results of operations could be materially and adversely affected. For example, in response to the rapidly developing conflict between Russia and Ukraine, the United States has imposed and may further impose, and other countries may additionally impose, broad sanctions or other restrictive actions against governmental and other entities in Russia. Additionally, further escalation of geopolitical tensions, such as the conflict in the Middle East and the surrounding areas could have a broader impact that extends into other markets where we do business. We are unable to predict geopolitical conditions, whether acts of international terrorism or the involvement in a war or other military actions will result in any long-term commercial disruptions or if such involvement or responses will have any long-term material adverse effect on our business, results of operations, or financial condition.</w:t>
      </w:r>
    </w:p>
    <w:p>
      <w:pPr>
        <w:spacing w:after="0" w:line="166"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b w:val="1"/>
          <w:bCs w:val="1"/>
          <w:i w:val="1"/>
          <w:iCs w:val="1"/>
          <w:color w:val="auto"/>
        </w:rPr>
        <w:t>Both of our business segments and our facilities, as well as our suppliers and contractors, are subject to periodic inspections by the FDA, which, depending on the outcome of such inspections, could result in certain FDA actions, including the issuance of observations, notices, citations or warning letters.</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and our suppliers and contractors may be unable to comply with our specifications, cGMP requirements and with other FDA, state, and foreign regulatory requirements for commercial and clinical supply. The FDA is authorized to perform inspections and remote regulatory assessments of our and our suppliers’ facilities, including the Boca Facility. The FDA also may inspect and approve our and our third-parties’ facilities before they may be used for commercial production. At the end of such an inspection, the FDA could issue a Form 483 Notice of Inspectional Observations, which could cause the FDA to not approve the use of the facility and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 Depending on the seriousness of any findings, we or our suppliers may be subject to additional significant enforcement actions which could have a material impact on our business.</w:t>
      </w:r>
    </w:p>
    <w:p>
      <w:pPr>
        <w:spacing w:after="0" w:line="18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the event of any FDA enforcement actions, we and our third-party contractors would need to implement remedial actions which may be time-intensive or costly. We may not be able to timely resolve concerns raised by the FDA as a result of an inspection or without expending significant resources. We are unable to control the timing of FDA inspections, communications and actions, and will be required to respond to the FDA and make certain submissions within certain timeframes. We also do not know whether or not the FDA will change its requirements, guidance or expectations. If the FDA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to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and service providers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adversely affect our business</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cyberattacks on our operations and information technology systems and breakdown, human error, employee issues, global health occurrences such as the COVID-19 pandemic, global and economic uncertainty, war, geopolitical conditions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179"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0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INDs or BLAs, or to repeat clinical trials. The evolving COVID-19 pandemic may directly or indirectly affect the pace of enrollment in clinical trials as patients may be restricted in traveling to and accessing healthcare facilities and physicians’ offices. Additionally, such healthcare facilities and offices have their limited resources directed towards treating patients with COVID-19 symptoms. The commencement and completion of clinical trials or ultimate product approval for any current or future development product candidate may be delayed by several factors, including:</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safety or effectiveness during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w:t>
      </w:r>
    </w:p>
    <w:p>
      <w:pPr>
        <w:spacing w:after="0" w:line="22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III) be demonstrated in two adequate and well-controlled clinical trials. However, if the FDA or an equivalent foreign regulatory authority determines that our Phase III clinical trial results do not demonstrate a statistically significant, clinically meaningful benefit with an acceptable safety profile, or if a relevant regulator requires us to conduct additional Phase III clinical trials in order to gain approval, we will incur significant additional development costs and commercialization of these products would be prevented or delayed and our business could be adversely affected.</w:t>
      </w:r>
    </w:p>
    <w:p>
      <w:pPr>
        <w:spacing w:after="0" w:line="166"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 addition, the FDA or an IRB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Regulatory authorities may also not accept data from clinical trials if the trials are not conducted in accordance with the applicable regulatory requirements. Failure to comply with the applicable regulatory requirements may also result in enforcement actions.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165"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46"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w:t>
      </w:r>
    </w:p>
    <w:p>
      <w:pPr>
        <w:spacing w:after="0" w:line="18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w:t>
      </w:r>
    </w:p>
    <w:p>
      <w:pPr>
        <w:spacing w:after="0" w:line="18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Other issues that may impact our clinical trials and that could delay or prevent our ability to receive marketing approval or commercialize our product candidates, include:</w:t>
      </w:r>
    </w:p>
    <w:p>
      <w:pPr>
        <w:spacing w:after="0" w:line="170"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our CROs;</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0" w:name="page51"/>
    <w:bookmarkEnd w:id="5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660" w:right="2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requiring us to perform additional or unanticipated clinical trials to obtain approval or becoming subject to additional post-marketing testing, surveillance, or REMS requirements to maintain regulatory approval;</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by our third-party contractors to comply with regulatory requirements or the clinical trial protocol, or meet their contractual obligations to us in a timely manner, or at all, or our being required to engage in additional clinical trial site monitoring;</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 or our having insufficient funds for a clinical trial or to pay the substantial user fees required by FDA upon the filing of a marketing application;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Insufficient supply or inadequate quality of our product candidates or other materials necessary to conduct clinical trials;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achieve sufficient study enrollment, subjects dropping out or withdrawing from our studies, delays in adding new investigators or clinical trial sites or a withdrawal of clinical trial sites;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Flaws in our clinical trial design that are not discoverable until the clinical trial has progressed;</w:t>
      </w:r>
    </w:p>
    <w:p>
      <w:pPr>
        <w:spacing w:after="0" w:line="225"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Disagreement by the FDA or comparable foreign regulatory authorities with our intended indications or study design, including endpoints, or our interpretation of data from preclinical studies and clinical trials, finding that a product candidate’s benefits do not outweigh its safety risks or requiring that we conduct additional development or study work;</w:t>
      </w:r>
    </w:p>
    <w:p>
      <w:pPr>
        <w:spacing w:after="0" w:line="18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to make changes to our product candidates that require additional testing or that cause our product candidates to perform differently than expected;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trade policies that may impact our ability to obtain raw materials and/or finished product for commercialization;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FDA or comparable regulatory authorities taking longer than we anticipate to make decisions on our products or product candidates; and</w:t>
      </w:r>
    </w:p>
    <w:p>
      <w:pPr>
        <w:spacing w:after="0" w:line="236" w:lineRule="exact"/>
        <w:rPr>
          <w:rFonts w:ascii="Arial" w:cs="Arial" w:eastAsia="Arial" w:hAnsi="Arial"/>
          <w:sz w:val="17"/>
          <w:szCs w:val="17"/>
          <w:color w:val="auto"/>
        </w:rPr>
      </w:pPr>
    </w:p>
    <w:p>
      <w:pPr>
        <w:ind w:left="660" w:right="3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inability to demonstrate that a product or product candidate provides an advantage over current standards of care or current or future competitive therapies in development.</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U.S., and therefore, may not be performed in accordance with standards normally required by the FDA and other regulatory agencies.</w:t>
      </w:r>
    </w:p>
    <w:p>
      <w:pPr>
        <w:spacing w:after="0" w:line="149"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0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If we are not able to generate revenue from our products and product candidates, our sources of revenue may continue to be from a product mix consisting only of plasma collection and sales revenues, revenues generated from sales of our FDA-approved commercial products, revenues generated from new contract manufacturing arrangements with third parties and revenues generated from the sales of manufacturing intermediates. We cannot assure you that we will receive the approvals necessary to commercialize any product candidate we may acquire or develop in the future.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revenues from,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U.S.</w:t>
      </w:r>
    </w:p>
    <w:p>
      <w:pPr>
        <w:spacing w:after="0" w:line="17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18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FDA and other governmental authorities strictly regulate and monitor marketing, labeling and the advertising and promotion of prescription drugs. These regulations include standards and restrictions for direct-to-consumer advertising, industry-sponsored scientific and educational activities, promotional activities involving the Internet and off-label promotion. The FDA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pacing w:after="0" w:line="17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require payment of civil fines or could result in disgorgement of money, operating restrictions, injunctions or criminal prosecution, among other consequences, any of which could harm our reputation and our business.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2" w:name="page53"/>
    <w:bookmarkEnd w:id="5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With the approval of ASCENIV, there can be no assurance that we will be successful in further developing and expanding commercial operations or balancing our research and development activities with our commercialization activities.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related to clinical trials and receipt of approvals from the FDA and foreign regulatory bodies, with commercialization efforts, which can include problems related to managing manufacturing and supply, including supply chain constraints ,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 titer antibodies to RSV. This high titer plasma which meets our internal specifications for the manufacture of ASCENIV that we are able to identify with our patented testing assay amounts to less than 10% of the total donor collection samples we test. As a result, we may experience an insufficient supply of this plasma.</w:t>
      </w:r>
    </w:p>
    <w:p>
      <w:pPr>
        <w:spacing w:after="0" w:line="18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product candidates will require significant additional research and clinical trials, and we will need to overcome significant regulatory burdens prior to commercialization in the U.S.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15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depend on third-party researchers, developers and vendors to develop, manufacture or test products and product candidates, as well as for other pre-and-post approval services, and such parties are, to some extent, outside of our control.</w:t>
      </w:r>
    </w:p>
    <w:p>
      <w:pPr>
        <w:spacing w:after="0" w:line="170"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We depend on independent investigators and collaborators, such as universities and medical institutions, contract laboratories, CROs, contract manufacturers, contract fill/finishers and consultants to conduct our preclinical activities, clinical trials, CMC testing and other activities under agreements with us. These collaborators are not our employees and we cannot control the amount or timing of resources that they devote to our programs. These third parties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or does not comply with the applicable regulatory standards, our trials may be repeated, extended, delayed, or terminated, the approval of our FDA application(s), if any, and our introduction of new products, if any, will be delayed. We or they may also be subject to regulatory enforcement actions and we may not be able to meet commercial demand.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and maintain approval for our product candidates.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expand our manufacturing processes to fulfill demand for our products 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 our production capabilities through the addition of new equipment, including if we do not obtain requisite approval from the FDA.</w:t>
      </w:r>
    </w:p>
    <w:p>
      <w:pPr>
        <w:spacing w:after="0" w:line="22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currently anticipate expanding the manufacturing capacity of our Boca Facility by approximately 50% or more. We also anticipate expanding our production capabilities through the addition of our fill-finish machine at our Boca Facility. Following the expansion of any of our manufacturing processes or the addition of new equipment, such as our fill-finish machine, we will need to validate the expanded facility and equipment, make the necessary submissions to FDA, obtain any FDA required approvals and have it inspected by the FDA. Given the significant delays that may result during the validation process, we may experience a significant supply shortage of our products or our production capabilities may be limited until completion of and validation of our facility expansion and new manufacturing equipment.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and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related to manufacturing, quality control, quality assurance and corresponding maintenance of records and documents, requirements regarding safeguarding the drug supply chain as well as the distribution of samples to physicians and recordkeeping. For example, the FDA’s approval of our PAS to allow for the commercial relaunch of BIVIGAM, as well as the FDA’s approval of our BLA for ASCENIV, require us to conduct specified post-marketing studies related to our manufacturing controls and processes and submit specified post-marketing reports to the FDA. If, during the post-marketing period (after marketing approval) previously unknown adverse events, discovery that the product is less effective than previously thought,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168"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such products or manufacturing processes;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to conduct further post-marketing studies or clinical trials, implement risk mitigation strategies, or to issue corrective information;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coverage by third-party payers;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225" w:lineRule="exact"/>
        <w:rPr>
          <w:rFonts w:ascii="Arial" w:cs="Arial" w:eastAsia="Arial" w:hAnsi="Arial"/>
          <w:sz w:val="18"/>
          <w:szCs w:val="18"/>
          <w:color w:val="auto"/>
        </w:rPr>
      </w:pPr>
    </w:p>
    <w:p>
      <w:pPr>
        <w:ind w:left="980" w:right="40" w:hanging="324"/>
        <w:spacing w:after="0" w:line="342"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FDA debarment, suspension and debarment from government programs, refusal of orders under existing government contracts, exclusion from participation in federal healthcare programs, consent decrees, deferred or non-prosecution agreements or corporate integrity agreements;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 or detention;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penalties or criminal fines.</w:t>
      </w:r>
    </w:p>
    <w:p>
      <w:pPr>
        <w:spacing w:after="0" w:line="225"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46" w:lineRule="exact"/>
        <w:rPr>
          <w:sz w:val="20"/>
          <w:szCs w:val="20"/>
          <w:color w:val="auto"/>
        </w:rPr>
      </w:pPr>
    </w:p>
    <w:p>
      <w:pPr>
        <w:ind w:right="660" w:firstLine="648"/>
        <w:spacing w:after="0" w:line="263" w:lineRule="auto"/>
        <w:rPr>
          <w:sz w:val="20"/>
          <w:szCs w:val="20"/>
          <w:color w:val="auto"/>
        </w:rPr>
      </w:pPr>
      <w:r>
        <w:rPr>
          <w:rFonts w:ascii="Arial" w:cs="Arial" w:eastAsia="Arial" w:hAnsi="Arial"/>
          <w:sz w:val="18"/>
          <w:szCs w:val="18"/>
          <w:color w:val="auto"/>
        </w:rPr>
        <w:t>For the nine months ended September 30, 2023, two customers, BioCARE, Inc. (“BioCare”) and Priority Healthcare Distribution, Inc. (“Curascript”), represented an aggregate of 71% of our consolidated revenues. For the year ended December 31, 2022, two customers BioCare and Curascript, represented an aggregate of 74% of our consolidated revenues.</w:t>
      </w:r>
    </w:p>
    <w:p>
      <w:pPr>
        <w:spacing w:after="0" w:line="184"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As of September 30, 2023, four customers, BioCare, Healix Infusion Therapy, LLC (“Healix”), Curascript and AmerisourceBergen Corporation, represented an aggregate of approximately 95% of our consolidated accounts receivable. As of December 31, 2022, two customers, BioCare and Healix, represented an aggregate of 92% of our consolidated accounts receivable.</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w:t>
      </w:r>
    </w:p>
    <w:p>
      <w:pPr>
        <w:spacing w:after="0" w:line="18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sell our products at competitive prices;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features and quality standards for our products sufficient to meet the expectations of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produce and deliver a sufficient quantity of our products in a timely manner to meet our customers’ requirements;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the ongoing COVID-19 pandemic and government responses thereto on our customers and their businesses, operations and financial condition: and</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widespread economic conditions or geopolitical conditions, including the exacerbated conflicts in Europe, the Middle East and the surrounding areas.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Additionally, an adverse change in the financial condition of any of our key customers could negatively affect revenue derived from such customer, which in turn could have a material adverse effect on our business and results of operations.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patient injury,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or a loss of customer confidence in us or our current or future products, which may result in the loss of sales and difficulty in successfully commercializing our current products and launching new products.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state and local regulations, or due to testing results not meeting specifications. As a result, our operating results are subject to potentially significant variability from one reporting period to the next should such normal course losses occur in any given period. However, because our products and product candidates are plasma-based products, not only are we subject to FDA’s drug and biologic cGMP requirements, but we are also subject to special requirements for the collection, testing, handling, storage, and use of blood products. This adds an extra level of compliance and complexity to our operations, which we may not be able to successfully meet. Failure to meet any regulatory quality standards could have an adverse impact on our business.</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Even if the FDA approves a product made by us, physicians, payers and patients may not accept and use it. Acceptance and use of our products depends on a number of factors including, but not limited to:</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cost-effectiveness of our products relative to competing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reimbursement for our products from government or other healthcare payers;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6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Our current product development portfolio consists primarily of label expansion activities for Nabi-HB, BIVIGAM and ASCENIV, as well as expanding our IP estate with patents issued for </w:t>
      </w:r>
      <w:r>
        <w:rPr>
          <w:rFonts w:ascii="Arial" w:cs="Arial" w:eastAsia="Arial" w:hAnsi="Arial"/>
          <w:sz w:val="18"/>
          <w:szCs w:val="18"/>
          <w:i w:val="1"/>
          <w:iCs w:val="1"/>
          <w:color w:val="auto"/>
        </w:rPr>
        <w:t>S. Pneumoniae</w:t>
      </w:r>
      <w:r>
        <w:rPr>
          <w:rFonts w:ascii="Arial" w:cs="Arial" w:eastAsia="Arial" w:hAnsi="Arial"/>
          <w:sz w:val="18"/>
          <w:szCs w:val="18"/>
          <w:color w:val="auto"/>
        </w:rPr>
        <w:t xml:space="preserve"> hyperimmune IG.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successfully commercialize ASCENIV, as well as our ability to generate revenue from Nabi-HB, BIVIGAM, contract manufacturing, intermediate fractions and plasma attributable to the operations of ADMA BioCenters, to support our operations.</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70"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protected health information (“PHI”) held by covered entities and business associates. A “covered entity” is the primary type of HIPAA-regulated entity. Health plans/insurers, healthcare providers engaging in standard transactions (i.e., insurance/health plan claims and encounters, payment and remittance advice, claims status, eligibility, enrollment/disenrollment, referrals and authorizations, coordination of benefits and premium payments), and healthcare clearinghouses (i.e., switches that convert data between standard and non-standard data sets) are covered entities. A “business associate” provides services to covered entities (directly or as subcontractors to other business associates) involving arranging, creating, receiving, maintaining, or transmitting PHI on a covered entity’s behalf. In order to legally provide access to PHI to service providers, covered entities and business associates must enter into a “business associate agreement” (“BAA”) with the service provider that receives PHI on behalf of the entity.</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6" w:name="page57"/>
    <w:bookmarkEnd w:id="5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may violate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but prescriptive than,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Some state privacy and security laws apply more broadly than HIPAA and associated regulations. For example, the California Consumer Privacy Act (“CCPA”) was amended by the California Privacy Rights Act, effective January 1, 2023. The CCPA, among other things, imposes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through implementing regulations or how it will be interpreted and enforced. We could be subject to enforcement action and litigation exposure if we fail to adhere to these data privacy and security laws. Virginia, Colorado, Connecticut and Utah have also enacted privacy laws that become effective in 2023 and are similar in many respects to the CCPA.</w:t>
      </w:r>
    </w:p>
    <w:p>
      <w:pPr>
        <w:spacing w:after="0" w:line="19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Hayfin Credit Facility is subject to acceleration in specified circumstances, which may result in Hayfin taking possession and disposing of any collateral.</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March 23, 2022 (the “Hayfin Closing Date”), we entered into the Hayfin Credit Agreement with Hayfin (see “Liquidity and Capital Resources”). The Hayfin Credit Agreement provides for a senior secured term loan facility in the principal amount of up to $175.0 million (the “Hayfin Credit Facility”), composed of (i) a term loan made on the Hayfin Closing Date in the principal amount of $150.0 million (the “Hayfin Closing Date Loan”), (ii) a delayed draw term loan in the principal amount of $25.0 million (the “Hayfin Delayed Draw Loan” and, together with the Hayfin Closing Date Loan, the “Hayfin Loans”). The obligation of the lenders to make the Hayfin Delayed Draw Loan expires on December 31, 2023 and is subject to the satisfaction of certain conditions, including but not limited to, our meeting certain 12-month revenue targets as set forth in the Hayfin Credit Agreement which have been met. The Hayfin Credit Facility has a maturity date of March 23, 2027 (the “Hayfin Maturity Date”). The Hayfin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Hayfin Loans of 3% per annum, the occurrence of an Event of Default could result in, among other things, the termination of commitments under the Hayfin Credit Facility, the declaration that all outstanding Loans are immediately due and payable in whole or in part, and Hayfin taking immediate possession of, and selling, any collateral securing the Hayfin Loans.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7" w:name="page58"/>
    <w:bookmarkEnd w:id="5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we move forward in clinical development, we continue to discover novel technologies related to our products and we may draft patent applications directed to these technologies. We rely on a combination of patent rights, trade secrets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the U.S. Patent and Trademark Office or foreign patent offices.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market exclusivity of a product earlier than expected.</w:t>
      </w:r>
    </w:p>
    <w:p>
      <w:pPr>
        <w:spacing w:after="0" w:line="225"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In the pharmaceutical and biotechnology industries, the majority of an innovative product’s commercial value is realized during its market exclusivity period. In the U.S. and in some other countries, when market exclusivity expires and generic or biosimilar versions are approved and marketed or when biosimilars are introduced (even if only for a competing product), there are usually very substantial and rapid declines in a product’s revenues.</w:t>
      </w:r>
    </w:p>
    <w:p>
      <w:pPr>
        <w:spacing w:after="0" w:line="14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 There is no assurance that ASCENIV, or any other of our products for which we are issued a patent, will enjoy market exclusivity for the full time period of the respective patent.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growth, our business may be harmed.</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Our ability to accomplish each of these objectives may be negatively impacted as a consequence of the COVID-19 pandemic. If we are unable to manage our growth effectively, our business could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key members of our management team could adversely affect our business.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Cyberattacks and other security breaches could compromise our proprietary and confidential information, which could harm our business and reputation.</w:t>
      </w:r>
    </w:p>
    <w:p>
      <w:pPr>
        <w:spacing w:after="0" w:line="170"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Further, while many of our employees and certain suppliers with whom we do business operate in a remote working environment during the COVID-19 pandemic, the risk of cybersecurity attacks and data breaches, particularly through phishing attempts, may be increased as we and third parties with whom we interact leverage our IT infrastructure in unanticipated ways during the ongoing COVID-19 pandemic.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such as the IT disruption described elsewhere in this report,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hire and retain a substantial number of qualified personnel, our ability to sustain and grow our business may be harmed.</w:t>
      </w:r>
    </w:p>
    <w:p>
      <w:pPr>
        <w:spacing w:after="0" w:line="24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finance, general and operational management and plasma collections. In particular, over the next 12-24 months, we expect to hire several new employees devoted to our plasma collection centers, commercialization, sales, marketing, medical and scientific affairs, regulatory affairs, quality control,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particularly if the COVID-19 pandemic causes significant changes in the competitive market for such personnel, including but not limited to overall increases in the cost of labor or travel restrictions related to COVID-19, prevent us from being able to hire qualified personnel.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spacing w:after="0" w:line="17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currently collect human blood plasma at our ADMA BioCenters facilities, and if we cannot maintain FDA approval for these facilities or obtain FDA approval for additional facilities that we construct or acquire rights to, we may be adversely affected and may not be able to sell or use this human blood plasma for future commercial purposes.</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intend to maintain FDA approval of our current and future ADMA BioCenters collection facilities for the collection of human blood plasma and we may seek other governmental and regulatory approvals for these facilities. Collection facilities are subject to FDA and potentially other governmental and regulatory inspections and extensive regulation, including compliance with current cGMP and blood standards and FDA and other governmental approvals, as applicable. Failure to comply with applicable governmental regulations or to receive applicable approvals for our current or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 adverse effect on our ability to manufacture our products or offer for sale plasma collected at the affected sites. Failure to comply with applicable governmental regulations may also impact the ultimate quality and compliance of our finished biologic products, which may have a material adverse effect on our business.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8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There are no assurances we will be able to maintain compliance with all FDA or other regulations. Moreover, to the extent that we use third-party vendors to fulfill our regulatory or contractual requirements, these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 If we are not able to maintain manufacturing compliance at our facilities or our vendors’ facilities for our products and product candidates, we may not be able to successfully develop and commercialize our products and product candidates and we may face potential contractual or regulatory actions, which would have an adverse impact on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substantial liabilities and may be required to limit commercialization of our products in response to product liability lawsuits.</w:t>
      </w:r>
    </w:p>
    <w:p>
      <w:pPr>
        <w:spacing w:after="0" w:line="24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Product liability claims may also result in recalls and/or regulatory enforcement actions.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188" w:lineRule="exact"/>
        <w:rPr>
          <w:sz w:val="20"/>
          <w:szCs w:val="20"/>
          <w:color w:val="auto"/>
        </w:rPr>
      </w:pPr>
    </w:p>
    <w:p>
      <w:pPr>
        <w:ind w:right="460"/>
        <w:spacing w:after="0" w:line="381" w:lineRule="auto"/>
        <w:rPr>
          <w:sz w:val="20"/>
          <w:szCs w:val="20"/>
          <w:color w:val="auto"/>
        </w:rPr>
      </w:pPr>
      <w:r>
        <w:rPr>
          <w:rFonts w:ascii="Arial" w:cs="Arial" w:eastAsia="Arial" w:hAnsi="Arial"/>
          <w:sz w:val="15"/>
          <w:szCs w:val="15"/>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00"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The laws governing our conduct in the U.S. are enforceable on the federal, state and local levels by criminal, civil and administrative sanctions. Violations of laws such as the Federal Food, Drug, and Cosmetic Act, the Social Security Act (including the Anti-Kickback Statute), the Public Health Service Act, the civil and criminal federal False Claims Act, the civil monetary penalty statute, requirements regarding the reporting and repayment of overpayments, other fraud and abuse laws and any regulations promulgated under the authority of the preceding, may result in significant criminal and/or civil sanctions, including jail sentences, fines or exclusion from federal and state programs, pursuant to enforcement actions by DOJ, Medicare, Medicaid, OIG and other regulatory authorities. Similarly, the violation of applicable laws, rules and regulations of states, including the State of Florida, with respect to the manufacture and marketing of our products and product candidates may result in significant criminal and/or civil sanctions, including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8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For example, under the Anti-Kickback Statute and similar state laws and regulations, the offer or payment of anything of value to induce or reward patient referrals, or in return for purchasing, leasing, ordering or arranging for or recommending the purchase, lease, or ordering of any item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participation in the Medicare and Medicaid programs. Arrangements with referral sources such as purchasers, group purchasing organizations, healthcare organizations, physicians and pharmacists must be structured with care to comply with applicable requirements. Legislators and regulators may seek to further restrict the scope of financial relationships that are considered appropriate. For example,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 sale reductions in price and (b) PBM service fees. Second, effective January 1, 2023, the regulation expressly provides that rebates to plan sponsors under Medicare Part D either directly to the plan sponsor under Medicare Part D, or indirectly through a pharmacy benefit manager, will not be protected under the Anti-Kickback Statute discounts safe harbor. Recent legislation delayed implementation of this portion of the rule until January 1, 2026, and previously proposed legislation would permanently prohibit implementation of the rule beginning in 2026.</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Also, certain business practices, such as payments of consulting fees to healthcare professionals, sponsorship of educational or research grants, charitable donations, interactions with healthcare professionals who prescribe products for uses not approved by the FDA and financial support for continuing medical education programs, must be conducted within narrowly prescribed and controlled limits to avoid any possibility of wrongfully influencing healthcare professionals to prescribe or purchase particular products or as a reward for past prescribing. Under the Patient Protection and Affordable Care Act (“ACA”) and the companion Health Care and Education Reconciliation Act, which together are referred to as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limited to, U.S.-licensed physicians, physician assistants, nurse practitioners, clinical nurse specialists and certified registered nurse anesthetists and U.S.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sanctions against manufacturers have resulted in substantial fines, penalties and damages. Many manufacturers have been required to enter into consent decrees or orders that prescribe allowable corporate conduct and/or Corporate Integrity Agreements that impose ongoing compliance requirements on a manufacturer.</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been brought against companies accused of promoting off-label uses of drugs, because such promotion induces unapproved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federal Anti-Kickback Statute that applies to government healthcare programs, and other healthcare fraud provisions, leading to the possibility of greatly increased lawsuits by whistleblowers for perceived violations. Violations or allegations of violations of the foregoing restrictions could materially and adversely affect our business.</w:t>
      </w:r>
    </w:p>
    <w:p>
      <w:pPr>
        <w:spacing w:after="0" w:line="16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criminal and/or civil liability under the federal False Claims Act, the federal Anti-Kickback Statute and various other laws, rules and regulations.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2" w:name="page63"/>
    <w:bookmarkEnd w:id="6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have established systems for collecting and reporting this data accurately to CMS and have instituted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spacing w:after="0" w:line="178"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9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Increasing numbers of U.S.-based pharmaceutical companies have such programs. We will need to adopt healthcare compliance and ethics programs that would incorporate the OIG’s recommendations and voluntary industry guidelines and train our employees. Such a program may be expensive and may not provide assurance that we will avoid compliance issues.</w:t>
      </w:r>
    </w:p>
    <w:p>
      <w:pPr>
        <w:spacing w:after="0" w:line="19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are also required to comply with the applicable laws, rules, regulations and permit requirements of the various states and localities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and local laws, rules, regulations and permits. Failure to appropriately comply with such state and local requirements could result in temporary or long-term cessation of our manufacturing operations, as well as fines and other sanctions. Any such penalties may have a material adverse effect on our business and results of operations.</w:t>
      </w:r>
    </w:p>
    <w:p>
      <w:pPr>
        <w:spacing w:after="0" w:line="178" w:lineRule="exact"/>
        <w:rPr>
          <w:sz w:val="20"/>
          <w:szCs w:val="20"/>
          <w:color w:val="auto"/>
        </w:rPr>
      </w:pPr>
    </w:p>
    <w:p>
      <w:pPr>
        <w:ind w:right="200"/>
        <w:spacing w:after="0" w:line="327" w:lineRule="auto"/>
        <w:rPr>
          <w:sz w:val="20"/>
          <w:szCs w:val="20"/>
          <w:color w:val="auto"/>
        </w:rPr>
      </w:pPr>
      <w:r>
        <w:rPr>
          <w:rFonts w:ascii="Arial" w:cs="Arial" w:eastAsia="Arial" w:hAnsi="Arial"/>
          <w:sz w:val="15"/>
          <w:szCs w:val="15"/>
          <w:b w:val="1"/>
          <w:bCs w:val="1"/>
          <w:i w:val="1"/>
          <w:iCs w:val="1"/>
          <w:color w:val="auto"/>
        </w:rPr>
        <w:t>We are subject to extensive and rigorous governmental regulation, including the requirement of FDA and other federal, state and local business regulatory approvals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4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Both before and after the approval of our products, our products, operations, facilities, suppliers and CROs are subject to extensive regulation by federal, state and local governmental authorities in the U.S. and other countries, with regulations differing from country to country. In the U.S., the FDA regulates, among other things, the pre-clinical and nonclinical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CRLs,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approvals. Any failure to receive the marketing approvals necessary to commercialize our products or product candidates could harm our business.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to accept the payment of user fees, as well as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the SEC, have had to furlough critical employees and stop critical activities. If a prolonged government shutdown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work-in-process inventory in the ordinary course of business due to the complex nature of plasma, our processes and our products, unanticipated events may lead to write-offs and other costs materially in excess of our expectations and the reserves we have established for these purposes. Such write-offs or losses and other costs could cause material fluctuations in our results of operations. Product or component quality issues may also result in regulatory enforcement actions, liability, corrective actions and recalls, among other actions, as described elsewhere in this annual report.</w:t>
      </w:r>
    </w:p>
    <w:p>
      <w:pPr>
        <w:spacing w:after="0" w:line="17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our manufacturing processes are inadequate to inactivate or remove an infectious agent, our ability to manufacture and distribute our products would be impaired. If a new infectious disease were to emerge in the human population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In order for plasma to be used in the manufacturing of our products, the individual centers at which the plasma is collected must generally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current plasma collection facilities, an unsatisfactory inspection could prevent a new center from being licensed or risk the suspension or revocation of an existing license, among other enforcement actions. We do not and will not have adequate plasma to manufacture our products. Therefore, we are reliant on the purchase of plasma from third parties and the collection of plasma from our FDA-approved plasma collection centers to manufacture our products. We can give no assurances that appropriate plasma will be available to us on commercially reasonable terms, or at all, to manufacture our products. Further, the COVID-19 pandemic resulted in significant constraints in raw material supply across various different industries, including the supply of plasma. It is possible that in the future, pandemics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Additionally, our supply contract with Grifols for the purchase of normal source plasma (“NSP”) expired on December 31, 2022. There can be no assurances that we will be able to obtain an adequate supply of NSP from other third-party suppliers or be able to collect NSP in the same quantities, or at all, through our ADMA BioCenters plasma collection facilities at a cost that is not higher than the price we paid to Grifols for NSP. If our costs to obtain NSP through collections at our ADMA BioCenters plasma collection facilities or from other third-party suppliers are higher than what we paid to Grifols under our supply contract, our liquidity and results of operations could be adversely impacted.</w:t>
      </w:r>
    </w:p>
    <w:p>
      <w:pPr>
        <w:spacing w:after="0" w:line="176" w:lineRule="exact"/>
        <w:rPr>
          <w:sz w:val="20"/>
          <w:szCs w:val="20"/>
          <w:color w:val="auto"/>
        </w:rPr>
      </w:pPr>
    </w:p>
    <w:p>
      <w:pPr>
        <w:jc w:val="both"/>
        <w:ind w:right="280"/>
        <w:spacing w:after="0" w:line="340" w:lineRule="auto"/>
        <w:rPr>
          <w:sz w:val="20"/>
          <w:szCs w:val="20"/>
          <w:color w:val="auto"/>
        </w:rPr>
      </w:pPr>
      <w:r>
        <w:rPr>
          <w:rFonts w:ascii="Arial" w:cs="Arial" w:eastAsia="Arial" w:hAnsi="Arial"/>
          <w:sz w:val="15"/>
          <w:szCs w:val="15"/>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3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ability to generate product revenues will be diminished if our products sell for inadequate prices or patients are unable to obtain adequate levels of insurance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biosimilar pathway established as part of healthcare reform may make it easier for competitors to market biosimilar products.</w:t>
      </w:r>
    </w:p>
    <w:p>
      <w:pPr>
        <w:spacing w:after="0" w:line="225"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a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The FDA approved the first biosimilar product in 2015 and has since approved a number of biosimilars. As a result of the biosimilar pathway in the U.S., we expect in the future to face greater competition from biosimilar products, including a possible increase in patent challenges.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Healthcare Reform Law in the U.S. may adversely affect our business.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plus the inflation penalty if applicable. Effective January 1, 2010, the Healthcare Reform Law generally increased the size of the Medicaid rebates paid by manufacturers for single source and innovator multiple source (brand name) drug products from a minimum of 15.1% to a minimum of 23.1% of AMP, subject to certain exceptions, plus the inflation penalty if applicable. For non-innovator multiple source (generic) products, the rebate percentage was increased from a minimum of 11.0% to a minimum of 13.0% of AMP, and the Bipartisan Budget Act of 2015 established a new inflation penalty for these drugs. In 2010, the Healthcare Reform Law also newly extended the Medicaid drug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 and recent regulations have established a civil monetary penalty for failure to refund these overcharges.</w:t>
      </w:r>
    </w:p>
    <w:p>
      <w:pPr>
        <w:spacing w:after="0" w:line="18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w:t>
      </w:r>
    </w:p>
    <w:p>
      <w:pPr>
        <w:spacing w:after="0" w:line="184"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Healthcare Reform Law also created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now equal to 70%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There have been repeated legal challenges and attempts by Congress to repeal or change the Healthcare Reform Law and the possibility of future challenges or legislative changes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w:t>
      </w:r>
    </w:p>
    <w:p>
      <w:pPr>
        <w:spacing w:after="0" w:line="1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Corporate responsibility, specifically related to Environmental, Social and Governance (“ESG”) matters, may impose additional costs and expose us to new risks.</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Board diversity is an ESG topic that is, in particular, receiving heightened attention by investors, stockholders, lawmakers and listing exchanges. Certain states have passed laws requiring companies to meet certain gender and ethnic diversity requirements on their boards of directors. We may face reputational damage in the event our corporate responsibility initiatives or objectives, including with respect to board diversity, do not meet the standards set by our investors, stockholders, lawmakers, listing exchanges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Capital Requirements and Other Financial Matters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We may require additional funding and may be unable to raise capital when needed, which would adversely affect our operations and could force us to delay, curtail or eliminate some of our commercialization efforts or one or more of our research and development programs.</w:t>
      </w:r>
    </w:p>
    <w:p>
      <w:pPr>
        <w:spacing w:after="0" w:line="124"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Although we generated positive cash flow from operations for the three months ended September 30, 2023, our operations have consumed substantial amounts of cash since inception. For the nine months ended September 30, 2023 and 2022, we had negative cash flows from operations of $8.8 million and $52.1 million, respectively, and for the years ended December 31, 2022 and 2021, we had negative cash flows from operations of approximately $59.5 million and $112.4 million, respectively. We expect to continue to spend substantial amounts for collecting plasma at our plasma collection centers, maintaining our plasma centers, procurement of raw material plasma and other raw materials necessary to scale up our manufacturing operations, commercial product launches and capacity expansion at the Boca Facility. In addition, our end-to-end production cycle from collecting and procuring raw material source plasma to commercial release of finished product can take between seven and 12 months or potentially longer, requiring substantial investments in raw material plasma and other manufacturing materials. Although we achieved net income of $2.6 million for the three months ended September 30, 2023, at present we cannot be certain that we will be able to generate a sufficient amount of product revenue to maintain profitability on an ongoing basis. If we are unable to continue to generate positive cash flow throughout fiscal 2024, we may need to continue to finance our operations through additional equity or debt financings or corporate collaboration and licensing agreements. We currently anticipate, based upon our projected revenue and expenditures, that our current cash, cash equivalents and accounts receivable will be sufficient to fund our operations, as currently conducted, through the end of fiscal 2024, during which time we believe we will continue to generate positive cash flow from operations. Our current outlook with respect to cash flows and profitability may change based upon how effective we are in continuing to execute on our commercialization efforts and operational initiatives and whether or not the assumptions underlying our projected revenues and expenses are correct. If we are required to raise additional capital and if such capital is not available due to widespread liquidity constraints or significant market instability that could result from the COVID-19 pandemic or from other widespread economic or geopolitical conditions, we will have to delay, curtail or eliminate our commercialization efforts or our product development activities.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cash available to us in amounts sufficient to enable us to make interest or principal payments on our indebtedness when due.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Hayfin Credit Facility provides for a senior secured term loan facility in an aggregate principal amount of up to $175.0 million, of which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$150.0 million has been drawn down and is currently outstanding. Borrowings under the Hayfin Credit Facility currently bear interest at a rate per annum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equal to 8.5% plus the greater of (i) one or three-month SOFR as we elect and (ii) 1.25%, as more fully described in “Liquidity and Capital Resources”;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however, that upon, and during the continuance of, an Event of Default, the interest rate will automatically increase by an additional 300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points. We are currently required to make monthly payments of interest during the term of the Hayfin Credit Facility of approximately $1.5 million, with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and unpaid interest due at maturity. In addition, our monthly interest rate obligation is subject to rising interest rates. The Hayfin Credit Facility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has a maturity date of March 23, 2027, subject to acceleration pursuant to the Hayfin Credit Agreement, including upon an Event of Default. All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obligations under the Hayfin Credit Facility are secured by a first-priority lien and security interest in substantially all of our and our subsidiaries’ tangible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intangible assets, including intellectual property, and all of the equity interests in our subsidiaries.</w:t>
      </w:r>
    </w:p>
    <w:p>
      <w:pPr>
        <w:spacing w:after="0" w:line="21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current cash, cash equivalents and accounts receivable may not be sufficient to repay all of our current outstanding debt obligations as they mature. If we are unable to achieve sufficient positive cash flow to repay our outstanding debt obligations as they mature, we will need to obtain additional financing in the amounts necessary to repay our outstanding debt obligations when due. If we are unable to repay our outstanding debt obligations when they mature, our creditors would be able to accelerate all of the amounts due and, in the case of the Hayfin Credit Facility, seek to enforce their security interests, which could lead to our creditors taking immediate possession of and selling substantially all of our assets with no return provided to our stockholders.</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cash and cash equivalents could be adversely affected if the financial institutions in which we hold our cash and cash equivalents fail.</w:t>
      </w:r>
    </w:p>
    <w:p>
      <w:pPr>
        <w:spacing w:after="0" w:line="23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in the future, our ability to produce accurate and timely financial statements could be impaired, which could result in investors losing confidence in the accuracy and completeness of our financial statements, harm our operating results and negatively affect the market price of our common stock.</w:t>
      </w:r>
    </w:p>
    <w:p>
      <w:pPr>
        <w:spacing w:after="0" w:line="18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Pursuant to Section 404 of the Sarbanes-Oxley Act of 2002 and related rules (the “Sarbanes-Oxley Act”), we are required to maintain internal control over financial reporting and our management is required to report on the effectiveness of our internal control over financial reporting, including any material weaknesses in such internal controls.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9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Because we will become a large accelerated filer effective December 31, 2023, the Sarbanes-Oxley Act requires our independent registered public accounting firm to attest to the effectiveness of our internal control over financial reporting. Our transition to large accelerated filer status and becoming subject to additional requirements of the Sarbanes-Oxley Act will be time-consuming, and there is a risk of noncompliance. Further, the costs associated with the compliance with and implementation of procedures under these and future laws and related rules could have a material impact on our results of operations.</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related to the Sarbanes-Oxley Act. Moreover, if we have a material weakness in our internal control over financial reporting, we may not detect errors on a timely basis and our financial statements may be materially misstated. If we identify material weaknesses in our internal control over financial reporting, if we are unable to comply with the requirements of Section 404 of the Sarbanes-Oxley Act in a timely manner, if we are unable to assert that our internal controls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In addition, we could become subject to investigations by any stock exchange on which our securities are listed, the SEC or other regulatory authorities, which could require additional financial and management resources, which could have an adverse impact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(“NOLs”) may be limited.</w:t>
      </w:r>
    </w:p>
    <w:p>
      <w:pPr>
        <w:spacing w:after="0" w:line="225"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We have incurred substantial losses during our history. As of December 31, 2022, we had federal and state NOLs of $334.5 million and $211.7 million, respectively. Federal and State NOLs of approximately $55.2 million and $91.8 million, respectively, will begin to expire at various dates beginning in 2027,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imposes limitations on a company’s ability to use NOLs upon certain changes in such ownership. If we are limited in our ability to use our NOLs in future years in which we have taxable income, we will pay more taxes than if we were able to fully utilize our NOLs. The acquisition transaction that we completed on June 6, 2017 resulted in a change in ownership of ADMA under Section 382 and, as a result, we were required to write off $57.6 million of federal NOLs. On October 25, 2021, we completed a public offering of our common stock whereby we issued 57,500,000 shares of our common stock resulting in another change of ownership for ADMA under section 382 of the Code, resulting in an additional write-off of $3.0 million of federal NOLs, $28.1 million of state NOLs and $1.0 million of research and development credits. We may experience ownership changes in the future as a result of subsequent changes in our stock ownership that we cannot predict or control that could result in further limitations being placed on our ability to utilize our federal NOLs.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and may fluctuate in a way that is disproportionate to our operating performance.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uncertainties in the equity markets related to the effects of the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 or failure in initiating or completing preclinical or clinical trials or unsatisfactory results of these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 in a decision by federal, state or local business regulatory authority;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acceptance, third-party reimbursement and sales of BIVIGAM and ASCENIV;</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about us or about our competitors, including clinical trial results, regulatory approvals or new product introductions;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concerning our licensors or third-party vendors;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overall market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global and economic uncertainty;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in securities analysts’ estimates of our performance, or our failure to meet analysts’ expectations.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affect the market price of our common stock.</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November 3, 2023, most of our 225,967,668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1" w:name="page72"/>
    <w:bookmarkEnd w:id="7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b w:val="1"/>
          <w:bCs w:val="1"/>
          <w:i w:val="1"/>
          <w:iCs w:val="1"/>
          <w:color w:val="auto"/>
        </w:rPr>
        <w:t>Our affiliates control a substantial amount of our shares of common stock. Provisions in our Second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49"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As of September 30, 2023, BlackRock Inc., Vanguard Group, Perceptive Advisors and our directors and executive officers and their affiliates owned approximately 20%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6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Hayfin Credit Agreement prohibits us from paying dividends. As a result, capital appreciation, if any, of our common stock will be your sole source of gain for the foreseeable future.</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18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2" w:name="page73"/>
    <w:bookmarkEnd w:id="7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affect your ability to sell our common stock.</w:t>
      </w:r>
    </w:p>
    <w:p>
      <w:pPr>
        <w:spacing w:after="0" w:line="225" w:lineRule="exact"/>
        <w:rPr>
          <w:sz w:val="20"/>
          <w:szCs w:val="20"/>
          <w:color w:val="auto"/>
        </w:rPr>
      </w:pPr>
    </w:p>
    <w:p>
      <w:pPr>
        <w:ind w:right="220" w:firstLine="648"/>
        <w:spacing w:after="0" w:line="289" w:lineRule="auto"/>
        <w:rPr>
          <w:sz w:val="20"/>
          <w:szCs w:val="20"/>
          <w:color w:val="auto"/>
        </w:rPr>
      </w:pPr>
      <w:r>
        <w:rPr>
          <w:rFonts w:ascii="Arial" w:cs="Arial" w:eastAsia="Arial" w:hAnsi="Arial"/>
          <w:sz w:val="16"/>
          <w:szCs w:val="16"/>
          <w:color w:val="auto"/>
        </w:rPr>
        <w:t>Because the price of our common stock currently trades below $5.00 per share, our common stock is subject to Rule 15g-9 under the Exchange Act, which imposes additional sales practice requirements on broker-dealers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300,000,000 shares of common stock. As of September 30, 2023, there were 30,952,297 shares remaining available for issuance, after giving effect to 23,221,629 shares of our common stock that were subject to outstanding stock options, RSUs and warrants as of September 30, 2023 that may be issued by us without stockholder approval, as well as an additional 19,867,990 shares reserved for the future issuance of awards under our equity compensation plans.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directors and executive officers may from time to time enter into plans or other arrangements for the purchase or sale of our common stock that are intended to satisfy the affirmative defense conditions of Rule 10b5-1(c) or may represent a non-Rule 10b5-1 trading arrangement under the Exchange Act. During the quarter ended September 30, 2023, no such plans or other arrangements were adopted or terminated.</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following the signature page of this Quarterly Report on Form 10-Q.</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ADMA Biologics, Inc.</w:t>
      </w:r>
    </w:p>
    <w:p>
      <w:pPr>
        <w:spacing w:after="0" w:line="229" w:lineRule="exact"/>
        <w:rPr>
          <w:sz w:val="20"/>
          <w:szCs w:val="20"/>
          <w:color w:val="auto"/>
        </w:rPr>
      </w:pPr>
    </w:p>
    <w:p>
      <w:pPr>
        <w:spacing w:after="0"/>
        <w:tabs>
          <w:tab w:leader="none" w:pos="82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2023</w:t>
      </w:r>
      <w:r>
        <w:rPr>
          <w:sz w:val="20"/>
          <w:szCs w:val="20"/>
          <w:color w:val="auto"/>
        </w:rPr>
        <w:tab/>
      </w:r>
      <w:r>
        <w:rPr>
          <w:rFonts w:ascii="Arial" w:cs="Arial" w:eastAsia="Arial" w:hAnsi="Arial"/>
          <w:sz w:val="16"/>
          <w:szCs w:val="16"/>
          <w:color w:val="auto"/>
        </w:rPr>
        <w:t>By: /s/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Adam S. Grossman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spacing w:after="0"/>
        <w:tabs>
          <w:tab w:leader="none" w:pos="82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2023</w:t>
      </w:r>
      <w:r>
        <w:rPr>
          <w:sz w:val="20"/>
          <w:szCs w:val="20"/>
          <w:color w:val="auto"/>
        </w:rPr>
        <w:tab/>
      </w:r>
      <w:r>
        <w:rPr>
          <w:rFonts w:ascii="Arial" w:cs="Arial" w:eastAsia="Arial" w:hAnsi="Arial"/>
          <w:sz w:val="17"/>
          <w:szCs w:val="17"/>
          <w:color w:val="auto"/>
        </w:rPr>
        <w:t>By: /s/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Brian Lenz</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395"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22" w:right="6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1440" w:type="dxa"/>
            <w:vAlign w:val="bottom"/>
            <w:gridSpan w:val="5"/>
          </w:tcPr>
          <w:p>
            <w:pPr>
              <w:spacing w:after="0"/>
              <w:rPr>
                <w:sz w:val="20"/>
                <w:szCs w:val="20"/>
                <w:color w:val="auto"/>
              </w:rPr>
            </w:pPr>
            <w:r>
              <w:rPr>
                <w:rFonts w:ascii="Arial" w:cs="Arial" w:eastAsia="Arial" w:hAnsi="Arial"/>
                <w:sz w:val="14"/>
                <w:szCs w:val="14"/>
                <w:i w:val="1"/>
                <w:iCs w:val="1"/>
                <w:color w:val="0000EE"/>
              </w:rPr>
              <w:t>Index</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700" w:type="dxa"/>
            <w:vAlign w:val="bottom"/>
          </w:tcPr>
          <w:p>
            <w:pPr>
              <w:spacing w:after="0"/>
              <w:rPr>
                <w:sz w:val="14"/>
                <w:szCs w:val="14"/>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00" w:type="dxa"/>
            <w:vAlign w:val="bottom"/>
          </w:tcPr>
          <w:p>
            <w:pPr>
              <w:ind w:left="238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440" w:type="dxa"/>
            <w:vAlign w:val="bottom"/>
            <w:gridSpan w:val="5"/>
          </w:tcPr>
          <w:p>
            <w:pPr>
              <w:spacing w:after="0"/>
              <w:rPr>
                <w:sz w:val="20"/>
                <w:szCs w:val="20"/>
                <w:color w:val="auto"/>
              </w:rPr>
            </w:pPr>
            <w:r>
              <w:rPr>
                <w:rFonts w:ascii="Arial" w:cs="Arial" w:eastAsia="Arial" w:hAnsi="Arial"/>
                <w:sz w:val="18"/>
                <w:szCs w:val="18"/>
                <w:color w:val="auto"/>
              </w:rPr>
              <w:t>Exhibit Number</w:t>
            </w: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Description</w:t>
            </w:r>
          </w:p>
        </w:tc>
      </w:tr>
      <w:tr>
        <w:trPr>
          <w:trHeight w:val="21"/>
        </w:trPr>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175"/>
        </w:trPr>
        <w:tc>
          <w:tcPr>
            <w:tcW w:w="5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0" w:type="dxa"/>
            <w:vAlign w:val="bottom"/>
            <w:gridSpan w:val="3"/>
            <w:shd w:val="clear" w:color="auto" w:fill="CCEEFF"/>
          </w:tcPr>
          <w:p>
            <w:pPr>
              <w:ind w:left="260"/>
              <w:spacing w:after="0" w:line="176" w:lineRule="exact"/>
              <w:rPr>
                <w:sz w:val="20"/>
                <w:szCs w:val="20"/>
                <w:color w:val="auto"/>
              </w:rPr>
            </w:pPr>
            <w:r>
              <w:rPr>
                <w:rFonts w:ascii="Arial" w:cs="Arial" w:eastAsia="Arial" w:hAnsi="Arial"/>
                <w:sz w:val="18"/>
                <w:szCs w:val="18"/>
                <w:color w:val="auto"/>
                <w:w w:val="93"/>
              </w:rPr>
              <w:t>Certification of Principal Executive Officer pursuant to Rules 13a-14(a) and 15d-14(a), as adopted pursuant to Section 302 of the</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9800" w:type="dxa"/>
            <w:vAlign w:val="bottom"/>
            <w:tcBorders>
              <w:top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Sarbanes-Oxley Act of 2002.</w:t>
            </w:r>
          </w:p>
        </w:tc>
      </w:tr>
      <w:tr>
        <w:trPr>
          <w:trHeight w:val="176"/>
        </w:trPr>
        <w:tc>
          <w:tcPr>
            <w:tcW w:w="500" w:type="dxa"/>
            <w:vAlign w:val="bottom"/>
            <w:gridSpan w:val="3"/>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0" w:type="dxa"/>
            <w:vAlign w:val="bottom"/>
            <w:gridSpan w:val="3"/>
          </w:tcPr>
          <w:p>
            <w:pPr>
              <w:ind w:left="260"/>
              <w:spacing w:after="0" w:line="176" w:lineRule="exact"/>
              <w:rPr>
                <w:sz w:val="20"/>
                <w:szCs w:val="20"/>
                <w:color w:val="auto"/>
              </w:rPr>
            </w:pPr>
            <w:r>
              <w:rPr>
                <w:rFonts w:ascii="Arial" w:cs="Arial" w:eastAsia="Arial" w:hAnsi="Arial"/>
                <w:sz w:val="18"/>
                <w:szCs w:val="18"/>
                <w:color w:val="auto"/>
                <w:w w:val="93"/>
              </w:rPr>
              <w:t>Certification of Principal Financial Officer pursuant to Rules 13a-14(a) and 15d-14(a), as adopted pursuant to Section 302 of the</w:t>
            </w:r>
          </w:p>
        </w:tc>
      </w:tr>
      <w:tr>
        <w:trPr>
          <w:trHeight w:val="236"/>
        </w:trPr>
        <w:tc>
          <w:tcPr>
            <w:tcW w:w="3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Sarbanes-Oxley Act of 2002.</w:t>
            </w:r>
          </w:p>
        </w:tc>
      </w:tr>
      <w:tr>
        <w:trPr>
          <w:trHeight w:val="176"/>
        </w:trPr>
        <w:tc>
          <w:tcPr>
            <w:tcW w:w="11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260" w:type="dxa"/>
            <w:vAlign w:val="bottom"/>
            <w:shd w:val="clear" w:color="auto" w:fill="CCEEFF"/>
          </w:tcPr>
          <w:p>
            <w:pPr>
              <w:spacing w:after="0"/>
              <w:rPr>
                <w:sz w:val="15"/>
                <w:szCs w:val="15"/>
                <w:color w:val="auto"/>
              </w:rPr>
            </w:pPr>
          </w:p>
        </w:tc>
        <w:tc>
          <w:tcPr>
            <w:tcW w:w="9800" w:type="dxa"/>
            <w:vAlign w:val="bottom"/>
            <w:gridSpan w:val="3"/>
            <w:shd w:val="clear" w:color="auto" w:fill="CCEEFF"/>
          </w:tcPr>
          <w:p>
            <w:pPr>
              <w:ind w:left="260"/>
              <w:spacing w:after="0" w:line="176" w:lineRule="exact"/>
              <w:rPr>
                <w:sz w:val="20"/>
                <w:szCs w:val="20"/>
                <w:color w:val="auto"/>
              </w:rPr>
            </w:pPr>
            <w:r>
              <w:rPr>
                <w:rFonts w:ascii="Arial" w:cs="Arial" w:eastAsia="Arial" w:hAnsi="Arial"/>
                <w:sz w:val="18"/>
                <w:szCs w:val="18"/>
                <w:color w:val="auto"/>
                <w:w w:val="91"/>
              </w:rPr>
              <w:t>Certification of Principal Executive Officer pursuant to 18 U.S.C Section 1350, as adopted pursuant to Section 906 of the Sarbanes-</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9800" w:type="dxa"/>
            <w:vAlign w:val="bottom"/>
            <w:tcBorders>
              <w:top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Oxley Act of 2002.</w:t>
            </w:r>
          </w:p>
        </w:tc>
      </w:tr>
      <w:tr>
        <w:trPr>
          <w:trHeight w:val="175"/>
        </w:trPr>
        <w:tc>
          <w:tcPr>
            <w:tcW w:w="1180" w:type="dxa"/>
            <w:vAlign w:val="bottom"/>
            <w:gridSpan w:val="4"/>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260" w:type="dxa"/>
            <w:vAlign w:val="bottom"/>
          </w:tcPr>
          <w:p>
            <w:pPr>
              <w:spacing w:after="0"/>
              <w:rPr>
                <w:sz w:val="15"/>
                <w:szCs w:val="15"/>
                <w:color w:val="auto"/>
              </w:rPr>
            </w:pPr>
          </w:p>
        </w:tc>
        <w:tc>
          <w:tcPr>
            <w:tcW w:w="9800" w:type="dxa"/>
            <w:vAlign w:val="bottom"/>
            <w:gridSpan w:val="3"/>
          </w:tcPr>
          <w:p>
            <w:pPr>
              <w:ind w:left="260"/>
              <w:spacing w:after="0" w:line="176" w:lineRule="exact"/>
              <w:rPr>
                <w:sz w:val="20"/>
                <w:szCs w:val="20"/>
                <w:color w:val="auto"/>
              </w:rPr>
            </w:pPr>
            <w:r>
              <w:rPr>
                <w:rFonts w:ascii="Arial" w:cs="Arial" w:eastAsia="Arial" w:hAnsi="Arial"/>
                <w:sz w:val="18"/>
                <w:szCs w:val="18"/>
                <w:color w:val="auto"/>
                <w:w w:val="91"/>
              </w:rPr>
              <w:t>Certification of Principal Financial Officer pursuant to 18 U.S.C Section 1350, as adopted pursuant to Section 906 of the Sarbanes-</w:t>
            </w:r>
          </w:p>
        </w:tc>
      </w:tr>
      <w:tr>
        <w:trPr>
          <w:trHeight w:val="237"/>
        </w:trPr>
        <w:tc>
          <w:tcPr>
            <w:tcW w:w="3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Oxley Act of 2002.</w:t>
            </w:r>
          </w:p>
        </w:tc>
      </w:tr>
      <w:tr>
        <w:trPr>
          <w:trHeight w:val="202"/>
        </w:trPr>
        <w:tc>
          <w:tcPr>
            <w:tcW w:w="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The following materials from ADMA Biologics, Inc.’s Form 10-Q for the quarter ended September 30 2023, formatted in</w:t>
            </w: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8"/>
              </w:rPr>
              <w:t>Extensible Business Reporting Language (XBRL): (i) Condensed Consolidated Balance Sheets as of September 30, 2023</w:t>
            </w: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1"/>
              </w:rPr>
              <w:t>(Unaudited) and December 31, 2022, (ii) Condensed Consolidated Statements of Operations (Unaudited) for the three months and</w:t>
            </w: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3"/>
              </w:rPr>
              <w:t>nine months ended September 30, 2023 and 2022, (iii) Condensed Consolidated Statements of Changes in Stockholders' Equity</w:t>
            </w: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1"/>
              </w:rPr>
              <w:t>(Unaudited) for the three and nine months ended September 30, 2023 and 2022, (iv) Condensed Consolidated Statements of Cash</w:t>
            </w: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0"/>
              </w:rPr>
              <w:t>Flows (Unaudited) for the nine months ended September 30, 2023 and 2022, and (v) Notes to (Unaudited) Condensed Consolidated</w:t>
            </w: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Financial Statements.</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7830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 accordance with SEC Release 33-8238, Exhibit 32.1 and 32.2 are being furnished and not filed.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Adam S. Grossman, certify that:</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140" w:hanging="322"/>
        <w:spacing w:after="0" w:line="342" w:lineRule="auto"/>
        <w:tabs>
          <w:tab w:leader="none" w:pos="11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40" w:hanging="322"/>
        <w:spacing w:after="0" w:line="263"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hanging="322"/>
        <w:spacing w:after="0" w:line="308" w:lineRule="auto"/>
        <w:tabs>
          <w:tab w:leader="none" w:pos="11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322"/>
        <w:spacing w:after="0" w:line="277"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Date: November 8, 2023</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202"/>
        </w:trPr>
        <w:tc>
          <w:tcPr>
            <w:tcW w:w="3720" w:type="dxa"/>
            <w:vAlign w:val="bottom"/>
          </w:tcPr>
          <w:p>
            <w:pPr>
              <w:spacing w:after="0"/>
              <w:rPr>
                <w:sz w:val="17"/>
                <w:szCs w:val="17"/>
                <w:color w:val="auto"/>
              </w:rPr>
            </w:pPr>
          </w:p>
        </w:tc>
        <w:tc>
          <w:tcPr>
            <w:tcW w:w="248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Adam S. Grossman</w:t>
            </w:r>
          </w:p>
        </w:tc>
      </w:tr>
      <w:tr>
        <w:trPr>
          <w:trHeight w:val="216"/>
        </w:trPr>
        <w:tc>
          <w:tcPr>
            <w:tcW w:w="3720" w:type="dxa"/>
            <w:vAlign w:val="bottom"/>
          </w:tcPr>
          <w:p>
            <w:pPr>
              <w:spacing w:after="0"/>
              <w:rPr>
                <w:sz w:val="18"/>
                <w:szCs w:val="18"/>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520"/>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0"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Lenz, certify that:</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140" w:hanging="322"/>
        <w:spacing w:after="0" w:line="342" w:lineRule="auto"/>
        <w:tabs>
          <w:tab w:leader="none" w:pos="11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40" w:hanging="322"/>
        <w:spacing w:after="0" w:line="263"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hanging="322"/>
        <w:spacing w:after="0" w:line="308" w:lineRule="auto"/>
        <w:tabs>
          <w:tab w:leader="none" w:pos="11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322"/>
        <w:spacing w:after="0" w:line="277"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Date: November 8, 2023</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202"/>
        </w:trPr>
        <w:tc>
          <w:tcPr>
            <w:tcW w:w="3720" w:type="dxa"/>
            <w:vAlign w:val="bottom"/>
          </w:tcPr>
          <w:p>
            <w:pPr>
              <w:spacing w:after="0"/>
              <w:rPr>
                <w:sz w:val="17"/>
                <w:szCs w:val="17"/>
                <w:color w:val="auto"/>
              </w:rPr>
            </w:pPr>
          </w:p>
        </w:tc>
        <w:tc>
          <w:tcPr>
            <w:tcW w:w="248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Brian Lenz</w:t>
            </w:r>
          </w:p>
        </w:tc>
      </w:tr>
      <w:tr>
        <w:trPr>
          <w:trHeight w:val="216"/>
        </w:trPr>
        <w:tc>
          <w:tcPr>
            <w:tcW w:w="3720" w:type="dxa"/>
            <w:vAlign w:val="bottom"/>
          </w:tcPr>
          <w:p>
            <w:pPr>
              <w:spacing w:after="0"/>
              <w:rPr>
                <w:sz w:val="18"/>
                <w:szCs w:val="18"/>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 (Principal</w:t>
            </w:r>
          </w:p>
        </w:tc>
      </w:tr>
      <w:tr>
        <w:trPr>
          <w:trHeight w:val="230"/>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Financial and Accounting Officer)</w:t>
            </w:r>
          </w:p>
        </w:tc>
      </w:tr>
      <w:tr>
        <w:trPr>
          <w:trHeight w:val="520"/>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0"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connection with the Quarterly Report of ADMA Biologics, Inc., a Delaware corporation (the “Company”), on Form 10-Q for the quarter ended September 30, 2023,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18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Date: November 8, 2023</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202"/>
        </w:trPr>
        <w:tc>
          <w:tcPr>
            <w:tcW w:w="3720" w:type="dxa"/>
            <w:vAlign w:val="bottom"/>
          </w:tcPr>
          <w:p>
            <w:pPr>
              <w:spacing w:after="0"/>
              <w:rPr>
                <w:sz w:val="17"/>
                <w:szCs w:val="17"/>
                <w:color w:val="auto"/>
              </w:rPr>
            </w:pPr>
          </w:p>
        </w:tc>
        <w:tc>
          <w:tcPr>
            <w:tcW w:w="248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Adam S. Grossman</w:t>
            </w:r>
          </w:p>
        </w:tc>
      </w:tr>
      <w:tr>
        <w:trPr>
          <w:trHeight w:val="216"/>
        </w:trPr>
        <w:tc>
          <w:tcPr>
            <w:tcW w:w="3720" w:type="dxa"/>
            <w:vAlign w:val="bottom"/>
          </w:tcPr>
          <w:p>
            <w:pPr>
              <w:spacing w:after="0"/>
              <w:rPr>
                <w:sz w:val="18"/>
                <w:szCs w:val="18"/>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520"/>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0"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connection with the Quarterly Report of ADMA Biologics, Inc., a Delaware corporation (the “Company”), on Form 10-Q for the quarter ended September 30, 2023, as filed with the Securities and Exchange Commission on the date hereof (the “Report”), I, Brian Lenz, Chief Financial Officer of the Company, hereby certify, pursuant to 18 U.S.C. § 1350, as adopted pursuant to Section 906 of the Sarbanes-Oxley Act of 2002, that to my knowledge:</w:t>
      </w:r>
    </w:p>
    <w:p>
      <w:pPr>
        <w:spacing w:after="0" w:line="14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Date: November 8, 2023</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202"/>
        </w:trPr>
        <w:tc>
          <w:tcPr>
            <w:tcW w:w="3720" w:type="dxa"/>
            <w:vAlign w:val="bottom"/>
          </w:tcPr>
          <w:p>
            <w:pPr>
              <w:spacing w:after="0"/>
              <w:rPr>
                <w:sz w:val="17"/>
                <w:szCs w:val="17"/>
                <w:color w:val="auto"/>
              </w:rPr>
            </w:pPr>
          </w:p>
        </w:tc>
        <w:tc>
          <w:tcPr>
            <w:tcW w:w="248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Brian Lenz</w:t>
            </w:r>
          </w:p>
        </w:tc>
      </w:tr>
      <w:tr>
        <w:trPr>
          <w:trHeight w:val="216"/>
        </w:trPr>
        <w:tc>
          <w:tcPr>
            <w:tcW w:w="3720" w:type="dxa"/>
            <w:vAlign w:val="bottom"/>
          </w:tcPr>
          <w:p>
            <w:pPr>
              <w:spacing w:after="0"/>
              <w:rPr>
                <w:sz w:val="18"/>
                <w:szCs w:val="18"/>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 (Principal</w:t>
            </w:r>
          </w:p>
        </w:tc>
      </w:tr>
      <w:tr>
        <w:trPr>
          <w:trHeight w:val="230"/>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Financial and Accounting Officer)</w:t>
            </w:r>
          </w:p>
        </w:tc>
      </w:tr>
      <w:tr>
        <w:trPr>
          <w:trHeight w:val="520"/>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1."/>
      <w:numFmt w:val="decimal"/>
      <w:start w:val="4"/>
    </w:lvl>
  </w:abstractNum>
  <w:abstractNum w:abstractNumId="7">
    <w:nsid w:val="333AB105"/>
    <w:multiLevelType w:val="hybridMultilevel"/>
    <w:lvl w:ilvl="0">
      <w:lvlJc w:val="left"/>
      <w:lvlText w:val="%1."/>
      <w:numFmt w:val="decimal"/>
      <w:start w:val="6"/>
    </w:lvl>
  </w:abstractNum>
  <w:abstractNum w:abstractNumId="8">
    <w:nsid w:val="721DA317"/>
    <w:multiLevelType w:val="hybridMultilevel"/>
    <w:lvl w:ilvl="0">
      <w:lvlJc w:val="left"/>
      <w:lvlText w:val="(%1)"/>
      <w:numFmt w:val="lowerRoman"/>
      <w:start w:val="2"/>
    </w:lvl>
  </w:abstractNum>
  <w:abstractNum w:abstractNumId="9">
    <w:nsid w:val="2443A858"/>
    <w:multiLevelType w:val="hybridMultilevel"/>
    <w:lvl w:ilvl="0">
      <w:lvlJc w:val="left"/>
      <w:lvlText w:val="%1."/>
      <w:numFmt w:val="decimal"/>
      <w:start w:val="8"/>
    </w:lvl>
  </w:abstractNum>
  <w:abstractNum w:abstractNumId="10">
    <w:nsid w:val="2D1D5AE9"/>
    <w:multiLevelType w:val="hybridMultilevel"/>
    <w:lvl w:ilvl="0">
      <w:lvlJc w:val="left"/>
      <w:lvlText w:val="%1."/>
      <w:numFmt w:val="decimal"/>
      <w:start w:val="9"/>
    </w:lvl>
  </w:abstractNum>
  <w:abstractNum w:abstractNumId="11">
    <w:nsid w:val="6763845E"/>
    <w:multiLevelType w:val="hybridMultilevel"/>
    <w:lvl w:ilvl="0">
      <w:lvlJc w:val="left"/>
      <w:lvlText w:val="%1."/>
      <w:numFmt w:val="decimal"/>
      <w:start w:val="10"/>
    </w:lvl>
  </w:abstractNum>
  <w:abstractNum w:abstractNumId="12">
    <w:nsid w:val="75A2A8D4"/>
    <w:multiLevelType w:val="hybridMultilevel"/>
    <w:lvl w:ilvl="0">
      <w:lvlJc w:val="left"/>
      <w:lvlText w:val="%1."/>
      <w:numFmt w:val="decimal"/>
      <w:start w:val="11"/>
    </w:lvl>
  </w:abstractNum>
  <w:abstractNum w:abstractNumId="13">
    <w:nsid w:val="8EDBDAB"/>
    <w:multiLevelType w:val="hybridMultilevel"/>
    <w:lvl w:ilvl="0">
      <w:lvlJc w:val="left"/>
      <w:lvlText w:val="%1."/>
      <w:numFmt w:val="decimal"/>
      <w:start w:val="13"/>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2023-11-08T16:09:13Z</dcterms:created>
  <dcterms:modified xsi:type="dcterms:W3CDTF">2023-11-08T16:09:13Z</dcterms:modified>
</cp:coreProperties>
</file>