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20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1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8"/>
                <w:szCs w:val="18"/>
                <w:color w:val="auto"/>
                <w:w w:val="89"/>
              </w:rPr>
              <w:t>Delaware</w:t>
            </w:r>
          </w:p>
        </w:tc>
        <w:tc>
          <w:tcPr>
            <w:tcW w:w="4720" w:type="dxa"/>
            <w:vAlign w:val="bottom"/>
            <w:gridSpan w:val="6"/>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5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19"/>
                <w:szCs w:val="19"/>
                <w:color w:val="auto"/>
              </w:rPr>
            </w:pPr>
          </w:p>
        </w:tc>
        <w:tc>
          <w:tcPr>
            <w:tcW w:w="3600" w:type="dxa"/>
            <w:vAlign w:val="bottom"/>
            <w:gridSpan w:val="5"/>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720" w:type="dxa"/>
            <w:vAlign w:val="bottom"/>
          </w:tcPr>
          <w:p>
            <w:pPr>
              <w:spacing w:after="0"/>
              <w:rPr>
                <w:sz w:val="20"/>
                <w:szCs w:val="20"/>
                <w:color w:val="auto"/>
              </w:rPr>
            </w:pPr>
          </w:p>
        </w:tc>
        <w:tc>
          <w:tcPr>
            <w:tcW w:w="3780" w:type="dxa"/>
            <w:vAlign w:val="bottom"/>
            <w:gridSpan w:val="4"/>
          </w:tcPr>
          <w:p>
            <w:pPr>
              <w:jc w:val="center"/>
              <w:ind w:right="820"/>
              <w:spacing w:after="0"/>
              <w:rPr>
                <w:sz w:val="20"/>
                <w:szCs w:val="20"/>
                <w:color w:val="auto"/>
              </w:rPr>
            </w:pPr>
            <w:r>
              <w:rPr>
                <w:rFonts w:ascii="Arial" w:cs="Arial" w:eastAsia="Arial" w:hAnsi="Arial"/>
                <w:sz w:val="18"/>
                <w:szCs w:val="18"/>
                <w:color w:val="auto"/>
                <w:w w:val="92"/>
              </w:rPr>
              <w:t>Organization)</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720" w:type="dxa"/>
            <w:vAlign w:val="bottom"/>
          </w:tcPr>
          <w:p>
            <w:pPr>
              <w:spacing w:after="0"/>
              <w:rPr>
                <w:sz w:val="24"/>
                <w:szCs w:val="24"/>
                <w:color w:val="auto"/>
              </w:rPr>
            </w:pPr>
          </w:p>
        </w:tc>
        <w:tc>
          <w:tcPr>
            <w:tcW w:w="3780" w:type="dxa"/>
            <w:vAlign w:val="bottom"/>
            <w:gridSpan w:val="4"/>
          </w:tcPr>
          <w:p>
            <w:pPr>
              <w:jc w:val="center"/>
              <w:ind w:right="820"/>
              <w:spacing w:after="0"/>
              <w:rPr>
                <w:sz w:val="20"/>
                <w:szCs w:val="20"/>
                <w:color w:val="auto"/>
              </w:rPr>
            </w:pPr>
            <w:r>
              <w:rPr>
                <w:rFonts w:ascii="Arial" w:cs="Arial" w:eastAsia="Arial" w:hAnsi="Arial"/>
                <w:sz w:val="18"/>
                <w:szCs w:val="18"/>
                <w:color w:val="auto"/>
                <w:w w:val="88"/>
              </w:rPr>
              <w:t>465 State Route 17, Ramsey, New Jersey</w:t>
            </w:r>
          </w:p>
        </w:tc>
        <w:tc>
          <w:tcPr>
            <w:tcW w:w="3840" w:type="dxa"/>
            <w:vAlign w:val="bottom"/>
            <w:gridSpan w:val="5"/>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392"/>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u w:val="single" w:color="auto"/>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81" w:lineRule="exact"/>
        <w:rPr>
          <w:sz w:val="24"/>
          <w:szCs w:val="24"/>
          <w:color w:val="auto"/>
        </w:rPr>
      </w:pPr>
    </w:p>
    <w:p>
      <w:pPr>
        <w:ind w:left="13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Accelerated filer</w:t>
        <w:tab/>
        <w:t>ý</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ý</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4">
            <w:col w:w="3000" w:space="80"/>
            <w:col w:w="3860" w:space="720"/>
            <w:col w:w="1980" w:space="180"/>
            <w:col w:w="1600"/>
          </w:cols>
          <w:pgMar w:left="240" w:top="468" w:right="239" w:bottom="1440" w:gutter="0" w:footer="0" w:header="0"/>
          <w:type w:val="continuous"/>
        </w:sectPr>
      </w:pPr>
    </w:p>
    <w:p>
      <w:pPr>
        <w:spacing w:after="0" w:line="34"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7, 2019, there were 46,380,306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6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rPr>
              <w:t>ADMA BIOLOGICS, INC. AND SUBSIDIARIES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6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2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2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2019 (Unaudited) and December 31, 2018</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20" w:type="dxa"/>
            <w:vAlign w:val="bottom"/>
            <w:gridSpan w:val="17"/>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Operations (Unaudited) for the Three Months Ended March 31, 2019 and 2018</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20" w:type="dxa"/>
            <w:vAlign w:val="bottom"/>
            <w:gridSpan w:val="17"/>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Changes in Stockholders’ Equity (Unaudited) for the Three Months Ended March 31,</w:t>
              </w:r>
            </w:hyperlink>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2019 and 2018</w:t>
              </w:r>
            </w:hyperlink>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20" w:type="dxa"/>
            <w:vAlign w:val="bottom"/>
            <w:gridSpan w:val="17"/>
          </w:tcPr>
          <w:p>
            <w:pPr>
              <w:spacing w:after="0" w:line="17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Cash Flows (Unaudited) for the Three Months Ended March 31, 2019 and 2018</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2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44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5020" w:type="dxa"/>
            <w:vAlign w:val="bottom"/>
            <w:tcBorders>
              <w:bottom w:val="single" w:sz="8" w:color="CCEEFF"/>
            </w:tcBorders>
            <w:gridSpan w:val="7"/>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PART II OTHER INFORMATION</w:t>
              </w:r>
            </w:hyperlink>
          </w:p>
        </w:tc>
        <w:tc>
          <w:tcPr>
            <w:tcW w:w="8300" w:type="dxa"/>
            <w:vAlign w:val="bottom"/>
            <w:tcBorders>
              <w:bottom w:val="single" w:sz="8" w:color="CCEEFF"/>
            </w:tcBorders>
            <w:gridSpan w:val="1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420" w:type="dxa"/>
            <w:vAlign w:val="bottom"/>
            <w:gridSpan w:val="17"/>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17"/>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4.</w:t>
            </w:r>
          </w:p>
        </w:tc>
        <w:tc>
          <w:tcPr>
            <w:tcW w:w="23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7060" w:type="dxa"/>
            <w:vAlign w:val="bottom"/>
            <w:tcBorders>
              <w:top w:val="single" w:sz="8" w:color="CCEEFF"/>
            </w:tcBorders>
            <w:gridSpan w:val="9"/>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Other Information.</w:t>
              </w:r>
            </w:hyperlink>
          </w:p>
        </w:tc>
        <w:tc>
          <w:tcPr>
            <w:tcW w:w="8060" w:type="dxa"/>
            <w:vAlign w:val="bottom"/>
            <w:tcBorders>
              <w:bottom w:val="single" w:sz="8" w:color="CCEEFF"/>
            </w:tcBorders>
            <w:gridSpan w:val="1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6.</w:t>
            </w:r>
          </w:p>
        </w:tc>
        <w:tc>
          <w:tcPr>
            <w:tcW w:w="9420" w:type="dxa"/>
            <w:vAlign w:val="bottom"/>
            <w:gridSpan w:val="17"/>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00" w:type="dxa"/>
            <w:vAlign w:val="bottom"/>
            <w:gridSpan w:val="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the federal securities laws. These statements include, among others, statements about:</w:t>
      </w:r>
    </w:p>
    <w:p>
      <w:pPr>
        <w:spacing w:after="0" w:line="387" w:lineRule="exact"/>
        <w:rPr>
          <w:sz w:val="20"/>
          <w:szCs w:val="20"/>
          <w:color w:val="auto"/>
        </w:rPr>
      </w:pPr>
    </w:p>
    <w:p>
      <w:pPr>
        <w:ind w:left="660" w:right="24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resume the manufacturing of BIVIGAM on a commercial scale and commercialize this product once the deficiencies identified in a November 2014 warning letter (the “Warning Letter”) with respect to the outstanding issues at the plasma fractionation facility in Boca Raton, FL have been resolved by us to the satisfaction of the U.S. Food and Drug Administration (the “FDA”), as well as a positive review of the optimized manufacturing process under a Prior Approval Supplement by the FDA and our ability to adequately address the FDA’s questions and information request contained in a Complete Response Letter received by us on December 19, 2018;</w:t>
      </w:r>
    </w:p>
    <w:p>
      <w:pPr>
        <w:spacing w:after="0" w:line="199"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own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and related-party customers and vendors and their compliance with regulatory bodies;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ASCENIV, for any purpose by physicians, patients or payers;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clinical trials;</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ASCENIV and BIVIGAM to provide meaningful clinical improvement for patients living with Primary Immune Deficiency Disease or other immune deficiencies;</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97"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manufacturing, supply and other collaborative agreements;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and availability of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possible or likely reimbursement levels for our currently marketed products and, if any, if and when BIVIGAM is approved for marketing;</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of our existing products as well as our expectations of market acceptance of ASCENIV;</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These statements may be found under the “Risk Factors“ and “Management’s Discussion and Analysis of Financial Condition and Results of Operations” sections of this Quarterly Report on Form 10-Q. Forward-looking statements typically are identified by the use of terms such as “anticipates,” “believes,” “can,” “continue,” “could,” “estimates,” “expects,” “intends,” “may,” “plans,” “potential,” “predicts,” “should,” or “will” or the negative thereof or other variations thereof or comparable terminology. You should be aware that our actual results could differ materially from those contained in the forward-looking statements due to the factors referenced above. Any forward-looking statement included or incorporated by reference in this Quarterly Report on Form 10-Q reflects our current views with respect to future events and is subject to these and other risks, uncertainties and assumptions related to our operations, results of operations, industry and future growth. Given these uncertainties, you should not place undue reliance on these forward-looking statements. These forward-looking statements speak only as of the dates such statements are made.</w:t>
      </w:r>
    </w:p>
    <w:p>
      <w:pPr>
        <w:spacing w:after="0" w:line="17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In addition to the foregoing, you should also consider carefully the statements under the section entitled “Risk Factors” and other sections of this Quarterly Report on Form 10-Q, which address additional factors that could cause our actual results to differ from those set forth in the forward-looking statements. Any forward-looking statements that we make in this Quarterly Report on Form 10-Q speak only as of the date of such statements and we undertake no obligation to publicly update any forward-looking statements or to publicly announce revisions to any of the forward-looking statements, whether as a result of new information, future events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16,534,278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22,754,852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1,310,404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1,392,441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18,439,912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18,616,169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2,049,552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1,766,163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38,334,146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44,529,625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29,694,764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30,115,730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3,793,177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4,004,412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to be transferred under purchase agreement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2,768,374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1,543,737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78,119,970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5,479,791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5,900,394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2,505,996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3,551,835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lease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209,506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8,338,127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9,625,046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40,885,103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26,440,830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End of term liability, notes payable</w:t>
            </w: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2,368,657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2,404,365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Note payable - related party, net of discount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14,882,337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14,874,184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12,621,844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Lease obligations, net of current portion</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1,461,452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119,080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145,340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260,734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68,081,016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69,106,083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rPr>
              <w:t>Common Stock - voting, $0.0001 par value, 75,000,000 shares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authorized, 46,353,068 shares issued and outstanding</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4,635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239,539,512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236,203,041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(229,505,193)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(216,437,238)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10,038,954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19,770,438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78,119,970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3,492,881</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4,006,298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3,528,589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4,042,006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9,405,179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12,242,748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870,635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965,571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654,486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1,833,774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211,235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5,595,470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5,321,181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16,737,005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20,574,509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(13,208,416)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(16,532,503)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 income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127,399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(1,540,507)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(1,323,152)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Gain on transfer of plasma center assets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140,461</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(1,289,639)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(17,822,142)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46,353,068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45,317,042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Warrants issued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Balance - December 31, 2017 Stock-based compensation Stock options exercised Net 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 March 31, 2018</w:t>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2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Equity</w:t>
            </w:r>
          </w:p>
        </w:tc>
      </w:tr>
      <w:tr>
        <w:trPr>
          <w:trHeight w:val="411"/>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46,353,068</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4,635</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236,203,041</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(216,437,238)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19,770,438</w:t>
            </w: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637,263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637,263</w:t>
            </w:r>
          </w:p>
        </w:tc>
      </w:tr>
      <w:tr>
        <w:trPr>
          <w:trHeight w:val="431"/>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2,699,208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2,699,208</w:t>
            </w: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(13,067,955)</w:t>
            </w:r>
          </w:p>
        </w:tc>
      </w:tr>
      <w:tr>
        <w:trPr>
          <w:trHeight w:val="223"/>
        </w:trPr>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46,353,068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239,539,512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(229,505,193)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10,038,954</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-874395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740" w:type="dxa"/>
            <w:vAlign w:val="bottom"/>
            <w:gridSpan w:val="9"/>
          </w:tcPr>
          <w:p>
            <w:pPr>
              <w:ind w:left="200"/>
              <w:spacing w:after="0"/>
              <w:rPr>
                <w:sz w:val="20"/>
                <w:szCs w:val="20"/>
                <w:color w:val="auto"/>
              </w:rPr>
            </w:pPr>
            <w:r>
              <w:rPr>
                <w:rFonts w:ascii="Arial" w:cs="Arial" w:eastAsia="Arial" w:hAnsi="Arial"/>
                <w:sz w:val="18"/>
                <w:szCs w:val="18"/>
                <w:b w:val="1"/>
                <w:bCs w:val="1"/>
                <w:color w:val="auto"/>
                <w:w w:val="93"/>
              </w:rPr>
              <w:t>For the Three Months Ended March 31, 2018</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6"/>
        </w:trPr>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5"/>
        </w:trPr>
        <w:tc>
          <w:tcPr>
            <w:tcW w:w="1400" w:type="dxa"/>
            <w:vAlign w:val="bottom"/>
            <w:gridSpan w:val="3"/>
          </w:tcPr>
          <w:p>
            <w:pPr>
              <w:ind w:left="860"/>
              <w:spacing w:after="0" w:line="205" w:lineRule="exact"/>
              <w:rPr>
                <w:sz w:val="20"/>
                <w:szCs w:val="20"/>
                <w:color w:val="auto"/>
              </w:rPr>
            </w:pPr>
            <w:r>
              <w:rPr>
                <w:rFonts w:ascii="Arial" w:cs="Arial" w:eastAsia="Arial" w:hAnsi="Arial"/>
                <w:sz w:val="18"/>
                <w:szCs w:val="18"/>
                <w:b w:val="1"/>
                <w:bCs w:val="1"/>
                <w:color w:val="auto"/>
                <w:w w:val="92"/>
              </w:rPr>
              <w:t>Voting</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4"/>
          </w:tcPr>
          <w:p>
            <w:pPr>
              <w:jc w:val="right"/>
              <w:ind w:right="570"/>
              <w:spacing w:after="0" w:line="205" w:lineRule="exact"/>
              <w:rPr>
                <w:sz w:val="20"/>
                <w:szCs w:val="20"/>
                <w:color w:val="auto"/>
              </w:rPr>
            </w:pPr>
            <w:r>
              <w:rPr>
                <w:rFonts w:ascii="Arial" w:cs="Arial" w:eastAsia="Arial" w:hAnsi="Arial"/>
                <w:sz w:val="18"/>
                <w:szCs w:val="18"/>
                <w:b w:val="1"/>
                <w:bCs w:val="1"/>
                <w:color w:val="auto"/>
              </w:rPr>
              <w:t>Non-Voting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rPr>
              <w:t>Paid-in</w:t>
            </w:r>
          </w:p>
        </w:tc>
        <w:tc>
          <w:tcPr>
            <w:tcW w:w="220" w:type="dxa"/>
            <w:vAlign w:val="bottom"/>
          </w:tcPr>
          <w:p>
            <w:pPr>
              <w:spacing w:after="0"/>
              <w:rPr>
                <w:sz w:val="17"/>
                <w:szCs w:val="17"/>
                <w:color w:val="auto"/>
              </w:rPr>
            </w:pPr>
          </w:p>
        </w:tc>
        <w:tc>
          <w:tcPr>
            <w:tcW w:w="140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411"/>
        </w:trPr>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36,725,499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3,673</w:t>
            </w:r>
          </w:p>
        </w:tc>
        <w:tc>
          <w:tcPr>
            <w:tcW w:w="2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8,591,160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24"/>
                <w:szCs w:val="24"/>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$ 191,022,018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(150,693,793)</w:t>
            </w:r>
          </w:p>
        </w:tc>
        <w:tc>
          <w:tcPr>
            <w:tcW w:w="2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40,332,757</w:t>
            </w:r>
          </w:p>
        </w:tc>
      </w:tr>
      <w:tr>
        <w:trPr>
          <w:trHeight w:val="216"/>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514,784</w:t>
            </w: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514,784</w:t>
            </w:r>
          </w:p>
        </w:tc>
      </w:tr>
      <w:tr>
        <w:trPr>
          <w:trHeight w:val="230"/>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(17,822,142)</w:t>
            </w:r>
          </w:p>
        </w:tc>
      </w:tr>
      <w:tr>
        <w:trPr>
          <w:trHeight w:val="223"/>
        </w:trPr>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36,726,084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3,673</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8,591,160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$ 191,536,802</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(168,515,935)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23,025,399</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-736600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-462280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-179705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200"/>
            <w:col w:w="8680"/>
          </w:cols>
          <w:pgMar w:left="240" w:top="229"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jc w:val="center"/>
              <w:ind w:left="28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(17,822,142)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805,330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637,263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Gain on transfer of plasma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(11,527,420)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discount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244,767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9,962,495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license revenue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net of acquisition:</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189,379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179,644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(420,601)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(762,541)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88,640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207,736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(14,287,184)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(16,434,114)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(549,246)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(549,246)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 of end of term fee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(2,760,000)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 refinancing fees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(6,499,867)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issuance of note payable</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45,000,000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Payments on finance lease obligations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leasehold improvement loan</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4,177,063</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rPr>
          <w:sz w:val="20"/>
          <w:szCs w:val="20"/>
          <w:color w:val="auto"/>
        </w:rPr>
      </w:pPr>
      <w:r>
        <w:rPr>
          <w:rFonts w:ascii="Arial" w:cs="Arial" w:eastAsia="Arial" w:hAnsi="Arial"/>
          <w:sz w:val="18"/>
          <w:szCs w:val="18"/>
          <w:b w:val="1"/>
          <w:bCs w:val="1"/>
          <w:color w:val="auto"/>
        </w:rPr>
        <w:t>Net (decrease) increase in cash and cash equivalents</w:t>
      </w:r>
    </w:p>
    <w:p>
      <w:pPr>
        <w:spacing w:after="0" w:line="9" w:lineRule="exact"/>
        <w:rPr>
          <w:sz w:val="20"/>
          <w:szCs w:val="20"/>
          <w:color w:val="auto"/>
        </w:rPr>
      </w:pPr>
    </w:p>
    <w:p>
      <w:pPr>
        <w:ind w:right="1860"/>
        <w:spacing w:after="0" w:line="380" w:lineRule="auto"/>
        <w:rPr>
          <w:sz w:val="20"/>
          <w:szCs w:val="20"/>
          <w:color w:val="auto"/>
        </w:rPr>
      </w:pPr>
      <w:r>
        <w:rPr>
          <w:rFonts w:ascii="Arial" w:cs="Arial" w:eastAsia="Arial" w:hAnsi="Arial"/>
          <w:sz w:val="15"/>
          <w:szCs w:val="15"/>
          <w:b w:val="1"/>
          <w:bCs w:val="1"/>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(10,220,574)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(16,987,737)</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48,607,574</w:t>
            </w:r>
          </w:p>
        </w:tc>
      </w:tr>
      <w:tr>
        <w:trPr>
          <w:trHeight w:val="223"/>
        </w:trPr>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16,534,278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31,619,837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rFonts w:ascii="Arial" w:cs="Arial" w:eastAsia="Arial" w:hAnsi="Arial"/>
          <w:sz w:val="18"/>
          <w:szCs w:val="18"/>
          <w:b w:val="1"/>
          <w:bCs w:val="1"/>
          <w:color w:val="auto"/>
        </w:rPr>
      </w:pPr>
    </w:p>
    <w:p>
      <w:pPr>
        <w:ind w:left="34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ADMA Biologics, Inc. (“ADMA” or the “Company”) is a vertically integrated commercial biopharmaceutical and specialty immunoglobulin company that manufactures, markets and develops specialty plasma-derived biologics for the treatment of immune deficiencies and the prevention and treatment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 Centers”). ADMA BioManufacturing was formed in January 2017 to facilitate the acquisition of the Biotest Therapy Business Unit (“BTBU”) from Biotest Pharmaceuticals Corporation (“BPC” and, together with Biotest AG, “Biotest”) as more fully described below. BTBU had been the Company’s third-party manufacturer for its then-lead pipeline product candidate, previously referred to as “RI-002.” ADMA Bio Centers is the Company’s source plasma collection business with a plasma collection facility located in Kennesaw, GA which holds an approved license with the U.S. Food and Drug Administration (the “FDA”). Effective January 1, 2019, in connection with the Biotest Transaction defined below, the Company transferred its FDA-approved Norcross, GA and Marietta, GA plasma collection facilities to BPC (see Note 11).</w:t>
      </w:r>
    </w:p>
    <w:p>
      <w:pPr>
        <w:spacing w:after="0" w:line="182" w:lineRule="exact"/>
        <w:rPr>
          <w:rFonts w:ascii="Arial" w:cs="Arial" w:eastAsia="Arial" w:hAnsi="Arial"/>
          <w:sz w:val="18"/>
          <w:szCs w:val="18"/>
          <w:b w:val="1"/>
          <w:bCs w:val="1"/>
          <w:color w:val="auto"/>
        </w:rPr>
      </w:pPr>
    </w:p>
    <w:p>
      <w:pPr>
        <w:ind w:left="340"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June 6, 2017, ADMA completed the acquisition of certain assets (the “Biotest Assets”) of BTBU, which included two FDA-licensed products, Nabi-HB (Hepatitis B Immune Globulin, Human) and BIVIGAM (Immune Globulin Intravenous, Human), and a plasma fractionation manufacturing facility located in Boca Raton, FL (the “Boca Facility”) (the “Biotest Transaction”). In addition to Nabi-HB and BIVIGAM, the Company provides contract manufacturing services for certain clients and expects to generate revenues from the sale of intermediate by-products which result from the immunoglobulin production process. The Boca Facility is FDA-licensed and certified by the German Health Authority. Immediately following the closing of the Biotest Transaction, the Biotest Assets were contributed into ADMA BioManufacturing.</w:t>
      </w:r>
    </w:p>
    <w:p>
      <w:pPr>
        <w:spacing w:after="0" w:line="178" w:lineRule="exact"/>
        <w:rPr>
          <w:rFonts w:ascii="Arial" w:cs="Arial" w:eastAsia="Arial" w:hAnsi="Arial"/>
          <w:sz w:val="18"/>
          <w:szCs w:val="18"/>
          <w:b w:val="1"/>
          <w:bCs w:val="1"/>
          <w:color w:val="auto"/>
        </w:rPr>
      </w:pPr>
    </w:p>
    <w:p>
      <w:pPr>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April 1, 2019, the FDA approved ASCENIV (Immune Globulin Intravenous, Human – slra 10% Liquid), formerly referred to as RI-002. ASCENIV is an Intravenous Immune Globulin (“IVIG”) drug product for the treatment of Primary Humoral Immunodeficiency Disease (“PIDD” or “PI”) in adults and adolescents (12 to 17 years of age). The Company anticipates having the product available for commercial launch during the second half of 2019.</w:t>
      </w:r>
    </w:p>
    <w:p>
      <w:pPr>
        <w:spacing w:after="0" w:line="146" w:lineRule="exact"/>
        <w:rPr>
          <w:rFonts w:ascii="Arial" w:cs="Arial" w:eastAsia="Arial" w:hAnsi="Arial"/>
          <w:sz w:val="18"/>
          <w:szCs w:val="18"/>
          <w:b w:val="1"/>
          <w:bCs w:val="1"/>
          <w:color w:val="auto"/>
        </w:rPr>
      </w:pPr>
    </w:p>
    <w:p>
      <w:pPr>
        <w:ind w:left="34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Prior to the acquisition of BTBU and the FDA approval for ASCENIV, in July 2016 the FDA issued a Complete Response Letter (“CRL”) to the Company for the Company’s Biologics License Application (“BLA”) for RI-002. The RI-002 CRL reaffirmed the issues set forth in the November 2014 warning letter (the “Warning Letter”) that had been issued by the FDA to Biotest related to certain compliance issues identified at the Boca Facility, but did not cite any concerns with the clinical safety or efficacy data for RI-002, nor did the FDA request any additional clinical studies be completed prior to FDA approval of RI-002. The FDA identified in the RI-002 CRL, among other things, certain outstanding inspection issues and deficiencies related to chemistry, manufacturing and controls and Good Manufacturing Practices at the Boca Facility and certain of the Company’s third-party vendors, and requested documentation of corrections for a number of these issues. The FDA had indicated in the RI-002 CRL that it could not grant final approval of the RI-002 BLA until, among other things, these deficiencies were resolved. Upon the completion of the Biotest Transaction, ADMA gained control over the regulatory, quality, general operations and drug substance manufacturing process at the Boca Facility. In April 2018, the FDA inspected the Boca Facility and in July 2018 the Company’s FDA status with respect to the Boca Facility improved from Official Action Indicated to Voluntary Action Indicated, and the Company determined that this inspection of the Boca Facility was successfully closed out.</w:t>
      </w:r>
    </w:p>
    <w:p>
      <w:pPr>
        <w:spacing w:after="0" w:line="172" w:lineRule="exact"/>
        <w:rPr>
          <w:rFonts w:ascii="Arial" w:cs="Arial" w:eastAsia="Arial" w:hAnsi="Arial"/>
          <w:sz w:val="18"/>
          <w:szCs w:val="18"/>
          <w:b w:val="1"/>
          <w:bCs w:val="1"/>
          <w:color w:val="auto"/>
        </w:rPr>
      </w:pPr>
    </w:p>
    <w:p>
      <w:pPr>
        <w:ind w:left="34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ownership, production of Nabi-HB resumed during the third quarter of 2017, resulting in ongoing commercial revenues.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BIVIGAM is an intravenous immune globulin indicated for the treatment of primary humoral immunodeficiency. BIVIGAM is currently under FDA review for the Prior Approval Supplement (the “PAS”) that the Company submitted to the FDA in June 2018 to amend BIVIGAM’s FDA-approved BLA which, once approved, would enable the Company to relaunch and commercialize this product in the U.S. In December 2018, the Company received a CRL from the FDA in response to the PAS (the “BIVIGAM CRL”), and the Company has since received several information requests from the FDA, each containing a limited number of questions. The Company believes that all requests contained in the various information requests were addressable, and has responded to all of them. The Company to date has not received a formal BIVIGAM CRL resubmission acknowledgement and has not received clarity on the FDA’s intended classification or review timing. Although the Company believes that the FDA is actively reviewing the PAS submission and subsequent information request responses, the Company cannot provide any assurance or predict with certainty the schedule for when the Company will, if at all, receive authorization from the FDA with respect to the PAS. In addition, the anticipated relaunch of BIVIGAM is dependent upon the timing of certain FDA decisions, production slots available with the Company’s contract fill/finish provider, approvals that may need to be obtained for product labeling as well as other commercial requirements and regulatory factors. Biotest had originally received FDA approval for BIVIGAM on December 19, 2012, prior to the acquisition of BTBU, and product sales commenced in the first quarter of 2013. In December 2016, Biotest temporarily suspended the commercial production of BIVIGAM in order to focus on the completion of planned improvements to the manufacturing process. ADMA resumed production of BIVIGAM during the fourth quarter of 2017.</w:t>
      </w:r>
    </w:p>
    <w:p>
      <w:pPr>
        <w:spacing w:after="0" w:line="18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As of March 31, 2019, the Company had working capital of $30.0 million, including $16.5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along with the additional $40.0 million it is able to access under its senior credit facility, $12.5 million of which is contingent upon FDA approval of the PAS, will be sufficient to fund ADMA’s operations, as currently conducted, into the fourth quarter of 2019. In order to have sufficient cash to fund its operations thereafter and to continue as a going concern, the Company will need to raise capital by the fourth quarter of 2019. These estimates may change based upon how quickly the Company is able to obtain FDA approval for BIVIGAM, commercial manufacturing ramp-up activities and the various financing options being explored.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Due to numerous risks and uncertainties associated with FDA approval of the Company’s products, ongoing remediation and capacity expansion efforts at the Company’s Boca Facility and potential future commercialization of the Company’s products and product candidates, the Company is unable to estimate with certainty the amounts of increased capital outlays and operating expenditures required to fund its development activities. The Company’s current estimates may be subject to change as circumstances regarding its business requirements evolve. The Company may decide to raise capital through public or private equity offerings or debt financings, or obtain a bank credit facility or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additional indebtedness would result in increased fixed obligations and could also result in covenants that would restrict the Company’s operations or other financing alternatives.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cumulative losses since inception in June 2004 through March 31, 2019 of $229.5 million. Management believes that the Company will continue to incur net losses and negative net cash flows from operating activities to fund its operations and meet its obligations on a timely basis through the foreseeable future.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In February 2019, the Company refinanced its senior debt (see Note 6) whereby the Company received net proceeds of approximately $4.2 million, and an additional $4.0 million, which was reflected as restricted cash in the accompanying consolidated balance sheet at December 31, 2018, was released by the Company’s then-senior creditor to the Company. On May 3, 2019, the Company received the additional $27.5 million that was available to the Company under its senior credit facility and amended the facility to increase the total amount available under the facility by an additional $12.5 million (see Note 14).</w:t>
      </w:r>
    </w:p>
    <w:p>
      <w:pPr>
        <w:spacing w:after="0" w:line="188"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There can be no assurance that the Company’s research and development will be successfully completed or that any product will be approved or commercially viable. The Company is subject to risks common to companies in the biotechnology industry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67" w:lineRule="exact"/>
        <w:rPr>
          <w:sz w:val="20"/>
          <w:szCs w:val="20"/>
          <w:color w:val="auto"/>
        </w:rPr>
      </w:pPr>
    </w:p>
    <w:p>
      <w:pPr>
        <w:ind w:left="340" w:right="6400" w:hanging="332"/>
        <w:spacing w:after="0" w:line="50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Basis of presentation</w:t>
      </w: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6" w:lineRule="exact"/>
        <w:rPr>
          <w:rFonts w:ascii="Arial" w:cs="Arial" w:eastAsia="Arial" w:hAnsi="Arial"/>
          <w:sz w:val="18"/>
          <w:szCs w:val="18"/>
          <w:b w:val="1"/>
          <w:bCs w:val="1"/>
          <w:color w:val="auto"/>
        </w:rPr>
      </w:pPr>
    </w:p>
    <w:p>
      <w:pPr>
        <w:ind w:left="34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notes thereto as of and for the year ended December 31, 2018 included in the Company’s Annual Report on Form 10-K filed with the U.S. Securities and Exchange Commission (the “SEC”) on March 13, 2019. The accompanying consolidated balance sheet as of December 31, 2018 was derived from the audited financial statements for the year ended December 31, 2018. These condensed consolidated interim financial statements have been prepared in accordance with the instructions to Form 10-Q and Article 8 of Regulation S-X, and therefore omit or condense certain footnotes and other information normally included in consolidated interim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2019 and its results of operations for the three months ended March 31, 2019 and 2018 and cash flows for the three months ended March 31, 2019 and 2018.</w:t>
      </w:r>
    </w:p>
    <w:p>
      <w:pPr>
        <w:spacing w:after="0" w:line="169" w:lineRule="exact"/>
        <w:rPr>
          <w:rFonts w:ascii="Arial" w:cs="Arial" w:eastAsia="Arial" w:hAnsi="Arial"/>
          <w:sz w:val="18"/>
          <w:szCs w:val="18"/>
          <w:b w:val="1"/>
          <w:bCs w:val="1"/>
          <w:color w:val="auto"/>
        </w:rPr>
      </w:pPr>
    </w:p>
    <w:p>
      <w:pPr>
        <w:ind w:left="340" w:right="1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the three months ended March 31, 2019 and 2018, comprehensive loss was equal to the net loss amounts presented for the respective periods in the accompanying condensed consolidated statements of operations. In addition, certain prior year balances have been reclassified to conform to the current presentation. Specifically, for the three months ended March 31, 2018, approximately $0.3 million was reclassified from research and development expenses to selling, general and administrative expenses in the accompanying consolidated statements of operations. Operating results for interim periods are not necessarily indicative of the results that may be expected for the full fiscal year.</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Use of estimates</w:t>
      </w:r>
    </w:p>
    <w:p>
      <w:pPr>
        <w:spacing w:after="0" w:line="225" w:lineRule="exact"/>
        <w:rPr>
          <w:rFonts w:ascii="Arial" w:cs="Arial" w:eastAsia="Arial" w:hAnsi="Arial"/>
          <w:sz w:val="18"/>
          <w:szCs w:val="18"/>
          <w:b w:val="1"/>
          <w:bCs w:val="1"/>
          <w:color w:val="auto"/>
        </w:rPr>
      </w:pPr>
    </w:p>
    <w:p>
      <w:pPr>
        <w:ind w:left="3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fair value of assets acquired and liabilities assumed in a business combination, realizable value of accounts receivable, valuation of inventory, assumptions used in the fair value of awards granted under the Company’s equity incentive plans and warrants issued in connection with the issuance of notes payable and the valuation allowance for the Company’s deferred tax assets.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carrying amounts of certain of the Company’s financial instruments, including cash and cash equivalents and accounts payable, are shown at cost which approximates fair value due to the short-term nature of these instruments. The debt outstanding under the Company’s senior secured term loan (see Note 6) approximates fair value due to the variable interest rate on this debt. With respect to the related party note payable in the amount of $15.0 million as of March 31, 2019 and December 31, 2018, which is held by a principal stockholder of the Company and was issued concurrent with an acquisition transaction with an affiliate of such stockholder (see Note 6), the Company has concluded that an estimation of fair value for this note is not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Accounts receivable are reported at realizable value, net of allowances for contractual credits and doubtful accounts, which are recognized in the period the related revenue is recorded. At March 31, 2019, four customers accounted for an aggregate of 96% of the Company’s total accounts receivable, and at December 31, 2018, three customers accounted for approximately 95%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research and development and future anticipated commercialization activities, are carried at the lower of cost or net realizable value determined by the first-in, first-out method. Although the Company expects that BIVIGAM and ASCENIV inventory manufactured prior to March 31, 2019 will ultimately be available for commercial sale, due to uncertainties surrounding the Warning Letter, the PAS and, as of March 31, 2019, the RI-002 BLA, resolution of which are dependent upon action by the FDA prior to this inventory being available for commercial sale, all costs related to the production of BIVIGAM and ASCENIV during the three months ended March 31, 2019 and 2018 in the amount of $0.6 million and $3.7 million, respectively, have been charged to cost of product revenue in the accompanying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March 31, 2019 and December 31, 2018 was $3.5 million. All of the Company’s goodwill is attributable to its ADMA BioManufacturing business segment.</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and the Company did not record any impairment charges related to goodwill for the three months ended March 31,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2019 and 2018, the Company determined that there was no impairment of its long-lived assets.</w:t>
      </w: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Revenues for the three months ended March 31, 2019 and 2018 are comprised of (i) revenues from the sale of Nabi-HB, (ii) product revenues from the sale of human plasma collected from the Company’s Plasma Collection Centers business segment; and (iii) license and other revenues primarily attributable to the out-licensing of ASCENIV to Biotest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Nabi-HB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the Company believes that such estimates are reasonable. For revenues associated with contract manufacturing, control transfers to the customer and the performance obligation is satisfied when the customer takes possession of the product from the Boca Facility.</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three months ended March 31, 2019, two customers represented an aggregate of 81% of the Company’s consolidated revenues. For the three months ended March 31, 2018, sales to BPC represented 58% of the Company’s consolidated revenues, and two other customers represented 32% of the Company’s consolidated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Expenses associated with remediating the issues identified in the Warning Letter for the three months ended March 31, 2019 and 2018 were approximately $0.1 million and $0.7 million, respectively, and are reflected in cost of product revenue in the accompanying consolidated statements of operations. In addition, for the three months ended March 31, 2019, all operating expenses associated with the Boca Facility, other than the Nabi-HB production and contract manufacturing production that was capitalized into inventory, have been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three months ended March 31, 2019 and 2018, the following securities were excluded from the calculation of diluted loss per common share because of their anti-dilutive effects:</w:t>
      </w:r>
    </w:p>
    <w:p>
      <w:pPr>
        <w:spacing w:after="0" w:line="26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ind w:left="64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15"/>
        </w:trPr>
        <w:tc>
          <w:tcPr>
            <w:tcW w:w="1380" w:type="dxa"/>
            <w:vAlign w:val="bottom"/>
          </w:tcPr>
          <w:p>
            <w:pPr>
              <w:spacing w:after="0"/>
              <w:rPr>
                <w:sz w:val="24"/>
                <w:szCs w:val="24"/>
                <w:color w:val="auto"/>
              </w:rPr>
            </w:pPr>
          </w:p>
        </w:tc>
        <w:tc>
          <w:tcPr>
            <w:tcW w:w="776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ADMA BIOLOGICS, INC. AND SUBSIDIARIES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7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13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3"/>
              </w:rPr>
              <w:t>For the Three Months Ended March</w:t>
            </w:r>
          </w:p>
        </w:tc>
      </w:tr>
      <w:tr>
        <w:trPr>
          <w:trHeight w:val="234"/>
        </w:trPr>
        <w:tc>
          <w:tcPr>
            <w:tcW w:w="13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8"/>
                <w:szCs w:val="18"/>
                <w:b w:val="1"/>
                <w:bCs w:val="1"/>
                <w:color w:val="auto"/>
              </w:rPr>
              <w:t>31,</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13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r>
      <w:tr>
        <w:trPr>
          <w:trHeight w:val="210"/>
        </w:trPr>
        <w:tc>
          <w:tcPr>
            <w:tcW w:w="1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5,599,435</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4,127,950</w:t>
            </w:r>
          </w:p>
        </w:tc>
        <w:tc>
          <w:tcPr>
            <w:tcW w:w="2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Warrants</w:t>
            </w:r>
          </w:p>
        </w:tc>
        <w:tc>
          <w:tcPr>
            <w:tcW w:w="7760" w:type="dxa"/>
            <w:vAlign w:val="bottom"/>
            <w:gridSpan w:val="2"/>
          </w:tcPr>
          <w:p>
            <w:pPr>
              <w:jc w:val="right"/>
              <w:spacing w:after="0"/>
              <w:rPr>
                <w:sz w:val="20"/>
                <w:szCs w:val="20"/>
                <w:color w:val="auto"/>
              </w:rPr>
            </w:pPr>
            <w:r>
              <w:rPr>
                <w:rFonts w:ascii="Arial" w:cs="Arial" w:eastAsia="Arial" w:hAnsi="Arial"/>
                <w:sz w:val="18"/>
                <w:szCs w:val="18"/>
                <w:color w:val="auto"/>
              </w:rPr>
              <w:t>1,888,160</w:t>
            </w: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528,160</w:t>
            </w:r>
          </w:p>
        </w:tc>
        <w:tc>
          <w:tcPr>
            <w:tcW w:w="260" w:type="dxa"/>
            <w:vAlign w:val="bottom"/>
          </w:tcPr>
          <w:p>
            <w:pPr>
              <w:spacing w:after="0"/>
              <w:rPr>
                <w:sz w:val="19"/>
                <w:szCs w:val="19"/>
                <w:color w:val="auto"/>
              </w:rPr>
            </w:pPr>
          </w:p>
        </w:tc>
      </w:tr>
      <w:tr>
        <w:trPr>
          <w:trHeight w:val="223"/>
        </w:trPr>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64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7,487,595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4,656,110</w:t>
            </w:r>
          </w:p>
        </w:tc>
        <w:tc>
          <w:tcPr>
            <w:tcW w:w="2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follows recognized accounting guidance which requires all equity-based payments, including grants of stock options, to be recognized in the statements of operations as compensation expense based on their fair values at the date of grant. The Company uses the Black-Scholes option pricing model to determine the fair value of options granted. Compensation expense related to awards to employees and directors with service-based vesting conditions is recognized on a straight-line basis based on the grant date fair value over the associated vesting period of the award, which is generally four years (see Note 7). Stock options granted under the Company’s equity incentive plans generally have a term of 10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2015 and for previous periods as it relates to the Company’s net operating loss carryforwards.</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March 31, 2019 and December 31, 2018, and during the three months ended March 31, 2019 and 2018, the Company recognized no adjustments for uncertain tax positions.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As a result, there will be no restatement of comparative periods. The Company recognized right-to-use assets and corresponding lease liabilities of approximately $1.4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8.</w:t>
      </w: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2" w:right="2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the Company on January 1, 2019, and this update did not have a significant impact on the Company’s consolidated financial statements.</w:t>
      </w:r>
    </w:p>
    <w:p>
      <w:pPr>
        <w:sectPr>
          <w:pgSz w:w="11900" w:h="16838" w:orient="portrait"/>
          <w:cols w:equalWidth="0" w:num="1">
            <w:col w:w="11420"/>
          </w:cols>
          <w:pgMar w:left="240" w:top="229" w:right="239" w:bottom="1440" w:gutter="0" w:footer="0" w:header="0"/>
        </w:sectPr>
      </w:pPr>
    </w:p>
    <w:p>
      <w:pPr>
        <w:spacing w:after="0" w:line="17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provides the components of inventories: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9" w:lineRule="exact"/>
        <w:rPr>
          <w:rFonts w:ascii="Arial" w:cs="Arial" w:eastAsia="Arial" w:hAnsi="Arial"/>
          <w:sz w:val="18"/>
          <w:szCs w:val="18"/>
          <w:b w:val="1"/>
          <w:bCs w:val="1"/>
          <w:color w:val="auto"/>
        </w:rPr>
      </w:pPr>
    </w:p>
    <w:p>
      <w:pPr>
        <w:ind w:left="340" w:right="582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Raw materials Work-in-progress Finished goods Total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-588010</wp:posOffset>
            </wp:positionV>
            <wp:extent cx="68776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-313690</wp:posOffset>
            </wp:positionV>
            <wp:extent cx="68776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11"/>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13,799,170</w:t>
            </w:r>
          </w:p>
        </w:tc>
        <w:tc>
          <w:tcPr>
            <w:tcW w:w="220" w:type="dxa"/>
            <w:vAlign w:val="bottom"/>
          </w:tcPr>
          <w:p>
            <w:pPr>
              <w:spacing w:after="0"/>
              <w:rPr>
                <w:sz w:val="24"/>
                <w:szCs w:val="24"/>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14,019,668</w:t>
            </w:r>
          </w:p>
        </w:tc>
      </w:tr>
      <w:tr>
        <w:trPr>
          <w:trHeight w:val="230"/>
        </w:trPr>
        <w:tc>
          <w:tcPr>
            <w:tcW w:w="2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870,264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3,770,478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4,596,501</w:t>
            </w:r>
          </w:p>
        </w:tc>
      </w:tr>
      <w:tr>
        <w:trPr>
          <w:trHeight w:val="223"/>
        </w:trPr>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18,439,912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18,616,169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280"/>
          </w:cols>
          <w:pgMar w:left="240" w:top="229" w:right="239" w:bottom="1440" w:gutter="0" w:footer="0" w:header="0"/>
          <w:type w:val="continuous"/>
        </w:sectPr>
      </w:pPr>
    </w:p>
    <w:p>
      <w:pPr>
        <w:spacing w:after="0" w:line="2" w:lineRule="exact"/>
        <w:rPr>
          <w:sz w:val="20"/>
          <w:szCs w:val="20"/>
          <w:color w:val="auto"/>
        </w:rPr>
      </w:pPr>
    </w:p>
    <w:p>
      <w:pPr>
        <w:ind w:left="340" w:right="340"/>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being determined on the first-in, first-out method. Raw materials includes plasma and other materials expected to be used in the production of ASCENIV and BIVIGAM, as there are alternative uses for these materials which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71" w:lineRule="exact"/>
        <w:rPr>
          <w:sz w:val="20"/>
          <w:szCs w:val="20"/>
          <w:color w:val="auto"/>
        </w:rPr>
      </w:pPr>
    </w:p>
    <w:p>
      <w:pPr>
        <w:ind w:left="340" w:right="340"/>
        <w:spacing w:after="0" w:line="259" w:lineRule="auto"/>
        <w:rPr>
          <w:sz w:val="20"/>
          <w:szCs w:val="20"/>
          <w:color w:val="auto"/>
        </w:rPr>
      </w:pPr>
      <w:r>
        <w:rPr>
          <w:rFonts w:ascii="Arial" w:cs="Arial" w:eastAsia="Arial" w:hAnsi="Arial"/>
          <w:sz w:val="18"/>
          <w:szCs w:val="18"/>
          <w:color w:val="auto"/>
        </w:rPr>
        <w:t>Finished goods inventory at March 31, 2019 is comprised of $2.1 million of Nabi-HB, $1.5 million of product manufactured under a contract manufacturing agreement and $0.2 million of plasma collected at the Company’s plasma collection center. Finished goods inventory at December 31, 2018 is comprised of $2.3 million of Nabi-HB, $1.2 million of product manufactured under a contract manufacturing agreement and $1.1 million of plasma collected at the Company’s plasma collection centers.</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March 31, 2019 and December 31, 2018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2019</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8"/>
                <w:szCs w:val="18"/>
                <w:b w:val="1"/>
                <w:bCs w:val="1"/>
                <w:color w:val="auto"/>
                <w:w w:val="92"/>
              </w:rPr>
              <w:t>December 31, 2018</w:t>
            </w:r>
          </w:p>
        </w:tc>
        <w:tc>
          <w:tcPr>
            <w:tcW w:w="880" w:type="dxa"/>
            <w:vAlign w:val="bottom"/>
            <w:tcBorders>
              <w:bottom w:val="single" w:sz="8" w:color="auto"/>
            </w:tcBorders>
          </w:tcPr>
          <w:p>
            <w:pPr>
              <w:spacing w:after="0"/>
              <w:rPr>
                <w:sz w:val="20"/>
                <w:szCs w:val="20"/>
                <w:color w:val="auto"/>
              </w:rPr>
            </w:pPr>
          </w:p>
        </w:tc>
      </w:tr>
      <w:tr>
        <w:trPr>
          <w:trHeight w:val="205"/>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4"/>
          </w:tcPr>
          <w:p>
            <w:pPr>
              <w:ind w:left="22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1440" w:type="dxa"/>
            <w:vAlign w:val="bottom"/>
            <w:gridSpan w:val="4"/>
          </w:tcPr>
          <w:p>
            <w:pPr>
              <w:ind w:left="22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182"/>
        </w:trPr>
        <w:tc>
          <w:tcPr>
            <w:tcW w:w="4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Trademark and other intangible rights related to</w:t>
            </w: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Nabi-HB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4,100,046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1,073,821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3,026,225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4,100,046</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927,391</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3,172,655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237,659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669,762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907,421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205,250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702,171</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1,076,557</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979,367</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97,190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1,076,557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946,971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129,586</w:t>
            </w:r>
          </w:p>
        </w:tc>
      </w:tr>
      <w:tr>
        <w:trPr>
          <w:trHeight w:val="223"/>
        </w:trPr>
        <w:tc>
          <w:tcPr>
            <w:tcW w:w="4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6,084,024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2,290,847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3,793,177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6,084,024</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2,079,612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4,004,412</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for the three months ended March 31, 2019 and 2018 was $0.2 million. Estimated aggregate future aggregate amortization expense for the next five years is expected to be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633,704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2020</w:t>
            </w:r>
          </w:p>
        </w:tc>
        <w:tc>
          <w:tcPr>
            <w:tcW w:w="4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2022</w:t>
            </w:r>
          </w:p>
        </w:tc>
        <w:tc>
          <w:tcPr>
            <w:tcW w:w="4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and related accumulated depreciation are summarized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2018</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8,366,402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8,233,203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1,571,178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1,608,994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1,212,045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1,163,552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911,744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845,538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1,673,084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1,660,709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4,339,441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15,700,092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15,685,325</w:t>
            </w:r>
          </w:p>
        </w:tc>
      </w:tr>
      <w:tr>
        <w:trPr>
          <w:trHeight w:val="210"/>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33,773,986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33,536,762</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(4,079,222)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(3,421,032)</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29,694,764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30,115,730</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40"/>
        <w:spacing w:after="0" w:line="312"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3 to 10 years. Leasehold improvements are amortized over the lesser of the lease term or their estimated useful lives.</w:t>
      </w:r>
    </w:p>
    <w:p>
      <w:pPr>
        <w:spacing w:after="0" w:line="147"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recorded depreciation expense on property and equipment for the three months ended March 31, 2019 and 2018 of $0.6 million. Depreciation expense for the three months ended March 31, 2018 includes $0.1 million on the plasma assets that were transferred to Biotest on January 1, 2019 (see Notes 1 and 11).</w:t>
      </w:r>
    </w:p>
    <w:p>
      <w:pPr>
        <w:spacing w:after="0" w:line="17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Senior Notes Payable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outstanding senior notes payable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2018</w:t>
            </w:r>
          </w:p>
        </w:tc>
      </w:tr>
      <w:tr>
        <w:trPr>
          <w:trHeight w:val="210"/>
        </w:trPr>
        <w:tc>
          <w:tcPr>
            <w:tcW w:w="4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9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discount</w:t>
            </w:r>
          </w:p>
        </w:tc>
        <w:tc>
          <w:tcPr>
            <w:tcW w:w="2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(4,114,897)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(3,559,170)</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Senior notes payable</w:t>
            </w:r>
          </w:p>
        </w:tc>
        <w:tc>
          <w:tcPr>
            <w:tcW w:w="27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40,885,103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26,440,830</w:t>
            </w:r>
          </w:p>
        </w:tc>
      </w:tr>
      <w:tr>
        <w:trPr>
          <w:trHeight w:val="20"/>
        </w:trPr>
        <w:tc>
          <w:tcPr>
            <w:tcW w:w="4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spacing w:after="0" w:line="288" w:lineRule="auto"/>
        <w:rPr>
          <w:sz w:val="20"/>
          <w:szCs w:val="20"/>
          <w:color w:val="auto"/>
        </w:rPr>
      </w:pPr>
      <w:r>
        <w:rPr>
          <w:rFonts w:ascii="Arial" w:cs="Arial" w:eastAsia="Arial" w:hAnsi="Arial"/>
          <w:sz w:val="16"/>
          <w:szCs w:val="16"/>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provides for a senior secured term loan facility in a principal amount of up to $72.5 million (the “Perceptive Credit Facility”), comprised of</w:t>
      </w:r>
    </w:p>
    <w:p>
      <w:pPr>
        <w:ind w:left="340" w:right="220" w:hanging="8"/>
        <w:spacing w:after="0" w:line="270" w:lineRule="auto"/>
        <w:tabs>
          <w:tab w:leader="none" w:pos="5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term loan made on the Perceptive Closing Date in the principal amount of $45.0 million, as evidenced by the Company’s issuance of a promissory note (the “Perceptive Tranche I Note”) in favor of Perceptive on the Perceptive Closing Date (the “Perceptive Tranche I Loan”), and (ii) an additional term loan in the principal amount of up to $27.5 million, but no less than $10.0 million (the “Perceptive Tranche II Loan” and, together with the Perceptive Tranche I Loan, the “Initial Perceptive Loans”), which Perceptive Tranche II Loan was made in full on May 3, 2019 (see Note 14). The Perceptive Credit Facility has a maturity date of March 1, 2022 (the “Maturity Date”), subject to acceleration pursuant to the Perceptive Credit Agreement, including upon an Event of Default (as defined in the Perceptive Credit Agreement).</w:t>
      </w:r>
    </w:p>
    <w:p>
      <w:pPr>
        <w:sectPr>
          <w:pgSz w:w="11900" w:h="16838" w:orient="portrait"/>
          <w:cols w:equalWidth="0" w:num="1">
            <w:col w:w="11420"/>
          </w:cols>
          <w:pgMar w:left="240" w:top="229" w:right="239"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(i) used $2.8 million of the Perceptive Tranche I Loan to pay a deferred facility fee to Marathon, (ii) used $6.5 million of the Perceptive Tranche I Loan to pay a prepayment penalty to Marathon, (iii) used $0.7 million of the Perceptive Tranche I Loan to pay outstanding accrued interest to Marathon, and (iv) used proceeds of the Perceptive Tranche I Loan to pay certain fees and expenses incurred in connection with the Perceptive Credit Facility of approximately $1.5 million. In addition, Marathon released $4.0 million of cash that was held in a debt service reserve account per the terms of the Marathon Credit Facility, which was reflected as restricted cash in the accompanying consolidated balance sheet as of December 31, 2018, to the Company.</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result of the Company’s entering into the Perceptive Credit Agreement and terminating the Marathon Credit Facility, the Company recognized a loss on the extinguishment of debt in the amount of approximately $10.0 million, comprised of the $6.5 million prepayment penalty and the write-off of unamortized debt discount related to the Marathon Credit Facility in the amount of $3.5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Borrowings under the Perceptive Credit Agreement bear interest at a rate per annum equal to 7.5% plus the greater of (i) one-month LIBOR and (ii)</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On the last day of each month during the term of the Perceptive Credit Facility, the Company will pay accrued interest to Perceptive. The rate of interest in effect as of the Perceptive Closing Date and at March 31, 2019 was 11.0%.</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the Maturity Date, the Company will pay Perceptive the entire outstanding principal amount underlying the Perceptive Loans and any accrued and unpaid interest thereon. Prior to the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ending June 30, 2019, receive revenue for the trailing 12-month period in amounts set forth in the Perceptive Credit Agreement, which range from $7.0 million for the fiscal quarter ending June 30, 2019 to $55.0 million for the fiscal quarter ending December 31, 2021.</w:t>
      </w:r>
    </w:p>
    <w:p>
      <w:pPr>
        <w:spacing w:after="0" w:line="28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As consideration for the Perceptive Credit Agreement, the Company issued to Perceptive, on the Perceptive Closing Date, a warrant to purchase 1,360,000 shares of the Company’s common stock (the “Perceptive Warrant”). The Perceptive Warrant has an exercise price equal to $3.28 per share, which is equal to the trailing 10-day VWAP of the Company’s common stock on the business day immediately prior to the Perceptive Closing Date multiplied by 1.15. The Perceptive Warrant was valued by the Company at $2.7 million as of the Perceptive Closing Date and has an expiration date of February 11, 2029. Perceptive represented to the Company, among other things, that it was an “accredited investor” (as such term is defined in Rule 501(a) of Regulation D under the Securities Act) and the Company issued the Perceptive Warrant in reliance upon an exemption from registration contained in Section 4(2) under the Securities Act. The Perceptive Warrant and the shares of common stock issuable thereunder may not be offered, sold, pledged or otherwise transferred in the U.S. absent registration or an applicable exemption from the registration requirements under the Securities Act.</w:t>
      </w:r>
    </w:p>
    <w:p>
      <w:pPr>
        <w:spacing w:after="0" w:line="166"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a result of the fees paid to Perceptive and the value of the Perceptive Warrant, the Company recognized a discount on the Perceptive Initial Note in the amount of $4.3 million. The Company records debt discount as a reduction to the face amount of the debt, and the debt discount is amortized as interest expense over the life of the debt using the interest method. Based on the fair value of the Perceptive Warrant and the aggregate amount of fees and expenses associated with obtaining the Perceptive Credit Facility, the effective interest rate on the Perceptive Initial Note as of the Perceptive Closing Date was approximately 14.7%.</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Related Party Note Payable</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53"/>
        </w:trPr>
        <w:tc>
          <w:tcPr>
            <w:tcW w:w="6940" w:type="dxa"/>
            <w:vAlign w:val="bottom"/>
            <w:gridSpan w:val="2"/>
          </w:tcPr>
          <w:p>
            <w:pPr>
              <w:spacing w:after="0"/>
              <w:rPr>
                <w:sz w:val="20"/>
                <w:szCs w:val="20"/>
                <w:color w:val="auto"/>
              </w:rPr>
            </w:pPr>
            <w:r>
              <w:rPr>
                <w:rFonts w:ascii="Arial" w:cs="Arial" w:eastAsia="Arial" w:hAnsi="Arial"/>
                <w:sz w:val="18"/>
                <w:szCs w:val="18"/>
                <w:color w:val="auto"/>
              </w:rPr>
              <w:t>A summary of the outstanding related party note payable is as follows: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2018</w:t>
            </w:r>
          </w:p>
        </w:tc>
      </w:tr>
      <w:tr>
        <w:trPr>
          <w:trHeight w:val="210"/>
        </w:trPr>
        <w:tc>
          <w:tcPr>
            <w:tcW w:w="6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party note payable to Biotest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6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(117,663)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(125,816)</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Note payable - related party</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14,882,337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14,874,184</w:t>
            </w:r>
          </w:p>
        </w:tc>
      </w:tr>
      <w:tr>
        <w:trPr>
          <w:trHeight w:val="20"/>
        </w:trPr>
        <w:tc>
          <w:tcPr>
            <w:tcW w:w="2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color w:val="auto"/>
        </w:rPr>
        <w:t>In connection with the acquisition of the Biotest Assets (see Note 1), ADMA BioManufacturing issued a subordinated note payable to BPC and in connection therewith received cash proceeds of $15.0 million. This note has since been assigned from BPC to Biotest AG. The note bears interest at a rate of 6.0% per annum and matures on June 6, 2022. 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March 31, 2019.</w:t>
      </w:r>
    </w:p>
    <w:p>
      <w:pPr>
        <w:spacing w:after="0" w:line="189" w:lineRule="exact"/>
        <w:rPr>
          <w:sz w:val="20"/>
          <w:szCs w:val="20"/>
          <w:color w:val="auto"/>
        </w:rPr>
      </w:pPr>
    </w:p>
    <w:p>
      <w:pPr>
        <w:ind w:left="340" w:right="8760" w:hanging="332"/>
        <w:spacing w:after="0" w:line="503"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STOCKHOLDERS’ EQUITY </w:t>
      </w:r>
      <w:r>
        <w:rPr>
          <w:rFonts w:ascii="Arial" w:cs="Arial" w:eastAsia="Arial" w:hAnsi="Arial"/>
          <w:sz w:val="18"/>
          <w:szCs w:val="18"/>
          <w:i w:val="1"/>
          <w:iCs w:val="1"/>
          <w:u w:val="single" w:color="auto"/>
          <w:color w:val="auto"/>
        </w:rPr>
        <w:t>Preferred Stock</w:t>
      </w:r>
    </w:p>
    <w:p>
      <w:pPr>
        <w:ind w:left="3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March 31, 2019 and December 31, 2018.</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w:t>
      </w:r>
    </w:p>
    <w:p>
      <w:pPr>
        <w:spacing w:after="0" w:line="225" w:lineRule="exact"/>
        <w:rPr>
          <w:rFonts w:ascii="Arial" w:cs="Arial" w:eastAsia="Arial" w:hAnsi="Arial"/>
          <w:sz w:val="18"/>
          <w:szCs w:val="18"/>
          <w:b w:val="1"/>
          <w:bCs w:val="1"/>
          <w:color w:val="auto"/>
        </w:rPr>
      </w:pPr>
    </w:p>
    <w:p>
      <w:pPr>
        <w:ind w:left="3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March 31, 2019 and December 31, 2018, the Company was authorized to issue 75,000,000 shares of its common stock, $0.0001 par value per share, and 46,353,068 shares of common stock were outstanding. After giving effect to shares reserved for the issuance of warrants and stock options, as of March 31, 2019, 21,159,337 shares of common stock were available for issuance.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On the Perceptive Closing Date, the Company issued the Perceptive Warrant, whereby Perceptive may purchase an aggregate of 1,360,000 shares of common stock at an exercise price of $3.28 per share. The Perceptive Warrant became exercisable on the Perceptive Closing Date, and were valued at $2.7 million. The Perceptive Warrant was valued using the Black-Scholes option-pricing model assuming an expected term of 10 years, a volatility of</w:t>
      </w:r>
    </w:p>
    <w:p>
      <w:pPr>
        <w:ind w:right="20"/>
        <w:spacing w:after="0" w:line="255" w:lineRule="auto"/>
        <w:rPr>
          <w:sz w:val="20"/>
          <w:szCs w:val="20"/>
          <w:color w:val="auto"/>
        </w:rPr>
      </w:pPr>
      <w:r>
        <w:rPr>
          <w:rFonts w:ascii="Arial" w:cs="Arial" w:eastAsia="Arial" w:hAnsi="Arial"/>
          <w:sz w:val="18"/>
          <w:szCs w:val="18"/>
          <w:color w:val="auto"/>
        </w:rPr>
        <w:t>61.2%, a dividend yield of 0% and a risk-free interest rate of 2.65%. At March 31, 2019, the Company had outstanding warrants to purchase an aggregate of 1,888,160 shares of common stock, with a weighted average exercise price of $3.69 per share and expiration dates ranging between June 2022 and February 2029.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360" w:type="dxa"/>
            <w:vAlign w:val="bottom"/>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0"/>
        </w:trPr>
        <w:tc>
          <w:tcPr>
            <w:tcW w:w="7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5.8 - 6.3 years</w:t>
            </w:r>
          </w:p>
        </w:tc>
        <w:tc>
          <w:tcPr>
            <w:tcW w:w="1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 years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Volatility</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4"/>
              </w:rPr>
              <w:t>61%</w:t>
            </w:r>
          </w:p>
        </w:tc>
        <w:tc>
          <w:tcPr>
            <w:tcW w:w="220" w:type="dxa"/>
            <w:vAlign w:val="bottom"/>
          </w:tcPr>
          <w:p>
            <w:pPr>
              <w:spacing w:after="0"/>
              <w:rPr>
                <w:sz w:val="18"/>
                <w:szCs w:val="18"/>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4"/>
              </w:rPr>
              <w:t>57%</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2.25-2.63%</w:t>
            </w:r>
          </w:p>
        </w:tc>
        <w:tc>
          <w:tcPr>
            <w:tcW w:w="220" w:type="dxa"/>
            <w:vAlign w:val="bottom"/>
          </w:tcPr>
          <w:p>
            <w:pPr>
              <w:spacing w:after="0"/>
              <w:rPr>
                <w:sz w:val="20"/>
                <w:szCs w:val="20"/>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0"/>
              </w:rPr>
              <w:t>2.59%</w:t>
            </w:r>
          </w:p>
        </w:tc>
      </w:tr>
    </w:tbl>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months ended March 31, 2019 and 2018, the Company granted options to purchase an aggregate of 1,330,850 and 848,700 shares of common stock, respectively, to its directors and employees. Also during the three months ended March 31, 2019 and 2018, the Company granted options to purchase 5,000 and 20,000 shares of common stock, respectively, to third party service providers.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weighted average remaining contractual life of stock options outstanding and expected to vest at March 31, 2019 is 7.8 years. The weighted average remaining contractual life of stock options exercisable at March 31, 2019 is 6.3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7360" w:type="dxa"/>
            <w:vAlign w:val="bottom"/>
          </w:tcPr>
          <w:p>
            <w:pPr>
              <w:spacing w:after="0"/>
              <w:rPr>
                <w:sz w:val="20"/>
                <w:szCs w:val="20"/>
                <w:color w:val="auto"/>
              </w:rPr>
            </w:pPr>
          </w:p>
        </w:tc>
        <w:tc>
          <w:tcPr>
            <w:tcW w:w="1840" w:type="dxa"/>
            <w:vAlign w:val="bottom"/>
            <w:gridSpan w:val="2"/>
          </w:tcPr>
          <w:p>
            <w:pPr>
              <w:ind w:left="5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4,342,231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(74,906)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1,335,850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2019</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5,599,435</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197"/>
        </w:trPr>
        <w:tc>
          <w:tcPr>
            <w:tcW w:w="7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Options exercisable</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2,588,091</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w:t>
            </w:r>
          </w:p>
        </w:tc>
      </w:tr>
      <w:tr>
        <w:trPr>
          <w:trHeight w:val="20"/>
        </w:trPr>
        <w:tc>
          <w:tcPr>
            <w:tcW w:w="7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w w:val="92"/>
              </w:rPr>
              <w:t>Stock-based compensation expense for the three ended March 31, 2019 and 2018 is as follows: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0"/>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78,305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Plasma centers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7,086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394,858</w:t>
            </w: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40,729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34,535</w:t>
            </w:r>
          </w:p>
        </w:tc>
      </w:tr>
      <w:tr>
        <w:trPr>
          <w:trHeight w:val="223"/>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637,263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514,784</w:t>
            </w:r>
          </w:p>
        </w:tc>
      </w:tr>
      <w:tr>
        <w:trPr>
          <w:trHeight w:val="20"/>
        </w:trPr>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380"/>
        <w:spacing w:after="0" w:line="277" w:lineRule="auto"/>
        <w:rPr>
          <w:sz w:val="20"/>
          <w:szCs w:val="20"/>
          <w:color w:val="auto"/>
        </w:rPr>
      </w:pPr>
      <w:r>
        <w:rPr>
          <w:rFonts w:ascii="Arial" w:cs="Arial" w:eastAsia="Arial" w:hAnsi="Arial"/>
          <w:sz w:val="18"/>
          <w:szCs w:val="18"/>
          <w:color w:val="auto"/>
        </w:rPr>
        <w:t>As of March 31, 2019, the Company had $6.2 million of unrecognized compensation expense related to options granted under the Company’s equity incentive plans, which is expected to be recognized over a weighted-average period of 2.8 years.</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34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Rent expense amounted to $30,000 for the three months ended March 31, 2019 and 2018, and includes fees for the use of such office space and for other information technology, general warehousing and administrative services. Areth is a company controlled by Dr. Jerrold B. Grossman, the Company’s Vice Chairman,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months ended March 31, 2019 and 2018.</w:t>
      </w:r>
    </w:p>
    <w:p>
      <w:pPr>
        <w:spacing w:after="0" w:line="167" w:lineRule="exact"/>
        <w:rPr>
          <w:rFonts w:ascii="Arial" w:cs="Arial" w:eastAsia="Arial" w:hAnsi="Arial"/>
          <w:sz w:val="18"/>
          <w:szCs w:val="18"/>
          <w:b w:val="1"/>
          <w:bCs w:val="1"/>
          <w:color w:val="auto"/>
        </w:rPr>
      </w:pPr>
    </w:p>
    <w:p>
      <w:pPr>
        <w:ind w:left="34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part of the Biotest Transaction, the Company issued a $15.0 million subordinated note payable to Biotest (see Note 6), and recognized interest expense on this note for the three months ended March 31, 2019 and 2018 in the amount of $0.2.</w:t>
      </w:r>
    </w:p>
    <w:p>
      <w:pPr>
        <w:spacing w:after="0" w:line="170" w:lineRule="exact"/>
        <w:rPr>
          <w:rFonts w:ascii="Arial" w:cs="Arial" w:eastAsia="Arial" w:hAnsi="Arial"/>
          <w:sz w:val="18"/>
          <w:szCs w:val="18"/>
          <w:b w:val="1"/>
          <w:bCs w:val="1"/>
          <w:color w:val="auto"/>
        </w:rPr>
      </w:pPr>
    </w:p>
    <w:p>
      <w:pPr>
        <w:ind w:left="340" w:right="10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2019 and 2018, the Company recognized revenues under its out-licensing agreements with Biotest of approximately $36,000. Deferred revenue of $2.5 million as of March 31, 2019 and December 31, 2018 is related to these agreements.</w:t>
      </w:r>
    </w:p>
    <w:p>
      <w:pPr>
        <w:spacing w:after="0" w:line="123" w:lineRule="exact"/>
        <w:rPr>
          <w:rFonts w:ascii="Arial" w:cs="Arial" w:eastAsia="Arial" w:hAnsi="Arial"/>
          <w:sz w:val="18"/>
          <w:szCs w:val="18"/>
          <w:b w:val="1"/>
          <w:bCs w:val="1"/>
          <w:color w:val="auto"/>
        </w:rPr>
      </w:pPr>
    </w:p>
    <w:p>
      <w:pPr>
        <w:ind w:left="34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Biotest was historically the Company’s largest customer for the sale of normal source plasma. Plasma sales to Biotest for the three months ended March 31, 2018 were $2.3 million. The agreement under which the Company supplied normal source plasma to Biotest expired by its terms on December 31, 2018 and was not renewed. Accounts receivable includes $0 and $1.0 million due from Biotest as of March 31, 2019 and December 31, 2018, respectively. Additionally, Biotest is a supplier of plasma to ADMA. For the three months ended March 31, 2019 and 2018, the Company purchased $0.2 million of plasma from Biotest. Included in accounts payable is $0.3 million and $2.0 million due to Biotest as of March 31, 2019 and December 31, 2018, respectively. The following table summarizes the related party balances with Biotest: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ind w:left="66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15"/>
        </w:trPr>
        <w:tc>
          <w:tcPr>
            <w:tcW w:w="2820" w:type="dxa"/>
            <w:vAlign w:val="bottom"/>
          </w:tcPr>
          <w:p>
            <w:pPr>
              <w:spacing w:after="0"/>
              <w:rPr>
                <w:sz w:val="24"/>
                <w:szCs w:val="24"/>
                <w:color w:val="auto"/>
              </w:rPr>
            </w:pPr>
          </w:p>
        </w:tc>
        <w:tc>
          <w:tcPr>
            <w:tcW w:w="48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ADMA BIOLOGICS, INC. AND SUBSIDIARIES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r>
        <w:trPr>
          <w:trHeight w:val="234"/>
        </w:trPr>
        <w:tc>
          <w:tcPr>
            <w:tcW w:w="9200" w:type="dxa"/>
            <w:vAlign w:val="bottom"/>
            <w:gridSpan w:val="5"/>
          </w:tcPr>
          <w:p>
            <w:pPr>
              <w:ind w:left="180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6"/>
        </w:trPr>
        <w:tc>
          <w:tcPr>
            <w:tcW w:w="2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28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r>
      <w:tr>
        <w:trPr>
          <w:trHeight w:val="210"/>
        </w:trPr>
        <w:tc>
          <w:tcPr>
            <w:tcW w:w="28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 and purchase of plasma</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4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2,328,291</w:t>
            </w: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195,018</w:t>
            </w:r>
          </w:p>
        </w:tc>
        <w:tc>
          <w:tcPr>
            <w:tcW w:w="2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35,708</w:t>
            </w:r>
          </w:p>
        </w:tc>
        <w:tc>
          <w:tcPr>
            <w:tcW w:w="2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8"/>
                <w:szCs w:val="18"/>
                <w:color w:val="auto"/>
              </w:rPr>
            </w:pPr>
          </w:p>
        </w:tc>
      </w:tr>
      <w:tr>
        <w:trPr>
          <w:trHeight w:val="427"/>
        </w:trPr>
        <w:tc>
          <w:tcPr>
            <w:tcW w:w="2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82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961,145</w:t>
            </w:r>
          </w:p>
        </w:tc>
        <w:tc>
          <w:tcPr>
            <w:tcW w:w="26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Accounts payable</w:t>
            </w: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296,362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2,010,774</w:t>
            </w: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10,659</w:t>
            </w:r>
          </w:p>
        </w:tc>
        <w:tc>
          <w:tcPr>
            <w:tcW w:w="26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Note payable, net of discount</w:t>
            </w: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14,882,337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14,874,184</w:t>
            </w: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Deferred revenue</w:t>
            </w:r>
          </w:p>
        </w:tc>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2,511,491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2,547,199</w:t>
            </w:r>
          </w:p>
        </w:tc>
        <w:tc>
          <w:tcPr>
            <w:tcW w:w="260" w:type="dxa"/>
            <w:vAlign w:val="bottom"/>
          </w:tcPr>
          <w:p>
            <w:pPr>
              <w:spacing w:after="0"/>
              <w:rPr>
                <w:sz w:val="20"/>
                <w:szCs w:val="20"/>
                <w:color w:val="auto"/>
              </w:rPr>
            </w:pPr>
          </w:p>
        </w:tc>
      </w:tr>
    </w:tbl>
    <w:p>
      <w:pPr>
        <w:spacing w:after="0" w:line="187"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In connection with the acquisition of the Biotest Assets, the Company entered into a Transition Services Agreement with BPC pursuant to which each of the Company and BPC agreed to provide transition services to the other party, including services related to finance, human resources, information technologies, leasing of equipment and clinical and regulatory services for a period of up to 24 months after the June 6, 2017 closing date, as well as agreements to lease certain laboratory space within the Boca Facility to BPC for a period of up to 24 months after the closing date of the acquisition transaction. As of March 31, 2019 and December 31, 2018, approximately $24,000 and $11,000, respectively, was payable by the Company to BPC for services rendered and expenses incurred on behalf of the Company related to these agreements. This amount is reflected in accrued expenses in the accompanying consolidated balance sheets.</w:t>
      </w:r>
    </w:p>
    <w:p>
      <w:pPr>
        <w:spacing w:after="0" w:line="189" w:lineRule="exact"/>
        <w:rPr>
          <w:sz w:val="20"/>
          <w:szCs w:val="20"/>
          <w:color w:val="auto"/>
        </w:rPr>
      </w:pPr>
    </w:p>
    <w:p>
      <w:pPr>
        <w:ind w:left="340" w:right="80"/>
        <w:spacing w:after="0" w:line="302" w:lineRule="auto"/>
        <w:rPr>
          <w:sz w:val="20"/>
          <w:szCs w:val="20"/>
          <w:color w:val="auto"/>
        </w:rPr>
      </w:pPr>
      <w:r>
        <w:rPr>
          <w:rFonts w:ascii="Arial" w:cs="Arial" w:eastAsia="Arial" w:hAnsi="Arial"/>
          <w:sz w:val="16"/>
          <w:szCs w:val="16"/>
          <w:color w:val="auto"/>
        </w:rPr>
        <w:t>Under the terms of the acquisition of the Biotest Assets, the Company transferred ownership of two plasma collection centers to BPC on January 1, 2019 (see Note 11). The Company and BPC entered into an additional transition services agreement effective as of January 1, 2019 under which the Company agreed to provide certain transition services to BPC related to the plasma collection centers that were transferred. Amounts billed to BPC by the Company under this agreement for the three months ended March 31, 2019 were not material to the consolidated financial statements.</w:t>
      </w:r>
    </w:p>
    <w:p>
      <w:pPr>
        <w:spacing w:after="0" w:line="154" w:lineRule="exact"/>
        <w:rPr>
          <w:sz w:val="20"/>
          <w:szCs w:val="20"/>
          <w:color w:val="auto"/>
        </w:rPr>
      </w:pPr>
    </w:p>
    <w:p>
      <w:pPr>
        <w:ind w:left="340" w:right="680"/>
        <w:spacing w:after="0" w:line="277" w:lineRule="auto"/>
        <w:rPr>
          <w:sz w:val="20"/>
          <w:szCs w:val="20"/>
          <w:color w:val="auto"/>
        </w:rPr>
      </w:pPr>
      <w:r>
        <w:rPr>
          <w:rFonts w:ascii="Arial" w:cs="Arial" w:eastAsia="Arial" w:hAnsi="Arial"/>
          <w:sz w:val="18"/>
          <w:szCs w:val="18"/>
          <w:color w:val="auto"/>
        </w:rPr>
        <w:t>See Notes 6 and 14 for a discussion of the Company’s credit facility and related transactions with Perceptive, a holder of greater than 10% of the Company’s common stock.</w:t>
      </w:r>
    </w:p>
    <w:p>
      <w:pPr>
        <w:spacing w:after="0" w:line="166" w:lineRule="exact"/>
        <w:rPr>
          <w:sz w:val="20"/>
          <w:szCs w:val="20"/>
          <w:color w:val="auto"/>
        </w:rPr>
      </w:pPr>
    </w:p>
    <w:p>
      <w:pPr>
        <w:ind w:left="340" w:right="7640" w:hanging="332"/>
        <w:spacing w:after="0" w:line="503"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i w:val="1"/>
          <w:iCs w:val="1"/>
          <w:u w:val="single" w:color="auto"/>
          <w:color w:val="auto"/>
        </w:rPr>
        <w:t>General Legal Matters</w:t>
      </w: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Contract manufacturing agreement</w:t>
      </w:r>
    </w:p>
    <w:p>
      <w:pPr>
        <w:spacing w:after="0" w:line="225" w:lineRule="exact"/>
        <w:rPr>
          <w:sz w:val="20"/>
          <w:szCs w:val="20"/>
          <w:color w:val="auto"/>
        </w:rPr>
      </w:pPr>
    </w:p>
    <w:p>
      <w:pPr>
        <w:ind w:left="340" w:right="320"/>
        <w:spacing w:after="0" w:line="259" w:lineRule="auto"/>
        <w:rPr>
          <w:sz w:val="20"/>
          <w:szCs w:val="20"/>
          <w:color w:val="auto"/>
        </w:rPr>
      </w:pPr>
      <w:r>
        <w:rPr>
          <w:rFonts w:ascii="Arial" w:cs="Arial" w:eastAsia="Arial" w:hAnsi="Arial"/>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This contract, as amended from time to time,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2019.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rFonts w:ascii="Arial" w:cs="Arial" w:eastAsia="Arial" w:hAnsi="Arial"/>
          <w:sz w:val="18"/>
          <w:szCs w:val="18"/>
          <w:b w:val="1"/>
          <w:bCs w:val="1"/>
          <w:color w:val="auto"/>
        </w:rPr>
      </w:pPr>
    </w:p>
    <w:p>
      <w:pPr>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engaged in the manufacture, marketing and development of specialty plasma-derived biologics. The Company’s ADMA BioManufacturing segment reflects the Company’s immune globulin manufacturing and development operations in Boca Raton, FL, acquired on June 6, 2017 (see Note 1). The Plasma Collection Centers segment consists of one and three FDA-licensed source plasma collection facility located in Georgia for the three months ended March 31, 2019 and 2018, respectively.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0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 March 31, 2019</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1,343,983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2,148,898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7,940,346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1,464,833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(13,208,416)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11,527,421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(10,790,420)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11,570,620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(13,848,155)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(13,067,955)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687,393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114,241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57,529,070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4,038,367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16,552,533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78,119,970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 March 31, 2018</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1,666,243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2,340,055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10,697,642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1,545,106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12,242,748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(12,724,718)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(16,532,503)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(12,964,772)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(17,822,142)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47,481,781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27,532,613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16,123,231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91,137,625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631,832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188,914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105,199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444,047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rFonts w:ascii="Arial" w:cs="Arial" w:eastAsia="Arial" w:hAnsi="Arial"/>
          <w:sz w:val="18"/>
          <w:szCs w:val="18"/>
          <w:b w:val="1"/>
          <w:bCs w:val="1"/>
          <w:color w:val="auto"/>
        </w:rPr>
      </w:pPr>
    </w:p>
    <w:p>
      <w:pPr>
        <w:ind w:left="34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which is reflected in non-current liabilities in the accompanying consolidated balance sheet as of December 31, 2018.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3" w:name="page24"/>
    <w:bookmarkEnd w:id="2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rFonts w:ascii="Arial" w:cs="Arial" w:eastAsia="Arial" w:hAnsi="Arial"/>
          <w:sz w:val="18"/>
          <w:szCs w:val="18"/>
          <w:b w:val="1"/>
          <w:bCs w:val="1"/>
          <w:color w:val="auto"/>
        </w:rPr>
      </w:pPr>
    </w:p>
    <w:p>
      <w:pPr>
        <w:ind w:left="340" w:righ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leases certain properties and equipment for its ADMA Bio Centers subsidiary and certain equipment for its ADMA BioManufacturing subsidiary, which leases provide the right to use the underlying assets and require lease payments through the respective lease terms which expire at various dates through 2026. The Company’s lease agreements do not contain any material residual value guarantees or material restrictive covenants.</w:t>
      </w:r>
    </w:p>
    <w:p>
      <w:pPr>
        <w:spacing w:after="0" w:line="146" w:lineRule="exact"/>
        <w:rPr>
          <w:rFonts w:ascii="Arial" w:cs="Arial" w:eastAsia="Arial" w:hAnsi="Arial"/>
          <w:sz w:val="18"/>
          <w:szCs w:val="18"/>
          <w:b w:val="1"/>
          <w:bCs w:val="1"/>
          <w:color w:val="auto"/>
        </w:rPr>
      </w:pPr>
    </w:p>
    <w:p>
      <w:pPr>
        <w:ind w:left="34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date of application of ASU 2016-02, or the lease commencement date. For the lease liabilities recognized upon the application of ASU 2016-02, the Company used a discount rate of 13% to determine the present value of its lease obligations. The Company’s operating lease expense is recognized on a straight-line basis over the lease term and is reflected in Plasma center operating expenses and Selling, general and administrative expenses. Aggregate rent expense and cash paid for the Company’s operating leases was $0.1 million for the three months ended March 31, 2019.</w:t>
      </w:r>
    </w:p>
    <w:p>
      <w:pPr>
        <w:spacing w:after="0" w:line="166" w:lineRule="exact"/>
        <w:rPr>
          <w:rFonts w:ascii="Arial" w:cs="Arial" w:eastAsia="Arial" w:hAnsi="Arial"/>
          <w:sz w:val="18"/>
          <w:szCs w:val="18"/>
          <w:b w:val="1"/>
          <w:bCs w:val="1"/>
          <w:color w:val="auto"/>
        </w:rPr>
      </w:pPr>
    </w:p>
    <w:p>
      <w:pPr>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adoption of ASU 2016-02 on January 1, 2019 (see Note 2), the Company recognized right to use assets and lease liabilities of approximately $1.4 million. The right-to-use assets are reflected in Deposits and other assets in the accompanying consolidated balance sheet as of March 31, 2019. Including a finance lease the Company entered into in June 2018, the Company has aggregate lease liabilities of $1.7 million as of March 31, 2019, which are comprised primarily of the lease for the Company’s plasma collection center in Kennesaw, GA and an administrative office lease in Roswell, GA related to the Company’s ADMA Bio Centers subsidiary. The Company’s operating leases have a weighted average remaining term of 6.6 years. Scheduled payments under the Company’s lease obligations are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20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Remainder of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303,686</w:t>
            </w:r>
          </w:p>
        </w:tc>
      </w:tr>
      <w:tr>
        <w:trPr>
          <w:trHeight w:val="216"/>
        </w:trPr>
        <w:tc>
          <w:tcPr>
            <w:tcW w:w="9200" w:type="dxa"/>
            <w:vAlign w:val="bottom"/>
          </w:tcPr>
          <w:p>
            <w:pPr>
              <w:jc w:val="right"/>
              <w:ind w:right="4790"/>
              <w:spacing w:after="0"/>
              <w:rPr>
                <w:sz w:val="20"/>
                <w:szCs w:val="20"/>
                <w:color w:val="auto"/>
              </w:rPr>
            </w:pPr>
            <w:r>
              <w:rPr>
                <w:rFonts w:ascii="Arial" w:cs="Arial" w:eastAsia="Arial" w:hAnsi="Arial"/>
                <w:sz w:val="18"/>
                <w:szCs w:val="18"/>
                <w:color w:val="auto"/>
              </w:rPr>
              <w:t>Year ended December 31, 2020</w:t>
            </w:r>
          </w:p>
        </w:tc>
        <w:tc>
          <w:tcPr>
            <w:tcW w:w="4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400,837</w:t>
            </w:r>
          </w:p>
        </w:tc>
      </w:tr>
      <w:tr>
        <w:trPr>
          <w:trHeight w:val="216"/>
        </w:trPr>
        <w:tc>
          <w:tcPr>
            <w:tcW w:w="920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378,932</w:t>
            </w:r>
          </w:p>
        </w:tc>
      </w:tr>
      <w:tr>
        <w:trPr>
          <w:trHeight w:val="216"/>
        </w:trPr>
        <w:tc>
          <w:tcPr>
            <w:tcW w:w="9200" w:type="dxa"/>
            <w:vAlign w:val="bottom"/>
          </w:tcPr>
          <w:p>
            <w:pPr>
              <w:jc w:val="right"/>
              <w:ind w:right="479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379,969</w:t>
            </w:r>
          </w:p>
        </w:tc>
      </w:tr>
      <w:tr>
        <w:trPr>
          <w:trHeight w:val="216"/>
        </w:trPr>
        <w:tc>
          <w:tcPr>
            <w:tcW w:w="920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360,197</w:t>
            </w:r>
          </w:p>
        </w:tc>
      </w:tr>
      <w:tr>
        <w:trPr>
          <w:trHeight w:val="230"/>
        </w:trPr>
        <w:tc>
          <w:tcPr>
            <w:tcW w:w="9200" w:type="dxa"/>
            <w:vAlign w:val="bottom"/>
            <w:tcBorders>
              <w:bottom w:val="single" w:sz="8" w:color="CCEEFF"/>
            </w:tcBorders>
          </w:tcPr>
          <w:p>
            <w:pPr>
              <w:jc w:val="right"/>
              <w:ind w:right="479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606,913</w:t>
            </w:r>
          </w:p>
        </w:tc>
      </w:tr>
      <w:tr>
        <w:trPr>
          <w:trHeight w:val="210"/>
        </w:trPr>
        <w:tc>
          <w:tcPr>
            <w:tcW w:w="920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Total payments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2,430,534</w:t>
            </w:r>
          </w:p>
        </w:tc>
      </w:tr>
      <w:tr>
        <w:trPr>
          <w:trHeight w:val="230"/>
        </w:trPr>
        <w:tc>
          <w:tcPr>
            <w:tcW w:w="9200" w:type="dxa"/>
            <w:vAlign w:val="bottom"/>
            <w:tcBorders>
              <w:bottom w:val="single" w:sz="8" w:color="CCEEFF"/>
            </w:tcBorders>
          </w:tcPr>
          <w:p>
            <w:pPr>
              <w:jc w:val="right"/>
              <w:ind w:right="479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(759,576)</w:t>
            </w:r>
          </w:p>
        </w:tc>
      </w:tr>
      <w:tr>
        <w:trPr>
          <w:trHeight w:val="223"/>
        </w:trPr>
        <w:tc>
          <w:tcPr>
            <w:tcW w:w="9200" w:type="dxa"/>
            <w:vAlign w:val="bottom"/>
            <w:tcBorders>
              <w:bottom w:val="single" w:sz="8" w:color="CCEEFF"/>
            </w:tcBorders>
            <w:shd w:val="clear" w:color="auto" w:fill="CCEEFF"/>
          </w:tcPr>
          <w:p>
            <w:pPr>
              <w:jc w:val="right"/>
              <w:ind w:right="4790"/>
              <w:spacing w:after="0"/>
              <w:rPr>
                <w:sz w:val="20"/>
                <w:szCs w:val="20"/>
                <w:color w:val="auto"/>
              </w:rPr>
            </w:pPr>
            <w:r>
              <w:rPr>
                <w:rFonts w:ascii="Arial" w:cs="Arial" w:eastAsia="Arial" w:hAnsi="Arial"/>
                <w:sz w:val="18"/>
                <w:szCs w:val="18"/>
                <w:color w:val="auto"/>
              </w:rPr>
              <w:t>Balance at March 31, 2019</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1,670,958</w:t>
            </w:r>
          </w:p>
        </w:tc>
      </w:tr>
      <w:tr>
        <w:trPr>
          <w:trHeight w:val="20"/>
        </w:trPr>
        <w:tc>
          <w:tcPr>
            <w:tcW w:w="9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for the three months ended March 31, 2019 and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83"/>
        </w:trPr>
        <w:tc>
          <w:tcPr>
            <w:tcW w:w="77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1,369,939</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825,513</w:t>
            </w:r>
          </w:p>
        </w:tc>
      </w:tr>
      <w:tr>
        <w:trPr>
          <w:trHeight w:val="197"/>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83"/>
        </w:trPr>
        <w:tc>
          <w:tcPr>
            <w:tcW w:w="7780" w:type="dxa"/>
            <w:vAlign w:val="bottom"/>
          </w:tcPr>
          <w:p>
            <w:pPr>
              <w:ind w:left="34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35,823</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116,766</w:t>
            </w:r>
          </w:p>
        </w:tc>
      </w:tr>
      <w:tr>
        <w:trPr>
          <w:trHeight w:val="197"/>
        </w:trPr>
        <w:tc>
          <w:tcPr>
            <w:tcW w:w="778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Warrants issued in connection with notes payable</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2,699,208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right="9120" w:hanging="332"/>
        <w:spacing w:after="0" w:line="503"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SUBSEQUENT EVENTS </w:t>
      </w:r>
      <w:r>
        <w:rPr>
          <w:rFonts w:ascii="Arial" w:cs="Arial" w:eastAsia="Arial" w:hAnsi="Arial"/>
          <w:sz w:val="18"/>
          <w:szCs w:val="18"/>
          <w:u w:val="single" w:color="auto"/>
          <w:color w:val="auto"/>
        </w:rPr>
        <w:t>BLA Approval</w:t>
      </w:r>
    </w:p>
    <w:p>
      <w:pPr>
        <w:jc w:val="both"/>
        <w:ind w:left="3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April 1, 2019, the FDA approved ASCENIV, Immune Globulin Intravenous, Human – slra 10% Liquid, formerly referred to as RI-002. ASCENIV is an IVIG drug product for the treatment of PI in adults and adolescents (12 to 17 years of age). The Company anticipates having the product available for commercial launch during the second half of 2019.</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Credit Facility</w:t>
      </w:r>
    </w:p>
    <w:p>
      <w:pPr>
        <w:spacing w:after="0" w:line="225" w:lineRule="exact"/>
        <w:rPr>
          <w:rFonts w:ascii="Arial" w:cs="Arial" w:eastAsia="Arial" w:hAnsi="Arial"/>
          <w:sz w:val="18"/>
          <w:szCs w:val="18"/>
          <w:b w:val="1"/>
          <w:bCs w:val="1"/>
          <w:color w:val="auto"/>
        </w:rPr>
      </w:pPr>
    </w:p>
    <w:p>
      <w:pPr>
        <w:ind w:left="3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May 3, 2019, in connection with the FDA’s approval of ASCENIV, the Company accessed the additional $27.5 million available under the Perceptive Credit Facility through the issuance of a promissory note evidencing the Perceptive Tranche II Loan (see Note 6). The Company intends to use the proceeds from the Perceptive Tranche II Loan (i) to support the commercial launch of ASCENIV anticipated during the second half of 2019, (ii) to expand the Company’s plasma collection facility network; and (iii) for working capital and general corporate purposes, including the procurement of raw material inventory.</w:t>
      </w:r>
    </w:p>
    <w:p>
      <w:pPr>
        <w:spacing w:after="0" w:line="188" w:lineRule="exact"/>
        <w:rPr>
          <w:rFonts w:ascii="Arial" w:cs="Arial" w:eastAsia="Arial" w:hAnsi="Arial"/>
          <w:sz w:val="18"/>
          <w:szCs w:val="18"/>
          <w:b w:val="1"/>
          <w:bCs w:val="1"/>
          <w:color w:val="auto"/>
        </w:rPr>
      </w:pPr>
    </w:p>
    <w:p>
      <w:pPr>
        <w:ind w:left="34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Also on May 3, 2019, the Company and Perceptive entered into an amendment to the Perceptive Credit Agreement (the “Perceptive Amendment”) whereby Perceptive agreed to an additional commitment under the Perceptive Credit Facility in the principal amount of up to $12.5 million (the “Perceptive Tranche III Loan”) to be drawn-down at the Company’s sole option. The Perceptive Tranche III Loan is subject to the satisfaction of certain conditions, including, but not limited to, FDA approval of the BIVIGAM PAS and no Material Adverse Changes (as defined in the Perceptive Credit Agreement) having occurred since December 31, 2018; provided that the Perceptive Tranche III Loan would not be made later than March 31, 2020. The Perceptive Tranche III Loan will have terms that are substantially identical to those of the Initial Perceptive Loans. The Perceptive Amendment required the Company to pay certain proceeds of the Perceptive Tranche II Loan to Perceptive on May 3, 2019 as a facility fee. In addition, the Company issued a warrant (the “Perceptive Tranche III Warrant”) to purchase 250,000 shares of the Company’s common stock to Perceptive with an exercise price equal to $4.64 per share, which represents the trailing 10-day volume weighted average price of the Company’s common stock as of May 2, 2019. The warrant has an expiration date of May 3, 2029.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2018, filed on March 13, 2019 (the “2018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ADMA Biologics, Inc. (the “Company”, “ADMA”, “we”, “us” or “our”) is a vertically integrated commercial biopharmaceutical and specialty immunoglobulin company that manufactures, markets and develops specialty plasma-derived biologics for the treatment of immune deficiencies and the prevention and treatment of certain infectious diseases. Our targeted patient populations include immune-compromised individuals who suffer from an underlying immune deficiency disorder or who may be immune-suppressed for medical reasons.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We currently have three products with United States Food and Drug Administration (the “FDA”) Biologics License Application (“BLA”) approvals: Nabi-HB (Hepatitis B Immune Globulin, Human), which is currently marketed and commercially available and is indicated for the treatment of acute exposure to blood containing Hepatitis B surface antigen (“HBsAg”), and other listed exposures to Hepatitis B; ASCENIV (Immune Globulin Intravenous, Human – slra 10% Liquid), previously referred to as RI-002, an Intravenous Immune Globulin (“IVIG”) product for the treatment of Primary Humoral Immunodeficiency Disease (“PIDD” or “PI”), for which we received FDA approval on April 1, 2019; and BIVIGAM (Immune Globulin Intravenous, Human), for which commercial distribution has been temporarily suspended since December 2016 and for which we have submitted a Prior Approval Supplement (the “PAS”) to the FDA to amend the approved BLA to allow for the commercial re-launch of the product, which is indicated for the treatment of primary humoral immunodeficiency. We cannot provide any assurances or predict with any certainty the schedule for which we will, if at all, receive approval from the FDA with respect to the PAS.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During fiscal 2018, through our wholly-owned subsidiary, ADMA Bio Centers Georgia, Inc. (“ADMA Bio Centers”), we operated three FDA-licensed source plasma collection facilities located in the U.S., two of which were transferred to Biotest Pharmaceuticals Corporation (“BPC”) on January 1, 2019, pursuant to the acquisition transaction described below. Our remaining source plasma collection facility located in Kennesaw, GA provides us with a portion of our blood plasma for the manufacture of our products and product candidates. We intend to open additional plasma collection centers in the U.S. during the next few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in other locations where plasma from ADMA Bio Centers is approved globally under supply agreements, or in the open "spot" market.</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BPC (and, together with Biotest AG, “Biotest”), which included two FDA-licensed products, Nabi-HB and BIVIGAM, and a plasma fractionation facility located in Boca Raton, FL (the “Boca Facility”) (the “Biotest Transaction”). BTBU was our third-party manufacturer for our then-lead pipeline product candidate, previously referred to as “RI-002.” The Boca Facility is FDA-licensed and certified by the German Health Authority. In addition to the manufacture and sale of Nabi-HB and ASCENIV and the manufacture of BIVIGAM, we also provide contract manufacturing services for certain historical clients, including the potential sale of intermediate by-products.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Prior to the acquisition of BTBU and the FDA approval for ASCENIV, in July 2016 the FDA issued a Complete Response Letter (“CRL”) to us for our Biologics License Application (“BLA”) for RI-002. The RI-002 CRL reaffirmed the issues set forth in the November 2014 warning letter (the “Warning Letter”) that had been issued by the FDA to Biotest related to certain compliance issues identified at the Boca Facility, but did not cite any concerns with the clinical safety or efficacy data for RI-002, nor did the FDA request any additional clinical studies be completed prior to FDA approval of RI-002. The FDA identified in the RI-002 CRL, among other things, certain outstanding inspection issues and deficiencies related to chemistry, manufacturing and controls and Good Manufacturing Practices at the Boca Facility and certain of our third-party vendors, and requested documentation of corrections for a number of these issues. The FDA had indicated in the RI-002 CRL that it could not grant final approval of the RI-002 BLA until, among other things, these deficiencies were resolved. Upon the completion of the Biotest Transaction, we gained control over the regulatory, quality, general operations and drug substance manufacturing process at the Boca Facility. In April 2018, the FDA inspected the Boca Facility and in July 2018 our FDA status with respect to the Boca Facility improved from Official Action Indicated to Voluntary Action Indicated, and we determined that this inspection of the Boca Facility was successfully closed out.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 (formerly referred to as RI-002)</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ASCENIV is a plasma-derived, polyclonal, IVIG. ASCENIV is manufactured under a U.S. Department of Health and Human Services (“HHS”) License No. 2019 using a process known as fractionation, using our unique, patented plasma donor screening methodology and tailored plasma pooling design, which blends normal source plasma and plasma from donors tested to have high levels of neutralizing titers to Respiratory Syncytial Virus (“RSV”) using our proprietary microneutralization assay. ASCENIV contains naturally occurring polyclonal antibodies, and is indicated for the treatment of PIDD in adults and adolescents (12 to 17 years of age). Polyclonal antibodies are proteins that are used by the body's immune system to neutralize microbes, such as bacteria and viruses and prevent against infection and disease. ASCENIV is approved for the treatment of PIDD, having completed a pivotal Phase III clinical trial among fifty-nine patients treated for twelve months during the pivotal investigation and met the primary endpoint of no Serious Bacterial Infections (“SBIs”) reported. Secondary efficacy endpoints further demonstrated the benefits of ASCENIV in the low incidence of infection, therapeutic antibiotic use, days missed from work/school/daycare and unscheduled medical visits and hospitalizations. We anticipate the commercial launch of ASCENIV during the second half of 2019. We believe this FDA approval better positions ADMA to further its mission to evaluate ASCENIV in immune-compromised patients infected with or at-risk for RSV infection. We look forward to working with the FDA and the immunology and infectious disease community on developing a clinical investigation to evaluate use of ASCENIV in this patient population in the near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Subsequent to the end of 2017, we received authorization from the FDA for the release of our first commercial batch of Nabi-HB for commercial distribution in the U.S.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BIVIGAM is an intravenous immune globulin indicated for the treatment of primary humoral immunodeficiency. This includes, but is not limited to, X-linked and congenital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(“IgG”) antibodies.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BIVIGAM is currently under FDA review for the PAS that we submitted to the FDA in June 2018 to amend BIVIGAM’s FDA-approved BLA which, once approved, would enable us to relaunch and commercialize this product in the U.S. In December 2018, we received a CRL from the FDA in response to the PAS (the “BIVIGAM CRL”), and we have since received several information requests from the FDA, each containing a limited number of questions. We believe that all requests contained in the various information requests were addressable, and we have responded to all of them. To date we have not received a formal BIVIGAM CRL resubmission acknowledgement and have not received clarity on the FDA’s intended classification or review timing. Although we believe that the FDA is actively reviewing the PAS submission and subsequent information request responses, we cannot provide any assurance or predict with certainty the schedule for when we will, if at all, receive authorization from the FDA with respect to the PAS. In addition, the anticipated relaunch of BIVIGAM is dependent upon the timing of certain FDA decisions, production slots available with our contracted fill/finish provider, approvals that may need to be obtained for product labeling as well as other commercial requirements and regulatory factors. Biotest had originally received FDA approval for BIVIGAM on December 19, 2012, prior to the acquisition of BTBU, and product sales commenced in the first quarter of 2013. In December 2016, Biotest temporarily suspended the commercial production of BIVIGAM in order to focus on the completion of planned improvements to the manufacturing process. ADMA resumed production of BIVIGAM during the fourth quarter of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fair value of assets acquired and liabilities assumed in a business combination, realizable value of accounts receivable, valuation of inventory, assumptions used in the fair value of awards granted under our equity incentive plans and warrants issued in connection with the issuance of notes payable and the valuation allowance for our deferred tax assets.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in the 2018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Revenues for the three months ended March 31, 2019 are comprised of (i) revenues from Nabi-HB, (ii) product revenues from the sale of human plasma collected from our plasma collection centers business segment; and (iii) license and other revenues primarily attributable to the out-licensing of RI-002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for a period of approximately 22 years from December 31, 2012, the term of the Biotest license agreement.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Nabi-HB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we believe that such estimates are reasonable. For revenues associated with contract manufacturing, control transfers to the customer and the performance obligation is satisfied when the customer takes possession of the product from the Boca Facility.</w:t>
      </w:r>
    </w:p>
    <w:p>
      <w:pPr>
        <w:spacing w:after="0" w:line="16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three months ended March 31, 2019, two customers represented an aggregate of 81% of our consolidated revenues, with Biolife Plasma Services, L.P. (“Biolife”) and AmerisourceBergen representing 61%, and 20%, respectively, of our consolidated revenues. For the three months ended March 31, 2018, three customers represented an aggregate of 90% of our consolidated revenues, with BPC, McKesson Corporation (“McKesson”) and AmerisourceBergen representing 58%, 17% and 15%, respectively, of our consolidated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 At March 31, 2019, four customers represented an aggregate of 96% of our total accounts receivable, with Biolife, AmerisourceBergen, McKesson and Cardinal Health representing approximately 32%, 29%, 20% and 15%, respectively, of our consolidated accounts receivable. At December 31, 2018, BPC, AmerisourceBergen and Cardinal Health accounted for 59%, 23% and 12%, respectively, of our consolidated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at the Boca Facility by the FDA prior to the closing of the Biotest Transaction for the three months ended March 31, 2019 and 2018 of approximately $0.1 million and $0.7 million, respectively, are expensed as incurred and are reflected in cost of product revenue. In addition, for the three months ended March 31, 2019, all operating expenses associated with the Boca Facility, other than the Nabi-HB production and contract manufacturing production that was capitalized into inventory, have been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we use the Black-Scholes option pricing model. We granted options to purchase an aggregate of 1,335,850 and 868,700 shares of common stock, $0.0001 par value per share (“Common Stock”) during the three months ended March 31, 2019 and 2018, respectively. To determine the risk-free interest rate, we utilized the U.S. Treasury yield curve in effect at the time of the grant with a term consistent with the expected term of our awards. The expected term of the options granted is in accordance with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research and development (“R&amp;D”) costs consist of clinical research organization costs, costs related to clinical trials, post-marketing commitment studies for BIVIGAM , assay development and testing, storage and transportation costs for high-titer plasma used in the historical manufacture of ASCENIV, as well as wages, benefits and stock-based compensation for employees directly related to R&amp;D activities. All R&amp;D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months ended March 31, 2019 and 2018, we determined that there was no impairment of our long-lived assets.</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a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three months ended March 31,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w:t>
      </w:r>
    </w:p>
    <w:p>
      <w:pPr>
        <w:spacing w:after="0" w:line="46" w:lineRule="exact"/>
        <w:rPr>
          <w:sz w:val="20"/>
          <w:szCs w:val="20"/>
          <w:color w:val="auto"/>
        </w:rPr>
      </w:pPr>
    </w:p>
    <w:p>
      <w:pPr>
        <w:ind w:right="40" w:firstLine="8"/>
        <w:spacing w:after="0" w:line="268" w:lineRule="auto"/>
        <w:tabs>
          <w:tab w:leader="none" w:pos="3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will be no restatement of comparative periods. We recognized right-to-use assets and corresponding lease liabilities of approximately $1.4 million at the date of adoption (see Note 12 to the consolidated financial statements). The right-to-use assets are reflected in Deposits and other assets in the accompanying consolidated balance sheet as of March 31, 2019. We also elected the “package of practical expedients”, which permits us to not reassess under the new standard our prior conclusions about lease identification, lease classification and initial direct costs. In addition, we elected the short-term lease recognition exemption for all leases that qualify.</w:t>
      </w:r>
    </w:p>
    <w:p>
      <w:pPr>
        <w:spacing w:after="0" w:line="18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July 2017, the FASB issued ASU No. 2017-11, Earnings Per Share (Topic 260), Distinguishing Liabilities from Equity (Topic 480), Derivatives and Hedging (Topic 815)” (“ASU 2017-11”). ASU 2017-11 changed the 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us on January 1, 2019, and this update did not have a significant impact on our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March 31, 2019, our first fiscal quarter, compared to the three months ended March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180" w:type="dxa"/>
            <w:vAlign w:val="bottom"/>
            <w:tcBorders>
              <w:bottom w:val="single" w:sz="8" w:color="auto"/>
            </w:tcBorders>
          </w:tcPr>
          <w:p>
            <w:pPr>
              <w:spacing w:after="0"/>
              <w:rPr>
                <w:sz w:val="20"/>
                <w:szCs w:val="20"/>
                <w:color w:val="auto"/>
              </w:rPr>
            </w:pPr>
          </w:p>
        </w:tc>
      </w:tr>
      <w:tr>
        <w:trPr>
          <w:trHeight w:val="191"/>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Increase</w:t>
            </w:r>
          </w:p>
        </w:tc>
      </w:tr>
      <w:tr>
        <w:trPr>
          <w:trHeight w:val="234"/>
        </w:trPr>
        <w:tc>
          <w:tcPr>
            <w:tcW w:w="6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(Decrease)</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3,528,589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4,042,006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(513,417)</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9,405,179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12,242,748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(2,837,569)</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(8,200,742)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2,324,152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870,635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965,571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(94,936)</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654,486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1,833,774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(1,179,288)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5,595,470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5,321,181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274,289</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(13,208,416)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(16,532,503)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3,324,087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(217,355)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11,527,421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116,042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82,529</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4,754,187</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recorded total revenues of $3.5 million during the three months ended March 31, 2019, as compared to $4.0 million during the three months ended March 31, 2018, a decrease of $0.5 million, or approximately 13%. The decrease is due to a $0.3 million decrease in Nabi-HB revenues related to the timing of customer shipment requests, and a $0.2 million decrease in source plasma revenue from our ADMA Bio Centers operations, mainly due to the expiration of our supply agreement with Biotest in 2018, as well as having only one FDA-approved plasma collection center operating during the first quarter of 2019, as compared to two FDA-approved plasma collection centers in the first quarter of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Cost of product revenue was $9.4 million for the three months ended March 31, 2019, as compared to $12.2 million for the three months ended March 31, 2018, a decrease of $2.8 million. During the three months ended March 31, 2018, we produced three conformance lots of ASCENIV and one conformance lot of BIVIGAM which we charged to expense in the amount of $4.1 million, as compared to one lot of BIVIGAM charged to expense in 2019 in the amount of $0.8 million. In addition, remediation costs incurred at the Boca Facility decreased by $0.7 million in 2019 as compared to 2018. These amounts were partially offset by an increase in underabsorbed overhead in the amount $1.3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R&amp;D expenses totaled $0.9 million for the three months ended March 31, 2019, as compared to $1.0 million for the three months ended March 31, 2018. The decrease is primarily due to lower expenses associated with clinical studies and other R&amp;D projects, as we continue to focus more of our business on commercial operations in 2019 as compared to the early part of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Plasma center operating expenses were $0.7 million for the three months ended March 31, 2019, as compared to $1.8 million for the three months ended March 31, 2018.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decrease in plasma center operating expenses is attributable to the transfer of two of our plasma collection centers to BPC on January 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March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Selling, general and administrative (“SG&amp;A”) expenses were $5.6 million for the three months ended March 31, 2019, an increase of $0.3 million from the three months ended March 31, 2018. The increase was primarily due to higher legal and professional fees in 2019, as well as increase in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operating loss was $13.2 million for the three months ended March 31, 2019, as compared to $16.5 million for the three months ended March 31, 2018. The decrease in operating loss was mainly due to the reductions in cost of product revenue and plasma center operating expenses, partially offset by lower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Interest expense was $1.5 million for the three months ended March 31, 2019, as compared to $1.3 million for the three months ended March 31, 2018. During the first quarter of 2019, we refinanced our senior debt, resulting in an increase in the outstanding principal balance from $30 million to $45 million (see “Liquidity and Capital Resources”), resulting in higher interest expense for the period. Subsequent to March 31, 2019, we borrowed an additional $27.5 million, which will result in additional interest expense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connection with the foregoing refinancing of our senior credit facility, we incurred a loss on the extinguishment debt for the retirement of our previously existing credit facility, consisting of a $6.5 million prepayment penalty, and the write-off of $3.5 million of unamortized debt discount related to the previous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Transfer of Plasma Center Assets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part of the purchase price for the Biotest Transaction, we agreed to transfer our Marietta, GA and Norcross, GA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net loss was $13.1 million for the three months ended March 31, 2019, as compared to $17.8 million for the three months ended March 31, 2018. The reduced net loss was the result of the lower operating expenses for the quarter in addition to the gain on the transfer of plasma center assets, largely offset by the loss on extinguishment of debt.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of March 31, 2019, we had working capital of $30.0 million, including cash and cash equivalents of $16.5 million, and stockholders’ equity of $10.0 million, as compared to working capital of $34.9 million, including cash and cash equivalents of $22.8 million, and stockholders’ equity of $19.8 million as of December 31, 2018. We have had limited revenue from operations, incurred an accumulated deficit of $229.5 million since inception, had negative cash flows from operations of $14.3 million and $16.4 million for the three months ended March 31, 2019 and 2018, respectively, and had negative cash flows from operations of $62.7 million and $37.3 million for the years ended December 31, 2018 and 2017, respectively. We have funded our operations to date primarily from the sale of our equity and debt securities, acquisition proceeds from the Biotest Transaction and loans from our primary stockholders.</w:t>
      </w:r>
    </w:p>
    <w:p>
      <w:pPr>
        <w:spacing w:after="0" w:line="16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expect to continue to spend substantial amounts on product development, quality assurance, regulatory affairs, procurement of raw material plasma, building additional plasma centers, manufacturing, marketing, sales and conducting clinical trials for our product candidates and purchasing clinical trial materials from our suppliers, some of which may be required by the FDA. We currently anticipate that, based upon our projected revenue and expenditures for 2019, including continued implementation of our commercialization and expansion activities, the proceeds from the refinancing of our senior credit facility and corresponding release of funds from the debt service reserve account to us in February 2019 as discussed below, as well as certain other assumptions, our cash, projected revenue and accounts receivable, along with the $40.0 million we are able to draw down under our current senior credit facility, $12.5 million of which is subject to the approval of the PAS as discussed below, will be sufficient to fund our operations, as currently conducted, into the fourth quarter of 2019. In order to have sufficient cash to fund our operations thereafter and to continue as a going concern, we will need to raise additional capital by the fourth quarter of 2019. These estimates may change based upon how quickly we are able to obtain FDA approval for BIVIGAM, commercial manufacturing ramp-up activities and the various financing options being explored. We currently have no firm commitments for additional financing, and there can be no assurances that we will be able to secure additional financing on terms that are acceptable to us, or at all. Furthermore, if the assumptions underlying our estimated revenues and expenses are incorrect, we may have to raise additional capital sooner than currently anticipated.</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potential products, or potentially cease operations. In addition, we could also be forced to reduce or forgo sales and marketing efforts and forgo attractive business opportunities. Due to numerous risks and uncertainties associated with FDA approval of BIVIGAM, ongoing remediation and capacity expansion efforts at the Boca Facility and potential future commercialization of our products and product candidates,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We may decide to raise capital through public or private equity offerings and such financings may only be available on unattractive terms, resulting in significant dilution of stockholders’ interests and, in such event, the value and potential future market price of our Common Stock may decline. We may also decide to obtain additional debt financing or a bank credit facility, subject to the restrictions contained in our current Credit Agreement, or to enter into corporate collaboration and licensing arrangements. The sale of additional equity or debt securities, if convertible, could result in dilution to our current stockholders. The incurrence of additional indebtedness would result in increased fixed obligations and could also result in covenants that would restrict our operations or other future financing alternatives.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long-term liquidity depends upon our ability to raise additional capital, fund capacity expansion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As such, these conditions raise substantial doubt about our ability to continue as a going concern.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provides for a senior secured term loan facility in a principal amount of up to $72.5 million (the “Perceptive Credit Facility”), comprised of (i) a term loan made on the Perceptive Closing Date in the principal amount of $45.0 million, as evidenced by our issuance of a promissory note (the “Perceptive Tranche I Note”) in favor of Perceptive on the Perceptive Closing Date (the “Perceptive Tranche I Loan”), and (ii) an additional term loan in the principal amount of up to $27.5 million, but no less than $10.0 million (the “Perceptive Tranche II Loan” and, together with the Perceptive Tranche I Loan, the “Initial Perceptive Loans”), which Perceptive Tranche II Loan was subject to the satisfaction of certain conditions. The Perceptive Credit Facility has a maturity date of March 1, 2022 (the “Perceptive Maturity Date”), subject to acceleration pursuant to the Perceptive Credit Agreement, including upon an Event of Default (as defined in the Perceptive Credit Agreement).</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the Perceptive Closing Date, we used $30.0 million of the Perceptive Tranche I Loan to terminate and pay in full all of the outstanding obligations under our previously existing credit agreement with Marathon Healthcare Finance Fund, L.P. (“Marathon”) (the “Marathon Credit Facility”) that we entered into in October 2017. We also (i) used $2.8 million of the Perceptive Tranche I Loan to pay a deferred facility fee to Marathon, (ii) used $6.5 million of the Perceptive Tranche I Loan to pay a prepayment penalty to Marathon, (iii) used $0.7 million of the Perceptive Tranche I Loan to pay outstanding accrued interest to Marathon and (iv) used proceeds of the Perceptive Tranche I Loan to pay certain fees and expenses incurred in connection with the Perceptive Credit Facility of approximately $1.5 million. In addition, on the Perceptive Closing Date, Marathon released the $4.0 million of cash held in a debt service reserve account, per the terms of the Marathon Credit Facility, to us.</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May 3, 2019, as a result of the FDA’s approval of ASCENIV, we accessed the additional $27.5 million available under the Perceptive Credit Facility through the issuance of a promissory note evidencing the Perceptive Tranche II Loan. We intend to use the proceeds from the Perceptive Tranche II Loan (i) to support ASCENIV’s commercial launch anticipated during the second half of 2019, (ii) to expand our plasma collection facility network; and (iii) for working capital and general corporate purposes, including the procurement of raw material inventory.</w:t>
      </w:r>
    </w:p>
    <w:p>
      <w:pPr>
        <w:spacing w:after="0" w:line="17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Also on May 3, 2019, we and Perceptive entered into an amendment to the Perceptive Credit Agreement (the “Perceptive Amendment”) whereby Perceptive agreed to an additional commitment under the Perceptive Credit Facility in the principal amount of up to $12.5 million (the “Perceptive Tranche</w:t>
      </w:r>
    </w:p>
    <w:p>
      <w:pPr>
        <w:ind w:right="80" w:firstLine="8"/>
        <w:spacing w:after="0" w:line="286" w:lineRule="auto"/>
        <w:tabs>
          <w:tab w:leader="none" w:pos="2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Loan”). The Perceptive Tranche III Loan is subject to the satisfaction of certain conditions, including, but not limited to, FDA approval of the BIVIGAM PAS and no Material Adverse Changes (as defined in the Perceptive Credit Agreement) having occurred since December 31, 2018; provided that the Perceptive Tranche III Loan would not be made later than March 31, 2020. The Perceptive Tranche III Loan has terms that are substantially identical to those of the Initial Perceptive Loans. The Perceptive Tranche III Loan required us to pay certain proceeds of the Perceptive Tranche II Loan to Perceptive on May 3, 2019 as a facility fee. In addition, we issued a warrant (the “Perceptive Tranche III Warrant”) to purchase 250,000 shares of our Common Stock to Perceptive with an exercise price equal to $4.64 per share, which represents the trailing 10-day volume weighted average price (“VWAP”) of the Company’s Common Stock as of May 2, 2019. The Perceptive Tranche III Warrant has an expiration date of May 3, 2029. Perceptive represented to us, among other things, that it was an “accredited investor” (as such term is defined in Rule 501(a) of Regulation D under the Securities Act of 1933, as amended (the “Securities Act”)), and we issued the Perceptive Tranche III Warrant in reliance upon an exemption from registration contained in Section 4(2) under the Securities Act. The Perceptive Tranche III Warrant and the shares of Common Stock issuable thereunder may not be offered, sold, pledged or otherwise transferred in the U.S. absent registration or an applicable exemption from the registration requirements under the Securities Act.</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Borrowings under the Perceptive Credit Agreement bear interest at a rate per annum equal to 7.5% plus the greater of (i) one-month LIBOR and (ii) 3.5%; provided, however, that upon, and during the continuance of, an Event of Default, the interest rate will automatically increase by an additional 400 basis points. On the last day of each month during the term of the Perceptive Credit Facility, we pay accrued interest to Perceptive. The rate of interest in effect as of the Perceptive Closing Date was 11.0%.</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the Perceptive Maturity Date, we will pay Perceptive the entire outstanding principal amount underlying the Perceptive Loans and any accrued and unpaid interest thereon. Prior to the Perceptive Maturity Date, there are no scheduled principal payments on the Perceptive Loans. We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to, among other things and subject to certain exceptions contained in the Perceptive Credit Agreement, incur new indebtedness; create liens on assets; engage in certain fundamental corporate changes, such as mergers or acquisitions, or changes to our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ending June 30, 2019, receive revenue for the trailing 12-month period in amounts set forth in the Perceptive Credit Agreement, which range from $7.0 million for the fiscal quarter ending June 30, 2019 to $55.0 million for the fiscal quarter ending December 31, 2021.</w:t>
      </w:r>
    </w:p>
    <w:p>
      <w:pPr>
        <w:spacing w:after="0" w:line="18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consideration for the Perceptive Credit Agreement, we issued to Perceptive, on the Perceptive Closing Date, a warrant to purchase 1,360,000 shares of our Common Stock (the “Perceptive Warrant”). The Perceptive Warrant has an exercise price equal to $3.28 per share, which is equal to the trailing 10-day VWAP of our Common Stock on the business day immediately prior to the Perceptive Closing Date multiplied by 1.15. The Perceptive Warrant was valued by us at $2.7 million as of the Perceptive Closing Date, and has an expiration date of February 11, 2029. Perceptive represented to us, among other things, that it was an “accredited investor” (as such term is defined in Rule 501(a) of Regulation D under the Securities Act ), and we issued the Perceptive Warrant in reliance upon an exemption from registration contained in Section 4(2) under the Securities Act. The Perceptive Warrant and the shares of Common Stock issuable thereunder may not be offered, sold, pledged or otherwise transferred in the U.S. absent registration or an applicable exemption from the registration requirements under the Securities Act.</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have been and will continue to be used for (i) for continued remediation and ongoing improvement and enhancements at the Boca Facility, (ii) to submit the PAS for, and re-launch of, BIVIGAM, (iii) to resubmit the RI-002 BLA, (iv) for expenses associated with obtaining with FDA approval of our Kennesaw, GA plasma collection facility, and (v) for general corporate purposes, including capital expenditures.</w:t>
      </w:r>
    </w:p>
    <w:p>
      <w:pPr>
        <w:spacing w:after="0" w:line="17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On November 13, 2017, we completed an underwritten public offering of 19,523,255 shares of Common Stock for gross proceeds of $42.0 million. Net proceeds from this offering, after payment of underwriting discounts and offering expenses of $2.8 million, were $39.2 million. The proceeds from this offering were used for (i) the purchase of raw material inventory and the ramp-up of our manufacturing capabilities, (ii) continued remediation of the issues identified in the RI-002 CRL and the Warning Letter and completion of our internal quality management systems overhaul, (iii) capital expenditures for the Boca Facility, (iv) product launch and medical education campaigns, (v) the build-out of our Kennesaw, GA plasma collection facility, (vi) research and development activities for our plasma collection programs and specialty plasma products, and (vii) working capital needs and general corporate purposes, including expenses associated with improving the FDA inspection classification relative to the Warning Letter, filing the BIVIGAM PAS and obtaining marketing clearance for the relaunch of BIVIGAM and re-filing the RI-002 BLA.</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June 2017, we received $27.5 million in connection with the Biotest Transaction, comprised of $12.5 million in cash from BPC and an unsecured subordinated 6% note payable to Biotest in the amount of $15.0 million. The note has since been assigned from BPC to Biotest AG and matures on June 6, 2022. We are obligated to make semi-annual interest payments on the note, with all principal and unpaid interest due at maturity. The note is subordinate to all amounts outstanding under the Perceptive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ectPr>
          <w:pgSz w:w="11900" w:h="16838" w:orient="portrait"/>
          <w:cols w:equalWidth="0" w:num="1">
            <w:col w:w="11420"/>
          </w:cols>
          <w:pgMar w:left="240" w:top="229"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200"/>
        <w:spacing w:after="0" w:line="360" w:lineRule="auto"/>
        <w:rPr>
          <w:sz w:val="20"/>
          <w:szCs w:val="20"/>
          <w:color w:val="auto"/>
        </w:rPr>
      </w:pPr>
      <w:r>
        <w:rPr>
          <w:rFonts w:ascii="Arial" w:cs="Arial" w:eastAsia="Arial" w:hAnsi="Arial"/>
          <w:sz w:val="16"/>
          <w:szCs w:val="16"/>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195"/>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(14,287,184)</w:t>
            </w:r>
          </w:p>
        </w:tc>
        <w:tc>
          <w:tcPr>
            <w:tcW w:w="22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(16,434,114)</w:t>
            </w:r>
          </w:p>
        </w:tc>
      </w:tr>
      <w:tr>
        <w:trPr>
          <w:trHeight w:val="230"/>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(549,246)</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4,177,063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r>
      <w:tr>
        <w:trPr>
          <w:trHeight w:val="224"/>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(10,220,574)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(16,987,737)</w:t>
            </w:r>
          </w:p>
        </w:tc>
      </w:tr>
      <w:tr>
        <w:trPr>
          <w:trHeight w:val="431"/>
        </w:trPr>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48,607,574</w:t>
            </w:r>
          </w:p>
        </w:tc>
      </w:tr>
      <w:tr>
        <w:trPr>
          <w:trHeight w:val="223"/>
        </w:trPr>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16,534,278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31,619,837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520" w:space="720"/>
            <w:col w:w="3180"/>
          </w:cols>
          <w:pgMar w:left="240" w:top="229" w:right="239" w:bottom="1440" w:gutter="0" w:footer="0" w:header="0"/>
          <w:type w:val="continuous"/>
        </w:sectPr>
      </w:pPr>
    </w:p>
    <w:p>
      <w:pPr>
        <w:spacing w:after="0" w:line="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Cash used in operations for the three months ended March 31, 2019 was $14.3 million, a decrease of $2.1 million from the same period of a year ago, mainly due to the decrease in our net loss. The following table illustrates the primary components of our cash flows from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(17,822,142)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87,118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1,564,464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222,552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189,379</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(1,183,142)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(114,114)</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109,202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178,221</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(14,287,184)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(16,434,114)</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Net cash used in investing activities for the three months ended March 31, 2019 and 2018 was $0.1 million and $0.5 million, respectively, consisting of capital expenditures at the Boca Facility. Although we have no specific material commitments for capital expenditures as of March 31, 2019, we expect our total capital expenditures will be between $4.0 million and $6.0 million for the remainder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Cash provided by financing activities during the three months ended March 31, 2019 was $4.2 million, which was a result of the net proceeds received from the refinancing of our senior credit facility. Net cash used in financing activities for the three months ended March 31, 2018 of $4,000 was comprised of payments made under a capital lease obligation.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in 2018 or 2017, or for the three months ended March 31,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March 31, 2019. Based on this evaluation, our principal executive officer and our principal financial officer concluded that our disclosure controls and procedures as of March 31, 2019 are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2019 that has materially affected, or is reasonably likely to materially affect, our internal control over financial reporting.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claims that would have a material adverse effect on our consolidated financial position, results of operations or cash flows.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On April 1, 2019, the FDA approved ASCENIV, formerly referred to as RI-002, and we anticipate having the product available for commercial launch during the second half of 2019. Unless and until we receive approval from the FDA and other regulatory authorities for BIVIGAM and other products and product candidates in our pipeline, we do not expect to sell and generate revenue from the commercialization of BIVIGAM and other products and product candidates in our pipeline, and we will be required to raise additional funds through the sale of our equity and/or debt securities in order to establish a commercial sales force, develop our commercial infrastructure and recognize any significant revenues.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long-term liquidity will depend upon our ability to raise additional capital, fund and successfully implement our research and development and commercial programs, establish and build out a commercial sales force and commercial infrastructure and meet our ongoing obligations. If we are unable to successfully raise additional capital by the fourth quarter of 2019,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Based upon our projected revenue and expenditures for fiscal 2019, including continued implementation of our commercialization and expansion activities and certain other assumptions, we currently believe that our cash, cash equivalents, projected revenue and accounts receivable, along with the additional funds we are able to draw down through our existing senior credit facility (see “Management’s Discussion and Analysis of Financial Condition and Results of Operations”), will be sufficient to fund our operations, as currently conducted, into the fourth quarter of 2019. In order to have sufficient cash to fund our operations thereafter and to continue as a going concern, we will need to raise additional equity or debt financing by the fourth quarter of 2019. This timeframe may change based upon how quickly we are able to execute on our ADMA BioManufacturing operations, commercial manufacturing ramp-up activities and the various financing options we are exploring. These estimates may change based upon whether or when the FDA approves BIVIGAM or if any of our other assumptions change.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b w:val="1"/>
          <w:bCs w:val="1"/>
          <w:i w:val="1"/>
          <w:iCs w:val="1"/>
          <w:color w:val="auto"/>
        </w:rPr>
        <w:t>Failure to timely and effectively remediate and close out the outstanding Warning Letter and other inspection issues and deficiencies at the Boca Facility will have a material adverse effect on our business. Failure of the FDA to adhere to its stated timelines in the Code of Federal Regulations, statements of internal policy or review timing goals, as well as any potential government shut-downs or unforeseen government office closings, may affect our ability to resolve the Warning Letter and other inspection and review issues within estimated timelines described.</w:t>
      </w:r>
    </w:p>
    <w:p>
      <w:pPr>
        <w:spacing w:after="0" w:line="15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Prior to the closing of the Biotest Transaction, BTBU was our third-party manufacturer for ASCENIV, formerly referred to as RI-002. In response to our BLA submission for RI-002 in 2015 (the “RI-002 BLA”), in July 2016 the FDA issued a CRL for RI-002 (the “RI-002 CRL”). The RI-002 CRL did not specify or request the need for any addition clinical trials or data; however, the RI-002 CRL reaffirmed the issues set forth in the Warning Letter issued to Biotest relating to inspection issues identified at the Boca Facility. The FDA identified in the RI-002 CRL, among other things, certain outstanding inspection issues and deficiencies related to CMC and Good Manufacturing Practices (“GMP”) at the Boca Facility and at certain of our third-party vendors, and requested documentation of corrections for a number of these issues. The FDA indicated in the RI-002 CRL that it could not grant final approval of our RI-002 BLA until, among other things, these deficiencies are resolved. Following the completion of the Biotest Transaction, we gained control over the regulatory, quality, general operations and drug substance manufacturing process at the Boca Facility, and our highest priority has been to remediate the outstanding compliance issues at the Boca Facility as indicated in the Warning Letter. We have been working with a consulting firm consisting of quality management systems and biologics production subject matter experts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Although we received FDA approval of our RI-002 BLA on April 1, 2019, we have not received a “Warning Letter close-out letter” from the FDA. We believe that we have successfully closed out the April 2018 FDA inspection of the Boca Facility, however there can be no assurances as to the timing by which the FDA may make any determinations post-inspection concerning our compliance status. There can also be no assurances that our ongoing efforts to remediate the Warning Letter and other inspection issues and deficiencies at the Boca Facility will be effective or whether the FDA will accept these efforts. Failure to timely remediate the issues identified in the Warning Letter and other inspection issues and deficiencies and/or receive approval from the FDA would have a material adverse effect on our business (including the ability to timely commercialize our products), prospects, financial condition and results of operations. Additionally, we are unable to control the timing of FDA inspections, responses, meeting requests, teleconference requests, requests for clarifications and similar regulatory communications as well as whether or not the FDA will change its requirements, guidance or expectations.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 for the foreseeable future, and we may never achieve or maintain profitability. For the years ended December 31, 2018 and 2017, we incurred net losses of $65.7 and $43.8 million, respectively, and for the three months ended March 31, 2019 and 2018, we incurred net losses of $13.1 million and $17.8 million, respectively. From our inception in 2004 through March 31, 2019, we have incurred an accumulated deficit of $229.5 million. Even if we succeed in developing and commercializing one or more of our products and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6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 for BIVIGAM;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by the second half of 2019 to fund our operations in order to continue as a going concern.</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CohnReznick LLP, our independent registered public accounting firm, has included an explanatory paragraph in their opinion that accompanies our audited consolidated financial statements as of and for the year ended December 31, 2018,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7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anticipate that our principal sources of liquidity will only be sufficient to fund our activities, as currently conducted, into the fourth quarter of 2019. In order to have sufficient cash to fund our operations thereafter and to continue as a going concern, we will need to raise additional equity or debt financing by the fourth quarter of 2019. This time frame may change based upon how quickly we are able to execute on our quality management systems’ remediation plans for the ADMA BioManufacturing operations, commercial manufacturing ramp-up activities and the various financing options we are exploring.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fourth quarter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have not demonstrated an ability to perform the functions necessary for the successful commercialization of ASCENIV. The successful development and commercialization of ASCENIV or any product candidate will require us or our collaborators to perform a variety of functions, including:</w:t>
      </w:r>
    </w:p>
    <w:p>
      <w:pPr>
        <w:spacing w:after="0" w:line="12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conducting sales and marketing activities once product approval is received.</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product candidates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operations, including our headquarters located in Ramsey, NJ, the Boca Facility and our Kennesaw, GA plasma collection facility, are vulnerable to interruption by fire, weather related events such as hurricanes, wind and rain, other acts of God, electric power loss, telecommunications failure, equipment failure and breakdown, human error, employee issues, product liability claims and events beyond our control. While we maintain several insurance policies with reputable carriers, which we believe are in acceptable amounts and contain market terms common within the industry which provide adequate coverage for a variety of these risks, including replacing or rebuilding a substantial part of our facilities, these policies are subject to the insurance carriers’ final determination of compensation to us.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Furthermore, failure can occur at any stage of the process, and we could encounter problems that cause us to abandon our product development programs and related INDs or biologics license applications, or to repeat clinical trials. The commencement and completion of clinical trials for any current or future development product candidate may be delayed by several factors, including:</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cannot be certain as to what type and how many clinical trials the FDA, or equivalent foreign regulatory agencies, will require us to conduct before we may successfully gain approval to market any of our product candidates.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78"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obtain the necessary U.S. or worldwide regulatory approvals to commercialize our product candidates, we will not be able to sell our product candidates.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If we cannot obtain regulatory approval for our product candidates, we will not be able to generate revenue from such product candidates. As a result,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6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5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for PIDD, our ability to market ASCENIV for alternative indications could be limited, unless additional clinical trials are conducted.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for PIDD, we cannot be sure whether we will be able to obtain FDA approval for any desired future indications for ASCENIV.</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Furthermore, there are still significant risks in this area in part due to potential False Claims Act exposure.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With the approval of ASCENIV, we plan to commercialize this product, while also continuing our research and development activities. There can be no assurance that we will be able to successfully manage the balance of our research and development operations with our planned commercialization activities. Potential investors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reimbursement, marketing challenges, development of a comprehensive compliance program, and other related and additional costs. 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ASCENIV and our other products, and such parties are, to some extent, outside of our control.</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Historically a single customer has accounted for a significant amount of our total revenue and, collectively with two other customers, represented 87% of our total revenue for the year ended December 31, 2018. For the three months ended March 31, 2019, two customers represented an aggregate of 81% of our total revenue, and therefore the loss of any of these customers could have a material adverse effect on our business, results of operations and financial condition.</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Historically, a significant amount of our total revenue is attributable to a single customer, BPC. For the year ended December 31, 2018, BPC, McKesson and AmerisourceBergen represented 56%, 16% and 15%, respectively, of our total revenue. For the three months ended March 31, 2019, Biolife and AmerisourceBergen represented 61% and 20%, respectively, of our total revenue.</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potentially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Factors that could influence our relationships with our customers include, among other things:</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an adverse change in the financial condition of Biolife, McKesson Corporation or AmerisourceBergen could have a material adverse effect on our business and results of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Even if the FDA approves a product made by ADMA Biologics, such as ASCENIV, physicians, payers and patients may not accept and use 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Acceptance and use of our products will depend on a number of factors including:</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Industry and other market data used in our periodic reports filed with the SEC and our other materials, including those undertaken by us or our engaged consultants, may not prove to be representative of current and future market conditions or future results.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periodic reports filed with the SEC and our other materials include statistical and other industry and market data that we obtained from industry publications and research, surveys and studies conducted by third parties and surveys and studies we commissioned regarding the market potential for our current products and product candidates.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16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current product development portfolio consists primarily of ASCENIV and label expansion activities for Nabi-HB and BIVIGAM.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development and commercialization of, ASCENIV, as well as the revenue we may generate from the sale of Nabi-HB, BIVIGAM, contract manufacturing, and intermediates and plasma attributable to the operations of ADMA Bio Centers, to support our operations.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ADMA Bio 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19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 We could be subject to enforcement action and litigation exposure if we fail to adhere to these data privacy and security laws.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strategic and financial benefits currently anticipated from the Biotest Transaction.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may not realize all of the strategic and financial benefits currently anticipated from the Biotest Transaction. For example, we may not be able to [officially]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If we are unable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we will not be able to obtain approval for our June 2018 PAS submission for BIVIGAM drug substance and resolve the matters addressed in the corresponding BIVIGAM CRL issued in December 2018, which could disrupt our business operations and the timing of our commercialization efforts and may have a material adverse effect on our financial condition and operating results. In April 2018, the FDA inspected the Boca Facility and in July 2018 our FDA status resulted improved from OAI to VAI and this inspection of the Boca Facility has been successfully closed-out as indicated on the FDA’s website inspection database. In April 2019, the FDA approved ASCENIV and we anticipate having the product available for commercial launch during the second half of 2019. However, the FDA has yet to inform us that the outstanding issues set forth in the Warning Letter have been officially resolved.</w:t>
      </w:r>
    </w:p>
    <w:p>
      <w:pPr>
        <w:spacing w:after="0" w:line="16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Through the Biotest Transaction,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4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There is also uncertainty as to whether the combined business will be able to operate at a profitable level in the future given the relatively small size of the Biotest Assets and the competitive environment in which we operate. Furthermore, there is no assurance and no definitive timeline as to when or if the Warning Letter will be [officially] resolved by the FDA. These factors could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the Biotest Assets into our business.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completing the Biotest Transaction, we transferred assets that have historically generated substantially all of our revenue.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paid to acquire the Biotest Assets, we transferred to BPC ownership of two of our licensed plasma collection facilities in the U.S. and certain related assets and liabilities. These plasma collection facilities, which were transferred on January 1, 2019, have historically been the source of substantially all of our revenue. Plasma collection centers are expensive to construct, time-consuming and this industry is subject to market saturation and increasing competition from companies with substantially greater financial resources than us. Although we have completed construction of, and received FDA approval for our plasma collection facility in Kennesaw, GA, there can be no assurances that we will generate similar revenues as historically reported from the plasma collection facilities we transferred to BPC on January 1, 2019 or that we will successfully expand and build out our plasma center network.</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Because we agreed to assume liabilities related to the Biotest Assets, we are exposed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193"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addition, while the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was inadequate, then it could result in a material adverse effect on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with Biotest, dated as of January 21, 2017.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Our Credit Agreement and Guaranty, as amended (the “Credit Agreement”), with our secured lender, Perceptive Credit Holdings II, LP (“Perceptive”) is subject to acceleration in specified circumstances, which may result in Perceptive taking possession and disposing of any collateral.</w:t>
      </w:r>
    </w:p>
    <w:p>
      <w:pPr>
        <w:spacing w:after="0" w:line="12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May 3, 2019, we amended the Credit Agreement with Perceptive which provides for a senior secured term loan facility in an aggregate amount of up to $85.0 million (collectively, the “Credit Facility”), comprised of (i) an initial term loan made on February 11, 2019 with an outstanding principal amount of $45.0 million (the “Initial Term Loan”), (ii) a second term loan made on May 3, 2019 with an outstanding principal amount of $27.5 million (the “Second Term Loan”), and (iii) a third term loan in the principal amount of $12.5 million (the “Third Term Loan”, and, together with the Initial Term Loan and the Second Term Loan, the “Loans”). The Loans each have a maturity date of March 1, 2022, subject to acceleration pursuant to the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4% per annum, the occurrence of an Event of Default could result in, among other things, the termination of commitments under the Credit Facility, the declaration that all outstanding Loans are immediately due and payable in whole or in part, and Perceptive taking immediate possession of, and selling, any collateral securing the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products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USPTO. Even if enforceable, we cannot provide any assurances that they will provide significant protection from competition. The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and/or security measures we use to preserve the integrity and confidentiality of our data and trade secrets may be breached, and we may not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as a result of any such breaches. In addition, our trade secrets may otherwise become known or be independently discovered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competitors. There can be no assurance that the confidentiality, nondisclosure and non-competition agreements with employees, consultants and other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access to our proprietary information to protect our trade secrets, proprietary technology, processes and other proprietary rights, or any other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measures relating to such trade secrets, proprietary technology, processes and proprietary rights, will be adequate, will not be breached, that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for any breach, that others will not independently develop substantially equivalent proprietary information or that third parties will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gain access to our trade secrets or proprietary knowledge. To the extent that our consultants, contractors or collaborators use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owned by others in their work for us, disputes may arise as to the rights in related or resulting know-how and inventions.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Patent rights covering ASCENIV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hire and retain a substantial number of qualified personnel, our ability to sustain and grow our business may be harmed.</w:t>
      </w:r>
    </w:p>
    <w:p>
      <w:pPr>
        <w:spacing w:after="0" w:line="2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currently collect human blood plasma at our ADMA Bio Centers facility, and if we cannot maintain FDA approval for this facility or obtain FDA approval for additional facilities which we create or acquire rights to, we may be adversely affected and may not be able to sell or use this human blood plasma for future commercial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intend to maintain FDA approval of our ADMA Bio Centers collection facility in Kennesaw, GA for the collection of human blood plasma and we may seek other governmental and regulatory approvals for this facility. We also plan to grow through the creation and licensing of additional ADMA Bio 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currently operate under the Warning Letter due to issues identified by the FDA in their prior inspections while the Boca Facility was under Biotest’s operational control. We engaged a leading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continue to work with the FDA to resolve the Warning Letter classification. Although we have improved our compliance status at the Boca Facility, 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commercialize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optimized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optimization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We believe that all requests contained in the recently received FDA information request were addressable and we have responded to the FDA. To date, we have not received a formal BIVIGAM CRL resubmission acknowledgment and we have not received formal clarity on the FDA’s intended review timing. We can confirm that the FDA is actively reviewing our BIVIGAM CRL resubmission and information request responses, however we cannot provide any assurance or predict with certainty the schedule for when we will, if at all, receive authorization from the FDA with respect to our PAS for BIVIGAM.</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including our drug substance PAS for BIVIGAM, which could have a material adverse effect on our business. Further, future government shutdowns could impact our ability to access the public markets and obtain necessary capital in order to properly capitalize and continue our operations.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manufacturing processes against transmittable diseases.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facility. This strategy is dependent upon our ability to maintain a cGMP compliant environment in our plasma facility and to expand production and attract donors to our facility. There is no assurance that the FDA will inspect and license any of our unlicensed plasma collection facilities which we may, in the future, construct,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facility to more efficient production levels may be affected by changes in the economic environment and population in selected regions where ADMA Bio Centers operates its current or future plasma facilities,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facilities held by us from time to time.</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United States District Court for the Northern District of Texas struck down the Healthcare Reform Law, deeming it unconstitutional given that Congress repealed the individual mandate in 2017. This decision has been stayed pending outcome of an appeal to the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worldwide economy may adversely impact our business.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difficult economic environment may adversely affect demand for our products. ASCENIV is expected to be sold to hospitals, specialty pharmacies and clinicians in the U.S.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three months ended March 31, 2019 and 2018, we had negative cash flows from operations of $14.3 million and $16.4 million, respectively, and for the years ended December 31, 2018 and 2017, we had negative cash flows from operations of approximately $62.7 million and $37.3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conducting commercial launch activities and potential post-marketing studies. We currently anticipate, based upon our projected revenue and expenditures, as well as the additional funds we are able to draw down under the Credit Agreement, that our current cash, cash equivalents and accounts receivable will be sufficient to fund our operations, as currently conducted, into the fourth quarter of 2019. In order to have sufficient cash to fund our operations thereafter and to continue as a going concern, we will need to raise additional equity or debt financing by the fourth quarter of 2019. This time frame may change based upon how quickly we are able to execute on our operational initiatives and the various financing options we are exploring</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cash, cash equivalents and short-term investments could be adversely affected if the financial institutions in which we hold our cash, cash equivalents and short-term investments fail.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incurred substantial losses during our history. As of December 31, 2018, we had federal and state NOLs of $108.5 million and $72.3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(the “TCJA”) could adversely affect our business and financial condition.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ASCENIV;</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once the deficiencies identified in the CRL have been resolved by us to the satisfaction of the FDA;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extremely speculative and there can be no assurance of any return on any such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investment in our Common Stock is extremely speculative and there is no assurance that investors will obtain any return on their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be subject to substantial risks involved in an investment in us, including the risk of losing their entire investment.</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of April 1, 2019, most of our 46,353,068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(“Rule 144”) under the Securities Act of 1933, as amended (the “Securities Act”), or under effective registration statements. Pursuant to the Stockholders’ Agreement, until December 6, 2020, subject to certain limited exceptions, sales of the 10,109,534 shares of Common Stock held by The Biotest Divestiture Trust (the “Biotest Trust”) (as successor-in-interest to BPC) may not exceed 15% of the issued and outstanding Common Stock of ADMA in any twelve-month period; provided, however, that if our market capitalization increases to double our market capitalization immediately following the closing of the Biotest Transaction, then the Biotest Trust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the Biotest Trust holding less than a 25% economic interest in us, which occurred on May 14, 2018 following the transfer of the NV Biotest Shares to us, then the Biotest Trust may sell any amount of its equity interests in us at any time (subject to applicable securities laws). Sales of a substantial number of shares of our Common Stock, or the perception that such sales may occur, may adversely impact the market price of our Common Stock.</w:t>
      </w:r>
    </w:p>
    <w:p>
      <w:pPr>
        <w:spacing w:after="0" w:line="18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of April 1, 2019, the Biotest Trust, our directors and executive officers and their affiliates beneficially owned approximately 40% of the outstanding shares of our Common Stock. Additionally, on November 14, 2018, the standstill provisions contained in that certain Stockholders Agreement, dated as of June 6, 2017, by and between us and BPC, as amended by that certain Share Transfer, Amendment and Release Agreement, dated as of May 14, 2018, with BPC, Biotest AG and the Biotest Trust,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Such event could result in the Biotest Trust acquiring additional shares of our Common Stock or taking other actions with the goal of acquiring additional shares of our Common Stock.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(the “Board”) to institute a stockholder rights plan, also known as a poison pill, that would work to dilute our stock,</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As a result, capital appreciation, if any, of our Common Stock will be your sole source of gain for the foreseeable future.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 (“Section 404”).</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(“Section 404”). For example, in 2018, our Audit Committee retained the services of AC Lordi,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75,000,000 shares of Common Stock, of which, as of April 10, 2019, 21,159,337 shares remain available for issuance and may be issued by us without stockholder approval (exclusive of 7,487,595 shares of our Common Stock which were subject to outstanding stock options, warrants or other convertible securities as of April 10, 2019), and up to 8,591,160 shares of non-voting common stock, all of which were reacquired by us in May 2018 pursuant to the Biotest Transfer Agreement and were subsequently retired and are no longer available for issuance.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218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May 8, 2019</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May 8, 2019</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0000EE"/>
            </w:tcBorders>
            <w:gridSpan w:val="18"/>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61"/>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0" w:type="dxa"/>
            <w:vAlign w:val="bottom"/>
            <w:gridSpan w:val="22"/>
          </w:tcPr>
          <w:p>
            <w:pPr>
              <w:ind w:left="1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540" w:type="dxa"/>
            <w:vAlign w:val="bottom"/>
          </w:tcPr>
          <w:p>
            <w:pPr>
              <w:spacing w:after="0"/>
              <w:rPr>
                <w:sz w:val="24"/>
                <w:szCs w:val="24"/>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280" w:type="dxa"/>
            <w:vAlign w:val="bottom"/>
            <w:tcBorders>
              <w:bottom w:val="single" w:sz="8" w:color="0000EE"/>
            </w:tcBorders>
            <w:gridSpan w:val="23"/>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Note, dated February 11, 2019, issued by the Company to Perceptive Credit Holdings II, LP (incorporated herein by reference to</w:t>
              </w:r>
            </w:hyperlink>
          </w:p>
        </w:tc>
        <w:tc>
          <w:tcPr>
            <w:tcW w:w="42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Exhibit 4.1 to the Company’s Current Report on Form 8-K, filed with the SEC on February 12, 2019).</w:t>
              </w:r>
            </w:hyperlink>
          </w:p>
        </w:tc>
        <w:tc>
          <w:tcPr>
            <w:tcW w:w="2340" w:type="dxa"/>
            <w:vAlign w:val="bottom"/>
            <w:gridSpan w:val="20"/>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200" w:type="dxa"/>
            <w:vAlign w:val="bottom"/>
            <w:tcBorders>
              <w:bottom w:val="single" w:sz="8" w:color="0000EE"/>
            </w:tcBorders>
            <w:gridSpan w:val="21"/>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Warrant to Purchase Stock, dated February 11, 2019, issued by the Company to Perceptive Credit Holdings II, LP (incorporated</w:t>
              </w:r>
            </w:hyperlink>
          </w:p>
        </w:tc>
        <w:tc>
          <w:tcPr>
            <w:tcW w:w="50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9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herein by reference to Exhibit 4.2 to the Company’s Current Report on Form 8-K, filed with the SEC on February 12, 2019).</w:t>
              </w:r>
            </w:hyperlink>
          </w:p>
        </w:tc>
        <w:tc>
          <w:tcPr>
            <w:tcW w:w="720" w:type="dxa"/>
            <w:vAlign w:val="bottom"/>
            <w:gridSpan w:val="14"/>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rPr>
            </w:pPr>
            <w:hyperlink r:id="rId88">
              <w:r>
                <w:rPr>
                  <w:rFonts w:ascii="Arial" w:cs="Arial" w:eastAsia="Arial" w:hAnsi="Arial"/>
                  <w:sz w:val="18"/>
                  <w:szCs w:val="18"/>
                  <w:color w:val="0000EE"/>
                </w:rPr>
                <w:t>Transition Services Agreement, dated as of January 1, 2019, by and between the Company and Biotest Pharmaceuticals</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8"/>
              </w:rPr>
            </w:pPr>
            <w:hyperlink r:id="rId88">
              <w:r>
                <w:rPr>
                  <w:rFonts w:ascii="Arial" w:cs="Arial" w:eastAsia="Arial" w:hAnsi="Arial"/>
                  <w:sz w:val="18"/>
                  <w:szCs w:val="18"/>
                  <w:color w:val="0000EE"/>
                  <w:w w:val="98"/>
                </w:rPr>
                <w:t>Corporation (incorporated herein by reference to Exhibit 10.22 to the Company’s Annual Report on Form 10-K, filed with the</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SEC on March 13, 2019).</w:t>
              </w:r>
            </w:hyperlink>
          </w:p>
        </w:tc>
        <w:tc>
          <w:tcPr>
            <w:tcW w:w="7220" w:type="dxa"/>
            <w:vAlign w:val="bottom"/>
            <w:tcBorders>
              <w:top w:val="single" w:sz="8" w:color="0000EE"/>
            </w:tcBorders>
            <w:gridSpan w:val="12"/>
          </w:tcPr>
          <w:p>
            <w:pPr>
              <w:spacing w:after="0"/>
              <w:rPr>
                <w:sz w:val="17"/>
                <w:szCs w:val="17"/>
                <w:color w:val="auto"/>
              </w:rPr>
            </w:pPr>
          </w:p>
        </w:tc>
        <w:tc>
          <w:tcPr>
            <w:tcW w:w="620" w:type="dxa"/>
            <w:vAlign w:val="bottom"/>
            <w:gridSpan w:val="11"/>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100" w:type="dxa"/>
            <w:vAlign w:val="bottom"/>
            <w:tcBorders>
              <w:bottom w:val="single" w:sz="8" w:color="0000EE"/>
            </w:tcBorders>
            <w:gridSpan w:val="18"/>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Fifth Amendment to Plasma Purchase Agreement, effective as of January 1, 2019, by and between ADMA Biologics, Inc. and</w:t>
              </w:r>
            </w:hyperlink>
          </w:p>
        </w:tc>
        <w:tc>
          <w:tcPr>
            <w:tcW w:w="600" w:type="dxa"/>
            <w:vAlign w:val="bottom"/>
            <w:gridSpan w:val="10"/>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Grifols Worldwide Operations Limited (incorporated herein by reference to Exhibit 10.1 to the Company’s Current Report on</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Form 8-K, filed with the SEC on January 2, 2019).</w:t>
              </w:r>
            </w:hyperlink>
          </w:p>
        </w:tc>
        <w:tc>
          <w:tcPr>
            <w:tcW w:w="660" w:type="dxa"/>
            <w:vAlign w:val="bottom"/>
            <w:gridSpan w:val="1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360" w:type="dxa"/>
            <w:vAlign w:val="bottom"/>
            <w:tcBorders>
              <w:bottom w:val="single" w:sz="8" w:color="0000EE"/>
            </w:tcBorders>
            <w:gridSpan w:val="27"/>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Amended and Restated Employment Agreement, dated as of January 29, 2019, by and between ADMA Biologics, Inc. and Adam</w:t>
              </w:r>
            </w:hyperlink>
          </w:p>
        </w:tc>
        <w:tc>
          <w:tcPr>
            <w:tcW w:w="3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Grossman (incorporated herein by reference to Exhibit 10.1 to the Company’s Current Report on Form 8-K, filed with the SEC</w:t>
              </w:r>
            </w:hyperlink>
          </w:p>
        </w:tc>
        <w:tc>
          <w:tcPr>
            <w:tcW w:w="540" w:type="dxa"/>
            <w:vAlign w:val="bottom"/>
            <w:gridSpan w:val="8"/>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on January 29, 2019).</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140" w:type="dxa"/>
            <w:vAlign w:val="bottom"/>
            <w:tcBorders>
              <w:bottom w:val="single" w:sz="8" w:color="0000EE"/>
            </w:tcBorders>
            <w:gridSpan w:val="19"/>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Amended and Restated Employment Agreement, dated as of January 29, 2019, by and between ADMA Biologics, Inc. and Dr.</w:t>
              </w:r>
            </w:hyperlink>
          </w:p>
        </w:tc>
        <w:tc>
          <w:tcPr>
            <w:tcW w:w="56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James Mond (incorporated herein by reference to Exhibit 10.2 to the Company’s Current Report on Form 8-K, filed with the SEC</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on January 29, 2019).</w:t>
              </w:r>
            </w:hyperlink>
          </w:p>
        </w:tc>
        <w:tc>
          <w:tcPr>
            <w:tcW w:w="36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320" w:type="dxa"/>
            <w:vAlign w:val="bottom"/>
            <w:tcBorders>
              <w:bottom w:val="single" w:sz="8" w:color="0000EE"/>
            </w:tcBorders>
            <w:gridSpan w:val="25"/>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Amended and Restated Employment Agreement, dated as of January 29, 2019, by and between ADMA Biologics, Inc. and Brian</w:t>
              </w:r>
            </w:hyperlink>
          </w:p>
        </w:tc>
        <w:tc>
          <w:tcPr>
            <w:tcW w:w="38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Lenz (incorporated herein by reference to Exhibit 10.3 to the Company’s Current Report on Form 8-K, filed with the SEC on</w:t>
              </w:r>
            </w:hyperlink>
          </w:p>
        </w:tc>
        <w:tc>
          <w:tcPr>
            <w:tcW w:w="680" w:type="dxa"/>
            <w:vAlign w:val="bottom"/>
            <w:gridSpan w:val="1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January 29, 2019).</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rPr>
            </w:pPr>
            <w:hyperlink r:id="rId93">
              <w:r>
                <w:rPr>
                  <w:rFonts w:ascii="Arial" w:cs="Arial" w:eastAsia="Arial" w:hAnsi="Arial"/>
                  <w:sz w:val="18"/>
                  <w:szCs w:val="18"/>
                  <w:color w:val="0000EE"/>
                </w:rPr>
                <w:t>Credit Agreement and Guaranty, dated as of February 11, 2019, by and among ADMA  Biologics, Inc., ADMA Plasma</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58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Biologics, Inc., ADMA Bio Centers Georgia Inc., ADMA BioManufacturing, LLC, and Perceptive Credit Holdings II, LP</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58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(incorporated herein by reference to Exhibit 10.1 to the Company’s Current Report on Form 8-K, filed with the SEC on February</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12, 2019).</w:t>
              </w:r>
            </w:hyperlink>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8840" w:type="dxa"/>
            <w:vAlign w:val="bottom"/>
            <w:tcBorders>
              <w:bottom w:val="single" w:sz="8" w:color="0000EE"/>
            </w:tcBorders>
            <w:gridSpan w:val="13"/>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Security Agreement, dated as of February 11, 2019, by and among ADMA Biologics, Inc., ADMA Plasma Biologics, Inc.,</w:t>
              </w:r>
            </w:hyperlink>
          </w:p>
        </w:tc>
        <w:tc>
          <w:tcPr>
            <w:tcW w:w="860" w:type="dxa"/>
            <w:vAlign w:val="bottom"/>
            <w:gridSpan w:val="1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9"/>
              </w:rPr>
            </w:pPr>
            <w:hyperlink r:id="rId94">
              <w:r>
                <w:rPr>
                  <w:rFonts w:ascii="Arial" w:cs="Arial" w:eastAsia="Arial" w:hAnsi="Arial"/>
                  <w:sz w:val="18"/>
                  <w:szCs w:val="18"/>
                  <w:color w:val="0000EE"/>
                  <w:w w:val="99"/>
                </w:rPr>
                <w:t>ADMA Bio Centers Georgia Inc., ADMA BioManufacturing, LLC, and Perceptive Credit Holdings II, LP (incorporated herein</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by reference to Exhibit 10.2 to the Company’s Current Report on Form 8-K, filed with the SEC on February 12, 2019).</w:t>
              </w:r>
            </w:hyperlink>
          </w:p>
        </w:tc>
        <w:tc>
          <w:tcPr>
            <w:tcW w:w="480" w:type="dxa"/>
            <w:vAlign w:val="bottom"/>
            <w:tcBorders>
              <w:top w:val="single" w:sz="8" w:color="0000EE"/>
            </w:tcBorders>
            <w:gridSpan w:val="10"/>
          </w:tcPr>
          <w:p>
            <w:pPr>
              <w:spacing w:after="0"/>
              <w:rPr>
                <w:sz w:val="17"/>
                <w:szCs w:val="17"/>
                <w:color w:val="auto"/>
              </w:rPr>
            </w:pPr>
          </w:p>
        </w:tc>
        <w:tc>
          <w:tcPr>
            <w:tcW w:w="540" w:type="dxa"/>
            <w:vAlign w:val="bottom"/>
            <w:gridSpan w:val="8"/>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0000EE"/>
                <w:w w:val="94"/>
              </w:rPr>
              <w:t>Certification of Principal Executive Officer pursuant to Rules 13a-14(a) and 15d-14(a), as adopted pursuant to Section 302 of the</w:t>
            </w: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00" w:type="dxa"/>
            <w:vAlign w:val="bottom"/>
            <w:gridSpan w:val="4"/>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6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2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Certification of Principal Financial Officer pursuant to Rules 13a-14(a) and 15d-14(a), as adopted pursuant to Section 302 of the</w:t>
            </w:r>
          </w:p>
        </w:tc>
        <w:tc>
          <w:tcPr>
            <w:tcW w:w="44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6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16"/>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Sarbanes-Oxley Act of 2002.</w:t>
            </w:r>
          </w:p>
        </w:tc>
        <w:tc>
          <w:tcPr>
            <w:tcW w:w="900" w:type="dxa"/>
            <w:vAlign w:val="bottom"/>
            <w:gridSpan w:val="16"/>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6600" w:type="dxa"/>
            <w:vAlign w:val="bottom"/>
            <w:gridSpan w:val="5"/>
          </w:tcPr>
          <w:p>
            <w:pPr>
              <w:spacing w:after="0" w:line="20" w:lineRule="exact"/>
              <w:rPr>
                <w:sz w:val="1"/>
                <w:szCs w:val="1"/>
                <w:color w:val="auto"/>
              </w:rPr>
            </w:pPr>
          </w:p>
        </w:tc>
        <w:tc>
          <w:tcPr>
            <w:tcW w:w="1000" w:type="dxa"/>
            <w:vAlign w:val="bottom"/>
            <w:gridSpan w:val="17"/>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87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Certification of Principal Financial Officer pursuant to 18 U.S.C Section 1350, as adopted pursuant to Section 906 of the</w:t>
            </w:r>
          </w:p>
        </w:tc>
        <w:tc>
          <w:tcPr>
            <w:tcW w:w="1000" w:type="dxa"/>
            <w:vAlign w:val="bottom"/>
            <w:gridSpan w:val="1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8"/>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7600" w:type="dxa"/>
            <w:vAlign w:val="bottom"/>
            <w:gridSpan w:val="22"/>
          </w:tcPr>
          <w:p>
            <w:pPr>
              <w:spacing w:after="0" w:line="20" w:lineRule="exact"/>
              <w:rPr>
                <w:sz w:val="1"/>
                <w:szCs w:val="1"/>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w w:val="96"/>
              </w:rPr>
              <w:t>The following materials from ADMA Biologics, Inc.’s Form 10-Q for the quarter ended March 31, 2019, formatted in Extensible</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w w:val="99"/>
              </w:rPr>
              <w:t>Business Reporting Language (XBRL): (i) Condensed Consolidated Balance Sheets as of March 31, 2019 (Unaudited) and</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w w:val="95"/>
              </w:rPr>
              <w:t>December 31, 2018, (ii) Condensed Consolidated Statements of Operations (Unaudited) for the three months ended March 31,</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w w:val="97"/>
              </w:rPr>
              <w:t>2019 and 2018, (iii) Condensed Consolidated Statement of Changes in Stockholders' Equity (Unaudited) for the three months</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w w:val="93"/>
              </w:rPr>
              <w:t>ended March 31, 2019 and 2018, (iv) Condensed Consolidated Statements of Cash Flows (Unaudited) for the three months ended</w:t>
            </w:r>
          </w:p>
        </w:tc>
      </w:t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28"/>
          </w:tcPr>
          <w:p>
            <w:pPr>
              <w:spacing w:after="0"/>
              <w:rPr>
                <w:sz w:val="20"/>
                <w:szCs w:val="20"/>
                <w:color w:val="auto"/>
              </w:rPr>
            </w:pPr>
            <w:r>
              <w:rPr>
                <w:rFonts w:ascii="Arial" w:cs="Arial" w:eastAsia="Arial" w:hAnsi="Arial"/>
                <w:sz w:val="18"/>
                <w:szCs w:val="18"/>
                <w:color w:val="auto"/>
              </w:rPr>
              <w:t>March 31, 2019 and 2018, and (v) Notes to (Unaudited) Condensed Consolidated Financial Statements.</w:t>
            </w:r>
          </w:p>
        </w:tc>
      </w:tr>
    </w:tbl>
    <w:p>
      <w:pPr>
        <w:spacing w:after="0" w:line="200"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66" w:name="page67"/>
    <w:bookmarkEnd w:id="6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25" w:lineRule="exact"/>
        <w:rPr>
          <w:sz w:val="20"/>
          <w:szCs w:val="20"/>
          <w:color w:val="auto"/>
        </w:rPr>
      </w:pPr>
    </w:p>
    <w:p>
      <w:pPr>
        <w:ind w:right="80" w:firstLine="8"/>
        <w:spacing w:after="0" w:line="277" w:lineRule="auto"/>
        <w:tabs>
          <w:tab w:leader="none" w:pos="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8, 2019</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8, 2019</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March 31, 2019,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47"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8, 2019</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ADMA Biologics, Inc., a Delaware corporation (the “Company”), on Form 10-Q for the quarter ended March 31, 2019,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6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8, 2019</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ý"/>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decimal"/>
      <w:start w:val="7"/>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842"/>
    </w:lvl>
  </w:abstractNum>
  <w:abstractNum w:abstractNumId="20">
    <w:nsid w:val="8138641"/>
    <w:multiLevelType w:val="hybridMultilevel"/>
    <w:lvl w:ilvl="0">
      <w:lvlJc w:val="left"/>
      <w:lvlText w:val="%1"/>
      <w:numFmt w:val="upperLetter"/>
      <w:start w:val="6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6">
    <w:nsid w:val="5C482A9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86" Type="http://schemas.openxmlformats.org/officeDocument/2006/relationships/hyperlink" Target="http://www.sec.gov/Archives/edgar/data/1368514/000119380519000160/e618213_ex4-1.htm" TargetMode="External"/><Relationship Id="rId87" Type="http://schemas.openxmlformats.org/officeDocument/2006/relationships/hyperlink" Target="http://www.sec.gov/Archives/edgar/data/1368514/000119380519000160/e618213_ex4-2.htm" TargetMode="External"/><Relationship Id="rId88" Type="http://schemas.openxmlformats.org/officeDocument/2006/relationships/hyperlink" Target="http://www.sec.gov/Archives/edgar/data/1368514/000119380519000281/e618283_ex10-22.htm" TargetMode="External"/><Relationship Id="rId89" Type="http://schemas.openxmlformats.org/officeDocument/2006/relationships/hyperlink" Target="http://www.sec.gov/Archives/edgar/data/1368514/000119380519000012/e618132_ex10-1.htm" TargetMode="External"/><Relationship Id="rId90" Type="http://schemas.openxmlformats.org/officeDocument/2006/relationships/hyperlink" Target="http://www.sec.gov/Archives/edgar/data/1368514/000119380519000098/e618169_ex10-1.htm" TargetMode="External"/><Relationship Id="rId91" Type="http://schemas.openxmlformats.org/officeDocument/2006/relationships/hyperlink" Target="http://www.sec.gov/Archives/edgar/data/1368514/000119380519000098/e618169_ex10-2.htm" TargetMode="External"/><Relationship Id="rId92" Type="http://schemas.openxmlformats.org/officeDocument/2006/relationships/hyperlink" Target="http://www.sec.gov/Archives/edgar/data/1368514/000119380519000098/e618169_ex10-3.htm" TargetMode="External"/><Relationship Id="rId93" Type="http://schemas.openxmlformats.org/officeDocument/2006/relationships/hyperlink" Target="http://www.sec.gov/Archives/edgar/data/1368514/000119380519000160/e618213_ex10-1.htm" TargetMode="External"/><Relationship Id="rId94" Type="http://schemas.openxmlformats.org/officeDocument/2006/relationships/hyperlink" Target="http://www.sec.gov/Archives/edgar/data/1368514/000119380519000160/e61821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2019-12-02T21:32:04Z</dcterms:created>
  <dcterms:modified xsi:type="dcterms:W3CDTF">2019-12-02T21:32:04Z</dcterms:modified>
</cp:coreProperties>
</file>