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0001368514false--12-31falseFY202000100000000000593183552390000563035110000060000000013685142020-01-012020-12-310001368514adma:JefferiesLLCMemberadma:SaleAgreementMemberus-gaap:SubsequentEventMember2021-02-012021-02-030001368514adma:JefferiesLLCMemberadma:SaleAgreementMemberus-gaap:SubsequentEventMember2021-01-012021-03-160001368514adma:InventoryPurchasesMemberadma:GrifolsMember2019-01-012019-12-310001368514adma:InventoryPurchasesMemberadma:GrifolsMember2020-01-012020-12-310001368514adma:RevenueMemberadma:ThreeCustomersMember2020-01-012020-12-310001368514adma:RevenueMemberadma:ThreeCustomersMember2019-01-012019-12-310001368514adma:ThreeCustomersMemberus-gaap:AccountsReceivableMember2020-01-012020-12-310001368514adma:TwoCustomersMemberus-gaap:AccountsReceivableMember2019-01-012019-12-310001368514adma:ConsolidatedMember2019-12-310001368514adma:ConsolidatedMember2020-12-310001368514adma:ConsolidatedMember2019-01-012019-12-310001368514adma:ConsolidatedMember2020-01-012020-12-310001368514us-gaap:CorporateMember2019-12-310001368514us-gaap:CorporateMember2020-12-310001368514us-gaap:CorporateMember2019-01-012019-12-310001368514us-gaap:CorporateMember2020-01-012020-12-310001368514adma:PlasmaCollectionCenterMember2019-12-310001368514adma:PlasmaCollectionCenterMember2020-12-310001368514adma:PlasmaCollectionCenterMember2019-01-012019-12-310001368514adma:PlasmaCollectionCenterMember2020-01-012020-12-310001368514adma:AdmaBiomanufacturingMember2019-12-310001368514adma:AdmaBiomanufacturingMember2020-12-310001368514adma:AdmaBiomanufacturingMember2019-01-012019-12-310001368514adma:AdmaBiomanufacturingMember2020-01-012020-12-310001368514adma:StateMember2020-12-310001368514adma:FederalMember2020-12-310001368514adma:ArethLLCMember2017-09-092017-10-010001368514adma:MedicalEquipmentAndServicesMember2020-01-012020-12-310001368514adma:ArethLLCMember2020-01-012020-12-310001368514adma:ArethLLCMember2019-01-012019-12-310001368514us-gaap:RestrictedStockUnitsRSUMember2020-12-310001368514adma:EquityIncentivePlanMember2020-12-310001368514adma:EquityIncentivePlanMember2019-01-012019-12-310001368514adma:EquityIncentivePlanMember2020-01-012020-12-310001368514adma:SaleAgreementMember2020-11-050001368514adma:SaleAgreementMember2020-01-012020-12-310001368514adma:SaleAgreementMember2020-08-0500013685142020-02-012020-02-2100013685142019-05-012019-05-2100013685142020-02-012020-02-1100013685142020-02-2100013685142019-05-2100013685142020-02-1100013685142019-08-230001368514adma:PerceptiveTrancheIvWarrantMember2020-12-310001368514adma:PerceptiveTrancheIIIWarrantMemberadma:MayThreeTwoThousandNinteenMember2020-01-012020-12-310001368514adma:PerceptiveTrancheIIIWarrantMemberadma:MayThreeTwoThousandNinteenMember2020-12-310001368514adma:JanuaryOneTwoThousandTwentyOneMember2020-12-310001368514us-gaap:CostOfGoodsTotalMember2020-01-012020-12-310001368514us-gaap:CostOfGoodsTotalMember2019-01-012019-12-310001368514adma:PlasmaCentersMember2020-01-012020-12-310001368514adma:PlasmaCentersMember2019-01-012019-12-310001368514us-gaap:GeneralAndAdministrativeExpenseMember2020-01-012020-12-310001368514us-gaap:GeneralAndAdministrativeExpenseMember2019-01-012019-12-310001368514us-gaap:ResearchAndDevelopmentExpenseMember2020-01-012020-12-310001368514us-gaap:ResearchAndDevelopmentExpenseMember2019-01-012019-12-310001368514adma:WeightedAverageGrantDateFairValueMember2020-12-310001368514adma:WeightedAverageGrantDateFairValueMember2020-01-012020-12-310001368514adma:Range4Member2020-01-012020-12-310001368514adma:Range4Member2020-12-310001368514adma:Range3Member2020-01-012020-12-310001368514adma:Range3Member2020-12-310001368514adma:Range2Member2020-01-012020-12-310001368514adma:Range2Member2020-12-310001368514adma:Range1Member2020-01-012020-12-310001368514adma:Range1Member2020-12-310001368514adma:RangeTotalMember2020-01-012020-12-310001368514adma:RangeTotalMember2020-12-310001368514adma:WeightedAverageExercisePriceMember2020-12-310001368514adma:WeightedAverageExercisePriceMember2020-01-012020-12-310001368514adma:WeightedAverageExercisePriceMember2019-01-012019-12-310001368514adma:WeightedAverageExercisePriceMember2019-12-310001368514adma:WeightedAverageExercisePriceMember2018-12-310001368514adma:SharesMember2019-12-310001368514adma:SharesMember2020-12-310001368514adma:SharesMember2019-01-012019-12-310001368514adma:SharesMember2020-01-012020-12-310001368514srt:MaximumMember2020-01-012020-12-310001368514srt:MinimumMember2020-01-012020-12-310001368514srt:MaximumMember2019-01-012019-12-310001368514srt:MinimumMember2019-01-012019-12-310001368514adma:MarathonHealthcareFinanceFundLPMember2019-05-030001368514adma:SecondPerceptiveAmendmentMember2020-12-310001368514adma:SecondPerceptiveAmendmentMember2020-01-012020-12-310001368514adma:MarathonHealthcareFinanceFundLPMember2019-01-012019-12-310001368514adma:MarathonHealthcareFinanceFundLPMember2019-04-112019-05-030001368514adma:BPCMember2020-01-012020-12-310001368514adma:PerceptiveTrancheIIILoanMember2020-03-012020-03-200001368514adma:PerceptiveTrancheIILoanMember2019-04-112019-05-030001368514adma:PerceptiveTrancheILoanMember2020-01-012020-12-310001368514adma:PerceptiveCreditAgreementMember2019-02-012019-02-110001368514adma:PerceptiveTrancheIvLoanMember2020-01-012020-12-310001368514adma:PerceptiveTrancheIvLoanMember2020-11-202020-12-080001368514adma:PerceptiveTrancheIIIWarrantMember2019-05-020001368514adma:PerceptiveCreditAgreementMember2020-12-310001368514adma:PerceptiveTrancheIIIWarrantMember2019-04-112019-05-020001368514adma:PerceptiveTrancheIvWarrantMember2020-01-012020-12-310001368514adma:PerceptiveCreditAgreementMember2020-01-012020-12-310001368514adma:BPCMember2020-12-3100013685142020-11-202020-12-080001368514adma:FirstPerceptiveAmendmentMember2019-04-112019-05-0300013685142020-12-080001368514us-gaap:CustomerContractsMember2020-12-310001368514adma:RightToIntermediatesMember2020-12-310001368514adma:TrademarksAndOtherIntangibleRightsMember2020-12-310001368514us-gaap:CustomerContractsMember2019-12-310001368514adma:RightToIntermediatesMember2019-12-310001368514adma:TrademarksAndOtherIntangibleRightsMember2019-12-310001368514us-gaap:AssetUnderConstructionMember2019-12-310001368514us-gaap:AssetUnderConstructionMember2020-12-310001368514us-gaap:BuildingMember2020-12-310001368514adma:LandsMember2020-12-310001368514us-gaap:LeaseholdImprovementsMember2020-12-310001368514us-gaap:FurnitureAndFixturesMember2020-12-310001368514us-gaap:OfficeEquipmentMember2020-12-310001368514adma:ManufacturingAndLaboratoryEquipmentMember2020-12-310001368514us-gaap:BuildingMember2019-12-310001368514adma:LandsMember2019-12-310001368514us-gaap:LeaseholdImprovementsMember2019-12-310001368514us-gaap:FurnitureAndFixturesMember2019-12-310001368514us-gaap:OfficeEquipmentMember2019-12-310001368514adma:ManufacturingAndLaboratoryEquipmentMember2019-12-310001368514adma:JanuaryOneTwoZeroOneNineMemberadma:TwoFacilitiesMember2020-01-012020-12-310001368514adma:JanuaryOneTwoZeroOneNineMemberadma:TwoFacilitiesMember2020-12-310001368514adma:LandAndBuildingsMembersrt:MinimumMember2020-01-012020-12-310001368514adma:LandAndBuildingsMembersrt:MaximumMember2020-01-012020-12-310001368514adma:BuildingsMember2020-01-012020-12-310001368514adma:BiotestLicenseAgreementMember2020-01-012020-12-310001368514adma:JanuaryOneTwoThousandNineteenMember2020-12-310001368514adma:ReserveAccountMember2019-12-310001368514adma:WarrantsMember2019-01-012019-12-310001368514adma:WarrantsMember2020-01-012020-12-310001368514us-gaap:RestrictedStockUnitsRSUMember2020-01-012020-12-310001368514adma:StockOptionsMember2019-01-012019-12-310001368514adma:StockOptionsMember2020-01-012020-12-310001368514adma:JefferiesLLCMemberadma:SaleAgreementMember2020-01-012020-12-310001368514adma:JefferiesLLCMemberadma:SaleAgreementMember2021-02-030001368514adma:JefferiesLLCMemberadma:SaleAgreementMember2020-08-050001368514us-gaap:RetainedEarningsMember2020-12-310001368514us-gaap:AdditionalPaidInCapitalMember2020-12-310001368514us-gaap:CommonStockMember2020-12-310001368514us-gaap:RetainedEarningsMember2020-01-012020-12-310001368514us-gaap:AdditionalPaidInCapitalMember2020-01-012020-12-310001368514us-gaap:RetainedEarningsMember2019-12-310001368514us-gaap:AdditionalPaidInCapitalMember2019-12-310001368514us-gaap:CommonStockMember2019-12-310001368514us-gaap:RetainedEarningsMember2019-01-012019-12-310001368514us-gaap:AdditionalPaidInCapitalMember2019-01-012019-12-310001368514us-gaap:CommonStockMember2019-01-012019-12-3100013685142018-12-310001368514us-gaap:RetainedEarningsMember2018-12-310001368514us-gaap:AdditionalPaidInCapitalMember2018-12-310001368514us-gaap:CommonStockMember2018-12-3100013685142019-01-012019-12-3100013685142019-12-3100013685142020-12-3100013685142021-03-1600013685142020-06-300001368514us-gaap:CommonStockMember2020-01-012020-12-310001368514us-gaap:PreferredStockMember2020-01-012020-12-31iso4217:USDxbrli:sharesiso4217:USDxbrli:sharesxbrli:pure</w:t>
      </w:r>
    </w:p>
    <w:p>
      <w:pPr>
        <w:sectPr>
          <w:type w:val="continuous"/>
          <w:pgSz w:w="11906" w:h="16838"/>
          <w:pgMar w:left="1134" w:right="567" w:gutter="0" w:header="0" w:top="567" w:footer="0" w:bottom="567"/>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pPr>
            <w:r>
              <w:rPr/>
            </w:r>
          </w:p>
        </w:tc>
      </w:tr>
      <w:tr>
        <w:trPr/>
        <w:tc>
          <w:tcPr>
            <w:tcW w:w="169" w:type="dxa"/>
            <w:tcBorders>
              <w:bottom w:val="single" w:sz="12" w:space="0" w:color="000000"/>
            </w:tcBorders>
            <w:vAlign w:val="center"/>
          </w:tcPr>
          <w:p>
            <w:pPr>
              <w:pStyle w:val="TableContents"/>
              <w:bidi w:val="0"/>
              <w:spacing w:before="0" w:after="283"/>
              <w:jc w:val="left"/>
              <w:rPr/>
            </w:pPr>
            <w:r>
              <w:rPr/>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UNITED STATES </w:t>
      </w:r>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SECURITIES AND EXCHANGE COMMISSION</w:t>
      </w:r>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Washington, D.C. 20549</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36"/>
          <w:shd w:fill="FFFFFF" w:val="clear"/>
        </w:rPr>
        <w:t>FORM 10-K</w:t>
      </w:r>
    </w:p>
    <w:p>
      <w:pPr>
        <w:pStyle w:val="TextBody"/>
        <w:bidi w:val="0"/>
        <w:spacing w:before="0" w:after="0"/>
        <w:ind w:left="0" w:right="0" w:hanging="0"/>
        <w:jc w:val="center"/>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(Mark One)</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0"/>
              <w:jc w:val="left"/>
              <w:rPr/>
            </w:pPr>
            <w:r>
              <w:rPr/>
              <w:t>☒</w:t>
            </w:r>
          </w:p>
        </w:tc>
        <w:tc>
          <w:tcPr>
            <w:tcW w:w="9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REPORT PURSUANT TO SECTION 13 OR 15(d) OF THE SECURITIES EXCHANGE ACT OF 1934</w:t>
            </w:r>
          </w:p>
        </w:tc>
      </w:tr>
    </w:tbl>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For the fiscal year ended December 31, 2023 </w:t>
      </w:r>
    </w:p>
    <w:p>
      <w:pPr>
        <w:pStyle w:val="TextBody"/>
        <w:bidi w:val="0"/>
        <w:spacing w:before="0" w:after="0"/>
        <w:jc w:val="left"/>
        <w:rPr/>
      </w:pPr>
      <w:r>
        <w:rPr/>
      </w:r>
    </w:p>
    <w:tbl>
      <w:tblPr>
        <w:tblW w:w="9430" w:type="dxa"/>
        <w:jc w:val="left"/>
        <w:tblInd w:w="0" w:type="dxa"/>
        <w:tblLayout w:type="fixed"/>
        <w:tblCellMar>
          <w:top w:w="0" w:type="dxa"/>
          <w:left w:w="0" w:type="dxa"/>
          <w:bottom w:w="0" w:type="dxa"/>
          <w:right w:w="0" w:type="dxa"/>
        </w:tblCellMar>
      </w:tblPr>
      <w:tblGrid>
        <w:gridCol w:w="245"/>
        <w:gridCol w:w="9185"/>
      </w:tblGrid>
      <w:tr>
        <w:trPr/>
        <w:tc>
          <w:tcPr>
            <w:tcW w:w="245" w:type="dxa"/>
            <w:tcBorders/>
            <w:vAlign w:val="center"/>
          </w:tcPr>
          <w:p>
            <w:pPr>
              <w:pStyle w:val="TableContents"/>
              <w:bidi w:val="0"/>
              <w:spacing w:before="0" w:after="0"/>
              <w:jc w:val="left"/>
              <w:rPr/>
            </w:pPr>
            <w:r>
              <w:rPr/>
              <w:t>☐</w:t>
            </w:r>
          </w:p>
        </w:tc>
        <w:tc>
          <w:tcPr>
            <w:tcW w:w="9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TRANSITION REPORT UNDER SECTION 13 OR 15(d) OF THE SECURITIES EXCHANGE ACT OF 1934</w:t>
            </w:r>
          </w:p>
        </w:tc>
      </w:tr>
    </w:tbl>
    <w:p>
      <w:pPr>
        <w:pStyle w:val="TextBody"/>
        <w:bidi w:val="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For the transition period from _________ to _________ </w:t>
      </w:r>
    </w:p>
    <w:p>
      <w:pPr>
        <w:pStyle w:val="TextBody"/>
        <w:bidi w:val="0"/>
        <w:spacing w:before="0" w:after="0"/>
        <w:ind w:left="0" w:right="0" w:hanging="0"/>
        <w:jc w:val="center"/>
        <w:rPr/>
      </w:pPr>
      <w:r>
        <w:rPr/>
      </w:r>
    </w:p>
    <w:p>
      <w:pPr>
        <w:pStyle w:val="TextBody"/>
        <w:bidi w:val="0"/>
        <w:spacing w:before="0" w:after="0"/>
        <w:ind w:left="0" w:right="0" w:hanging="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Commission File Number: 001-36728</w:t>
      </w:r>
    </w:p>
    <w:p>
      <w:pPr>
        <w:pStyle w:val="TextBody"/>
        <w:bidi w:val="0"/>
        <w:spacing w:before="0" w:after="0"/>
        <w:jc w:val="left"/>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center"/>
        <w:rPr/>
      </w:pPr>
      <w:r>
        <w:rPr>
          <w:rStyle w:val="StrongEmphasis"/>
          <w:rFonts w:ascii="Times New Roman" w:hAnsi="Times New Roman"/>
          <w:b w:val="false"/>
          <w:i w:val="false"/>
          <w:caps w:val="false"/>
          <w:smallCaps w:val="false"/>
          <w:color w:val="000000"/>
          <w:sz w:val="48"/>
          <w:shd w:fill="FFFFFF" w:val="clear"/>
        </w:rPr>
        <w:t>ADMA BIOLOGICS, INC.</w:t>
      </w:r>
      <w:r>
        <w:rPr>
          <w:rFonts w:ascii="Times New Roman" w:hAnsi="Times New Roman"/>
          <w:b w:val="false"/>
          <w:i w:val="false"/>
          <w:caps w:val="false"/>
          <w:smallCaps w:val="false"/>
          <w:color w:val="000000"/>
          <w:sz w:val="20"/>
          <w:shd w:fill="FFFFFF" w:val="clear"/>
        </w:rPr>
        <w:t xml:space="preserve"> </w:t>
      </w:r>
    </w:p>
    <w:p>
      <w:pPr>
        <w:pStyle w:val="TextBody"/>
        <w:bidi w:val="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(Exact Name of Registrant as Specified in Its Charter) </w:t>
      </w:r>
    </w:p>
    <w:p>
      <w:pPr>
        <w:pStyle w:val="TextBody"/>
        <w:bidi w:val="0"/>
        <w:spacing w:before="0" w:after="0"/>
        <w:ind w:left="0" w:right="0" w:hanging="0"/>
        <w:jc w:val="center"/>
        <w:rPr>
          <w:caps w:val="false"/>
          <w:smallCaps w:val="false"/>
          <w:color w:val="000000"/>
          <w:shd w:fill="FFFFFF" w:val="clear"/>
        </w:rPr>
      </w:pPr>
      <w:r>
        <w:rPr>
          <w:caps w:val="false"/>
          <w:smallCaps w:val="false"/>
          <w:color w:val="000000"/>
          <w:shd w:fill="FFFFFF" w:val="clear"/>
        </w:rPr>
        <w:t> </w:t>
      </w:r>
    </w:p>
    <w:tbl>
      <w:tblPr>
        <w:tblW w:w="9415" w:type="dxa"/>
        <w:jc w:val="left"/>
        <w:tblInd w:w="0" w:type="dxa"/>
        <w:tblLayout w:type="fixed"/>
        <w:tblCellMar>
          <w:top w:w="0" w:type="dxa"/>
          <w:left w:w="0" w:type="dxa"/>
          <w:bottom w:w="28" w:type="dxa"/>
          <w:right w:w="0" w:type="dxa"/>
        </w:tblCellMar>
      </w:tblPr>
      <w:tblGrid>
        <w:gridCol w:w="5810"/>
        <w:gridCol w:w="90"/>
        <w:gridCol w:w="3515"/>
      </w:tblGrid>
      <w:tr>
        <w:trPr/>
        <w:tc>
          <w:tcPr>
            <w:tcW w:w="5810" w:type="dxa"/>
            <w:tcBorders>
              <w:bottom w:val="single" w:sz="12" w:space="0" w:color="000000"/>
            </w:tcBorders>
            <w:vAlign w:val="center"/>
          </w:tcPr>
          <w:p>
            <w:pPr>
              <w:pStyle w:val="TableContents"/>
              <w:bidi w:val="0"/>
              <w:spacing w:before="0" w:after="0"/>
              <w:ind w:left="0" w:right="0" w:hanging="0"/>
              <w:jc w:val="center"/>
              <w:rPr/>
            </w:pPr>
            <w:r>
              <w:rPr/>
              <w:t> </w:t>
            </w:r>
            <w:r>
              <w:rPr>
                <w:b/>
              </w:rPr>
              <w:t>Delaware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515" w:type="dxa"/>
            <w:tcBorders>
              <w:bottom w:val="single" w:sz="12" w:space="0" w:color="000000"/>
            </w:tcBorders>
            <w:vAlign w:val="center"/>
          </w:tcPr>
          <w:p>
            <w:pPr>
              <w:pStyle w:val="TableContents"/>
              <w:bidi w:val="0"/>
              <w:spacing w:before="0" w:after="0"/>
              <w:ind w:left="0" w:right="0" w:hanging="0"/>
              <w:jc w:val="center"/>
              <w:rPr>
                <w:b/>
              </w:rPr>
            </w:pPr>
            <w:r>
              <w:rPr>
                <w:b/>
              </w:rPr>
              <w:t>56-2590442</w:t>
            </w:r>
          </w:p>
        </w:tc>
      </w:tr>
      <w:tr>
        <w:trPr/>
        <w:tc>
          <w:tcPr>
            <w:tcW w:w="5810" w:type="dxa"/>
            <w:tcBorders/>
            <w:tcMar>
              <w:bottom w:w="0" w:type="dxa"/>
            </w:tcMar>
            <w:vAlign w:val="center"/>
          </w:tcPr>
          <w:p>
            <w:pPr>
              <w:pStyle w:val="TableContents"/>
              <w:bidi w:val="0"/>
              <w:spacing w:before="0" w:after="0"/>
              <w:ind w:left="0" w:right="0" w:hanging="0"/>
              <w:jc w:val="center"/>
              <w:rPr/>
            </w:pPr>
            <w:r>
              <w:rPr/>
              <w:t>(State or Other Jurisdiction of Incorporation or Organization)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515" w:type="dxa"/>
            <w:tcBorders/>
            <w:tcMar>
              <w:bottom w:w="0" w:type="dxa"/>
            </w:tcMar>
            <w:vAlign w:val="center"/>
          </w:tcPr>
          <w:p>
            <w:pPr>
              <w:pStyle w:val="TableContents"/>
              <w:bidi w:val="0"/>
              <w:spacing w:before="0" w:after="0"/>
              <w:ind w:left="0" w:right="0" w:hanging="0"/>
              <w:jc w:val="center"/>
              <w:rPr/>
            </w:pPr>
            <w:r>
              <w:rPr/>
              <w:t>(I.R.S. Employer Identification No.)</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5425" w:type="dxa"/>
        <w:jc w:val="left"/>
        <w:tblInd w:w="0" w:type="dxa"/>
        <w:tblLayout w:type="fixed"/>
        <w:tblCellMar>
          <w:top w:w="0" w:type="dxa"/>
          <w:left w:w="0" w:type="dxa"/>
          <w:bottom w:w="28" w:type="dxa"/>
          <w:right w:w="0" w:type="dxa"/>
        </w:tblCellMar>
      </w:tblPr>
      <w:tblGrid>
        <w:gridCol w:w="4190"/>
        <w:gridCol w:w="90"/>
        <w:gridCol w:w="1145"/>
      </w:tblGrid>
      <w:tr>
        <w:trPr/>
        <w:tc>
          <w:tcPr>
            <w:tcW w:w="4190" w:type="dxa"/>
            <w:tcBorders>
              <w:bottom w:val="single" w:sz="12" w:space="0" w:color="000000"/>
            </w:tcBorders>
            <w:vAlign w:val="center"/>
          </w:tcPr>
          <w:p>
            <w:pPr>
              <w:pStyle w:val="TableContents"/>
              <w:bidi w:val="0"/>
              <w:spacing w:before="0" w:after="0"/>
              <w:ind w:left="0" w:right="0" w:hanging="0"/>
              <w:jc w:val="center"/>
              <w:rPr/>
            </w:pPr>
            <w:r>
              <w:rPr>
                <w:rStyle w:val="StrongEmphasis"/>
              </w:rPr>
              <w:t>465 State Route 17, Ramsey, New Jersey</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45" w:type="dxa"/>
            <w:tcBorders>
              <w:bottom w:val="single" w:sz="12" w:space="0" w:color="000000"/>
            </w:tcBorders>
            <w:vAlign w:val="center"/>
          </w:tcPr>
          <w:p>
            <w:pPr>
              <w:pStyle w:val="TableContents"/>
              <w:bidi w:val="0"/>
              <w:spacing w:before="0" w:after="0"/>
              <w:ind w:left="0" w:right="0" w:hanging="0"/>
              <w:jc w:val="center"/>
              <w:rPr/>
            </w:pPr>
            <w:r>
              <w:rPr>
                <w:b/>
              </w:rPr>
              <w:t>07446</w:t>
            </w:r>
            <w:r>
              <w:rPr/>
              <w:t xml:space="preserve"> </w:t>
            </w:r>
          </w:p>
        </w:tc>
      </w:tr>
      <w:tr>
        <w:trPr/>
        <w:tc>
          <w:tcPr>
            <w:tcW w:w="4190" w:type="dxa"/>
            <w:tcBorders/>
            <w:tcMar>
              <w:bottom w:w="0" w:type="dxa"/>
            </w:tcMar>
            <w:vAlign w:val="center"/>
          </w:tcPr>
          <w:p>
            <w:pPr>
              <w:pStyle w:val="TableContents"/>
              <w:bidi w:val="0"/>
              <w:spacing w:before="0" w:after="0"/>
              <w:ind w:left="0" w:right="0" w:hanging="0"/>
              <w:jc w:val="center"/>
              <w:rPr/>
            </w:pPr>
            <w:r>
              <w:rPr/>
              <w:t>(Address of Principal Executive Offices)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45" w:type="dxa"/>
            <w:tcBorders/>
            <w:tcMar>
              <w:bottom w:w="0" w:type="dxa"/>
            </w:tcMar>
            <w:vAlign w:val="center"/>
          </w:tcPr>
          <w:p>
            <w:pPr>
              <w:pStyle w:val="TableContents"/>
              <w:bidi w:val="0"/>
              <w:spacing w:before="0" w:after="0"/>
              <w:ind w:left="0" w:right="0" w:hanging="0"/>
              <w:jc w:val="center"/>
              <w:rPr/>
            </w:pPr>
            <w:r>
              <w:rPr/>
              <w:t>(Zip Code)</w:t>
            </w:r>
          </w:p>
        </w:tc>
      </w:tr>
    </w:tbl>
    <w:p>
      <w:pPr>
        <w:pStyle w:val="TextBody"/>
        <w:bidi w:val="0"/>
        <w:spacing w:before="0" w:after="0"/>
        <w:ind w:left="0" w:right="0" w:hanging="0"/>
        <w:jc w:val="center"/>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pPr>
      <w:r>
        <w:rPr>
          <w:caps w:val="false"/>
          <w:smallCaps w:val="false"/>
          <w:color w:val="000000"/>
          <w:shd w:fill="FFFFFF" w:val="clear"/>
        </w:rPr>
        <w:t> </w:t>
      </w:r>
      <w:r>
        <w:rPr>
          <w:rFonts w:ascii="Times New Roman" w:hAnsi="Times New Roman"/>
          <w:b w:val="false"/>
          <w:i w:val="false"/>
          <w:caps w:val="false"/>
          <w:smallCaps w:val="false"/>
          <w:color w:val="000000"/>
          <w:sz w:val="20"/>
          <w:shd w:fill="FFFFFF" w:val="clear"/>
        </w:rPr>
        <w:t xml:space="preserve">Registrant’s telephone number, including area code: </w:t>
      </w:r>
      <w:r>
        <w:rPr>
          <w:rStyle w:val="StrongEmphasis"/>
          <w:rFonts w:ascii="Times New Roman" w:hAnsi="Times New Roman"/>
          <w:b w:val="false"/>
          <w:i w:val="false"/>
          <w:caps w:val="false"/>
          <w:smallCaps w:val="false"/>
          <w:color w:val="000000"/>
          <w:sz w:val="20"/>
          <w:shd w:fill="FFFFFF" w:val="clear"/>
        </w:rPr>
        <w:t>(201) 478-5552 </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ind w:left="0" w:right="0" w:hanging="0"/>
        <w:jc w:val="center"/>
        <w:rPr>
          <w:caps w:val="false"/>
          <w:smallCaps w:val="false"/>
          <w:color w:val="000000"/>
          <w:shd w:fill="FFFFFF" w:val="clear"/>
        </w:rPr>
      </w:pPr>
      <w:r>
        <w:rPr>
          <w:caps w:val="false"/>
          <w:smallCaps w:val="false"/>
          <w:color w:val="000000"/>
          <w:shd w:fill="FFFFFF" w:val="clear"/>
        </w:rPr>
        <w:t> </w:t>
      </w:r>
      <w:r>
        <w:rPr>
          <w:rFonts w:ascii="Times New Roman" w:hAnsi="Times New Roman"/>
          <w:b w:val="false"/>
          <w:i w:val="false"/>
          <w:caps w:val="false"/>
          <w:smallCaps w:val="false"/>
          <w:color w:val="000000"/>
          <w:sz w:val="20"/>
          <w:shd w:fill="FFFFFF" w:val="clear"/>
        </w:rPr>
        <w:t>Securities registered pursuant to Section 12(b) of the Act:</w:t>
      </w:r>
    </w:p>
    <w:p>
      <w:pPr>
        <w:pStyle w:val="TextBody"/>
        <w:bidi w:val="0"/>
        <w:spacing w:before="0" w:after="0"/>
        <w:ind w:left="0" w:right="0" w:hanging="0"/>
        <w:jc w:val="center"/>
        <w:rPr>
          <w:caps w:val="false"/>
          <w:smallCaps w:val="false"/>
          <w:color w:val="000000"/>
          <w:shd w:fill="FFFFFF" w:val="clear"/>
        </w:rPr>
      </w:pPr>
      <w:r>
        <w:rPr>
          <w:caps w:val="false"/>
          <w:smallCaps w:val="false"/>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4405"/>
        <w:gridCol w:w="1625"/>
        <w:gridCol w:w="4175"/>
      </w:tblGrid>
      <w:tr>
        <w:trPr/>
        <w:tc>
          <w:tcPr>
            <w:tcW w:w="4405" w:type="dxa"/>
            <w:tcBorders/>
            <w:vAlign w:val="center"/>
          </w:tcPr>
          <w:p>
            <w:pPr>
              <w:pStyle w:val="TableContents"/>
              <w:bidi w:val="0"/>
              <w:spacing w:before="0" w:after="0"/>
              <w:ind w:left="0" w:right="0" w:hanging="0"/>
              <w:jc w:val="center"/>
              <w:rPr/>
            </w:pPr>
            <w:r>
              <w:rPr/>
              <w:t> </w:t>
            </w:r>
            <w:r>
              <w:rPr>
                <w:u w:val="single"/>
              </w:rPr>
              <w:t>Title of each class</w:t>
            </w:r>
          </w:p>
        </w:tc>
        <w:tc>
          <w:tcPr>
            <w:tcW w:w="1625" w:type="dxa"/>
            <w:tcBorders/>
            <w:vAlign w:val="center"/>
          </w:tcPr>
          <w:p>
            <w:pPr>
              <w:pStyle w:val="TableContents"/>
              <w:bidi w:val="0"/>
              <w:spacing w:before="0" w:after="0"/>
              <w:ind w:left="0" w:right="0" w:hanging="0"/>
              <w:jc w:val="center"/>
              <w:rPr/>
            </w:pPr>
            <w:r>
              <w:rPr/>
              <w:t> </w:t>
            </w:r>
            <w:r>
              <w:rPr/>
              <w:t>Trading Symbol</w:t>
            </w:r>
          </w:p>
        </w:tc>
        <w:tc>
          <w:tcPr>
            <w:tcW w:w="4175" w:type="dxa"/>
            <w:tcBorders/>
            <w:vAlign w:val="center"/>
          </w:tcPr>
          <w:p>
            <w:pPr>
              <w:pStyle w:val="TableContents"/>
              <w:bidi w:val="0"/>
              <w:spacing w:before="0" w:after="0"/>
              <w:ind w:left="0" w:right="0" w:hanging="0"/>
              <w:jc w:val="center"/>
              <w:rPr>
                <w:u w:val="single"/>
              </w:rPr>
            </w:pPr>
            <w:r>
              <w:rPr>
                <w:u w:val="single"/>
              </w:rPr>
              <w:t>Name of each exchange on which registered</w:t>
            </w:r>
          </w:p>
        </w:tc>
      </w:tr>
      <w:tr>
        <w:trPr/>
        <w:tc>
          <w:tcPr>
            <w:tcW w:w="4405" w:type="dxa"/>
            <w:tcBorders/>
            <w:vAlign w:val="center"/>
          </w:tcPr>
          <w:p>
            <w:pPr>
              <w:pStyle w:val="TableContents"/>
              <w:bidi w:val="0"/>
              <w:spacing w:before="0" w:after="0"/>
              <w:ind w:left="0" w:right="0" w:hanging="0"/>
              <w:jc w:val="center"/>
              <w:rPr/>
            </w:pPr>
            <w:r>
              <w:rPr>
                <w:rStyle w:val="StrongEmphasis"/>
              </w:rPr>
              <w:t>Common stock, par value $0.0001 per share</w:t>
            </w:r>
          </w:p>
        </w:tc>
        <w:tc>
          <w:tcPr>
            <w:tcW w:w="1625" w:type="dxa"/>
            <w:tcBorders/>
            <w:vAlign w:val="center"/>
          </w:tcPr>
          <w:p>
            <w:pPr>
              <w:pStyle w:val="TableContents"/>
              <w:bidi w:val="0"/>
              <w:spacing w:before="0" w:after="0"/>
              <w:ind w:left="0" w:right="0" w:hanging="0"/>
              <w:jc w:val="center"/>
              <w:rPr/>
            </w:pPr>
            <w:r>
              <w:rPr/>
              <w:t>ADMA</w:t>
            </w:r>
          </w:p>
        </w:tc>
        <w:tc>
          <w:tcPr>
            <w:tcW w:w="4175" w:type="dxa"/>
            <w:tcBorders/>
            <w:vAlign w:val="center"/>
          </w:tcPr>
          <w:p>
            <w:pPr>
              <w:pStyle w:val="TableContents"/>
              <w:bidi w:val="0"/>
              <w:spacing w:before="0" w:after="0"/>
              <w:ind w:left="0" w:right="0" w:hanging="0"/>
              <w:jc w:val="center"/>
              <w:rPr/>
            </w:pPr>
            <w:r>
              <w:rPr>
                <w:rStyle w:val="StrongEmphasis"/>
              </w:rPr>
              <w:t>Nasdaq Global Market</w:t>
            </w:r>
          </w:p>
        </w:tc>
      </w:tr>
    </w:tbl>
    <w:p>
      <w:pPr>
        <w:pStyle w:val="TextBody"/>
        <w:bidi w:val="0"/>
        <w:spacing w:before="0" w:after="0"/>
        <w:ind w:left="0" w:right="0" w:hanging="0"/>
        <w:jc w:val="center"/>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pPr>
      <w:r>
        <w:rPr>
          <w:rFonts w:ascii="Times New Roman" w:hAnsi="Times New Roman"/>
          <w:b w:val="false"/>
          <w:i w:val="false"/>
          <w:caps w:val="false"/>
          <w:smallCaps w:val="false"/>
          <w:color w:val="000000"/>
          <w:sz w:val="20"/>
          <w:shd w:fill="FFFFFF" w:val="clear"/>
        </w:rPr>
        <w:t xml:space="preserve">Securities registered pursuant to Section 12(g) of the Act: </w:t>
      </w:r>
      <w:r>
        <w:rPr>
          <w:rStyle w:val="StrongEmphasis"/>
          <w:rFonts w:ascii="Times New Roman" w:hAnsi="Times New Roman"/>
          <w:b w:val="false"/>
          <w:i w:val="false"/>
          <w:caps w:val="false"/>
          <w:smallCaps w:val="false"/>
          <w:color w:val="000000"/>
          <w:sz w:val="20"/>
          <w:shd w:fill="FFFFFF" w:val="clear"/>
        </w:rPr>
        <w:t>None</w:t>
      </w:r>
    </w:p>
    <w:p>
      <w:pPr>
        <w:pStyle w:val="TextBody"/>
        <w:bidi w:val="0"/>
        <w:spacing w:before="0" w:after="0"/>
        <w:ind w:left="0" w:right="0" w:hanging="0"/>
        <w:jc w:val="center"/>
        <w:rPr/>
      </w:pPr>
      <w:r>
        <w:rPr>
          <w:rStyle w:val="StrongEmphasis"/>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Indicate by check mark if the registrant is not required to file reports pursuant to Section 13 or 15(d) of the Act. Yes ☐   No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Large Accelerated Filer</w:t>
            </w:r>
          </w:p>
        </w:tc>
        <w:tc>
          <w:tcPr>
            <w:tcW w:w="230" w:type="dxa"/>
            <w:tcBorders/>
            <w:vAlign w:val="center"/>
          </w:tcPr>
          <w:p>
            <w:pPr>
              <w:pStyle w:val="TableContents"/>
              <w:bidi w:val="0"/>
              <w:spacing w:before="0" w:after="0"/>
              <w:jc w:val="left"/>
              <w:rPr/>
            </w:pPr>
            <w:r>
              <w:rPr/>
              <w:t>☒</w:t>
            </w:r>
          </w:p>
        </w:tc>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Accelerated Filer</w:t>
            </w:r>
          </w:p>
        </w:tc>
        <w:tc>
          <w:tcPr>
            <w:tcW w:w="245" w:type="dxa"/>
            <w:tcBorders/>
            <w:vAlign w:val="center"/>
          </w:tcPr>
          <w:p>
            <w:pPr>
              <w:pStyle w:val="TableContents"/>
              <w:bidi w:val="0"/>
              <w:spacing w:before="0" w:after="0"/>
              <w:jc w:val="left"/>
              <w:rPr/>
            </w:pPr>
            <w:r>
              <w:rPr/>
              <w:t>☐</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w:t>
            </w:r>
          </w:p>
        </w:tc>
        <w:tc>
          <w:tcPr>
            <w:tcW w:w="230" w:type="dxa"/>
            <w:tcBorders/>
            <w:vAlign w:val="center"/>
          </w:tcPr>
          <w:p>
            <w:pPr>
              <w:pStyle w:val="TableContents"/>
              <w:bidi w:val="0"/>
              <w:spacing w:before="0" w:after="0"/>
              <w:jc w:val="left"/>
              <w:rPr/>
            </w:pPr>
            <w:r>
              <w:rPr/>
              <w:t>☐</w:t>
            </w:r>
          </w:p>
        </w:tc>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Smaller Reporting Company</w:t>
            </w:r>
          </w:p>
        </w:tc>
        <w:tc>
          <w:tcPr>
            <w:tcW w:w="245" w:type="dxa"/>
            <w:tcBorders/>
            <w:vAlign w:val="center"/>
          </w:tcPr>
          <w:p>
            <w:pPr>
              <w:pStyle w:val="TableContents"/>
              <w:bidi w:val="0"/>
              <w:spacing w:before="0" w:after="0"/>
              <w:jc w:val="left"/>
              <w:rPr/>
            </w:pPr>
            <w:r>
              <w:rPr/>
              <w:t>☒</w:t>
            </w:r>
          </w:p>
        </w:tc>
      </w:tr>
      <w:tr>
        <w:trPr/>
        <w:tc>
          <w:tcPr>
            <w:tcW w:w="192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c>
          <w:tcPr>
            <w:tcW w:w="245" w:type="dxa"/>
            <w:tcBorders/>
            <w:vAlign w:val="center"/>
          </w:tcPr>
          <w:p>
            <w:pPr>
              <w:pStyle w:val="TableContents"/>
              <w:bidi w:val="0"/>
              <w:spacing w:before="0" w:after="0"/>
              <w:jc w:val="left"/>
              <w:rPr/>
            </w:pPr>
            <w:r>
              <w:rPr/>
              <w:t>☐</w:t>
            </w:r>
          </w:p>
        </w:tc>
      </w:tr>
    </w:tbl>
    <w:p>
      <w:pPr>
        <w:pStyle w:val="TextBody"/>
        <w:bidi w:val="0"/>
        <w:jc w:val="left"/>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Indicate by check mark whether the registrant is a shell company (as defined in Rule 12b-2 of the Act). Yes ☐   No ☒</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aggregate market value of the registrant’s common stock held by non-affiliates was $793,963,197 as of June 30, 2023 (the last business day of the registrant’s most recently completed second fiscal quarter), based on a total of 215,166,178 shares of common stock held by non-affiliates and a closing price of $3.69 as reported on the Nasdaq Global Market on June 30, 2023.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February 23, 2024, there were 228,220,236 shares of the issuer’s common stock outstanding.</w:t>
      </w:r>
    </w:p>
    <w:p>
      <w:pPr>
        <w:pStyle w:val="TextBody"/>
        <w:bidi w:val="0"/>
        <w:spacing w:before="0" w:after="0"/>
        <w:ind w:left="0" w:right="0" w:hanging="0"/>
        <w:jc w:val="center"/>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DOCUMENTS INCORPORATED BY REFERENCE</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Portions of the ADMA Biologics, Inc. definitive proxy statement to be filed pursuant to Regulation 14A within 120 days after the end of the fiscal year are incorporated by reference into Part III of this Annual Report on Form 10-K and certain documents are incorporated by reference into Part IV.</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bookmarkStart w:id="0" w:name="ADMABIOLOGICSINC."/>
      <w:bookmarkEnd w:id="0"/>
      <w:r>
        <w:rPr>
          <w:rFonts w:ascii="Times New Roman" w:hAnsi="Times New Roman"/>
          <w:b/>
          <w:color w:val="000000"/>
          <w:sz w:val="20"/>
          <w:shd w:fill="FFFFFF" w:val="clear"/>
        </w:rPr>
        <w:t>ADMA BIOLOGICS, INC.</w:t>
      </w:r>
    </w:p>
    <w:p>
      <w:pPr>
        <w:pStyle w:val="TextBody"/>
        <w:bidi w:val="0"/>
        <w:spacing w:before="0" w:after="0"/>
        <w:jc w:val="center"/>
        <w:rPr>
          <w:b/>
        </w:rPr>
      </w:pPr>
      <w:r>
        <w:rPr>
          <w:b/>
        </w:rPr>
      </w:r>
    </w:p>
    <w:tbl>
      <w:tblPr>
        <w:tblW w:w="10205" w:type="dxa"/>
        <w:jc w:val="left"/>
        <w:tblInd w:w="0" w:type="dxa"/>
        <w:tblLayout w:type="fixed"/>
        <w:tblCellMar>
          <w:top w:w="0" w:type="dxa"/>
          <w:left w:w="0" w:type="dxa"/>
          <w:bottom w:w="0" w:type="dxa"/>
          <w:right w:w="0" w:type="dxa"/>
        </w:tblCellMar>
      </w:tblPr>
      <w:tblGrid>
        <w:gridCol w:w="909"/>
        <w:gridCol w:w="9035"/>
        <w:gridCol w:w="261"/>
      </w:tblGrid>
      <w:tr>
        <w:trPr/>
        <w:tc>
          <w:tcPr>
            <w:tcW w:w="909" w:type="dxa"/>
            <w:tcBorders/>
            <w:vAlign w:val="center"/>
          </w:tcPr>
          <w:p>
            <w:pPr>
              <w:pStyle w:val="TableContents"/>
              <w:bidi w:val="0"/>
              <w:spacing w:before="0" w:after="0"/>
              <w:jc w:val="left"/>
              <w:rPr/>
            </w:pPr>
            <w:r>
              <w:rPr/>
              <w:t>PART I</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w:t>
            </w:r>
          </w:p>
        </w:tc>
        <w:tc>
          <w:tcPr>
            <w:tcW w:w="9035" w:type="dxa"/>
            <w:tcBorders/>
            <w:shd w:fill="CCEEFF" w:val="clear"/>
            <w:vAlign w:val="center"/>
          </w:tcPr>
          <w:p>
            <w:pPr>
              <w:pStyle w:val="TableContents"/>
              <w:bidi w:val="0"/>
              <w:spacing w:before="0" w:after="0"/>
              <w:jc w:val="left"/>
              <w:rPr/>
            </w:pPr>
            <w:hyperlink w:anchor="Item1.">
              <w:r>
                <w:rPr>
                  <w:rStyle w:val="InternetLink"/>
                </w:rPr>
                <w:t>Business</w:t>
              </w:r>
            </w:hyperlink>
          </w:p>
        </w:tc>
        <w:tc>
          <w:tcPr>
            <w:tcW w:w="261" w:type="dxa"/>
            <w:tcBorders/>
            <w:shd w:fill="CCEEFF" w:val="clear"/>
            <w:vAlign w:val="center"/>
          </w:tcPr>
          <w:p>
            <w:pPr>
              <w:pStyle w:val="TableContents"/>
              <w:bidi w:val="0"/>
              <w:spacing w:before="0" w:after="0"/>
              <w:jc w:val="right"/>
              <w:rPr/>
            </w:pPr>
            <w:r>
              <w:rPr/>
              <w:t>4</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1A.</w:t>
            </w:r>
          </w:p>
        </w:tc>
        <w:tc>
          <w:tcPr>
            <w:tcW w:w="9035" w:type="dxa"/>
            <w:tcBorders/>
            <w:shd w:fill="CCEEFF" w:val="clear"/>
            <w:vAlign w:val="center"/>
          </w:tcPr>
          <w:p>
            <w:pPr>
              <w:pStyle w:val="TableContents"/>
              <w:bidi w:val="0"/>
              <w:spacing w:before="0" w:after="0"/>
              <w:jc w:val="left"/>
              <w:rPr/>
            </w:pPr>
            <w:hyperlink w:anchor="Item1A.">
              <w:r>
                <w:rPr>
                  <w:rStyle w:val="InternetLink"/>
                </w:rPr>
                <w:t>Risk Factors</w:t>
              </w:r>
            </w:hyperlink>
          </w:p>
        </w:tc>
        <w:tc>
          <w:tcPr>
            <w:tcW w:w="261" w:type="dxa"/>
            <w:tcBorders/>
            <w:shd w:fill="CCEEFF" w:val="clear"/>
            <w:vAlign w:val="center"/>
          </w:tcPr>
          <w:p>
            <w:pPr>
              <w:pStyle w:val="TableContents"/>
              <w:bidi w:val="0"/>
              <w:spacing w:before="0" w:after="0"/>
              <w:jc w:val="right"/>
              <w:rPr/>
            </w:pPr>
            <w:r>
              <w:rPr/>
              <w:t>31</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1B.</w:t>
            </w:r>
          </w:p>
        </w:tc>
        <w:tc>
          <w:tcPr>
            <w:tcW w:w="9035" w:type="dxa"/>
            <w:tcBorders/>
            <w:shd w:fill="CCEEFF" w:val="clear"/>
            <w:vAlign w:val="center"/>
          </w:tcPr>
          <w:p>
            <w:pPr>
              <w:pStyle w:val="TableContents"/>
              <w:bidi w:val="0"/>
              <w:spacing w:before="0" w:after="0"/>
              <w:jc w:val="left"/>
              <w:rPr/>
            </w:pPr>
            <w:hyperlink w:anchor="Item1B.">
              <w:r>
                <w:rPr>
                  <w:rStyle w:val="InternetLink"/>
                </w:rPr>
                <w:t>Unresolved Staff Comments</w:t>
              </w:r>
            </w:hyperlink>
          </w:p>
        </w:tc>
        <w:tc>
          <w:tcPr>
            <w:tcW w:w="261" w:type="dxa"/>
            <w:tcBorders/>
            <w:shd w:fill="CCEEFF" w:val="clear"/>
            <w:vAlign w:val="center"/>
          </w:tcPr>
          <w:p>
            <w:pPr>
              <w:pStyle w:val="TableContents"/>
              <w:bidi w:val="0"/>
              <w:spacing w:before="0" w:after="0"/>
              <w:jc w:val="right"/>
              <w:rPr/>
            </w:pPr>
            <w:r>
              <w:rPr/>
              <w:t>60</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1C.</w:t>
            </w:r>
          </w:p>
        </w:tc>
        <w:tc>
          <w:tcPr>
            <w:tcW w:w="9035" w:type="dxa"/>
            <w:tcBorders/>
            <w:shd w:fill="CCEEFF" w:val="clear"/>
            <w:vAlign w:val="center"/>
          </w:tcPr>
          <w:p>
            <w:pPr>
              <w:pStyle w:val="TableContents"/>
              <w:bidi w:val="0"/>
              <w:spacing w:before="0" w:after="0"/>
              <w:jc w:val="left"/>
              <w:rPr/>
            </w:pPr>
            <w:hyperlink w:anchor="Item1C.">
              <w:r>
                <w:rPr>
                  <w:rStyle w:val="InternetLink"/>
                </w:rPr>
                <w:t>Cybersecurity</w:t>
              </w:r>
            </w:hyperlink>
          </w:p>
        </w:tc>
        <w:tc>
          <w:tcPr>
            <w:tcW w:w="261" w:type="dxa"/>
            <w:tcBorders/>
            <w:shd w:fill="CCEEFF" w:val="clear"/>
            <w:vAlign w:val="center"/>
          </w:tcPr>
          <w:p>
            <w:pPr>
              <w:pStyle w:val="TableContents"/>
              <w:bidi w:val="0"/>
              <w:spacing w:before="0" w:after="0"/>
              <w:jc w:val="right"/>
              <w:rPr/>
            </w:pPr>
            <w:r>
              <w:rPr/>
              <w:t>60</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2.</w:t>
            </w:r>
          </w:p>
        </w:tc>
        <w:tc>
          <w:tcPr>
            <w:tcW w:w="9035" w:type="dxa"/>
            <w:tcBorders/>
            <w:shd w:fill="CCEEFF" w:val="clear"/>
            <w:vAlign w:val="center"/>
          </w:tcPr>
          <w:p>
            <w:pPr>
              <w:pStyle w:val="TableContents"/>
              <w:bidi w:val="0"/>
              <w:spacing w:before="0" w:after="0"/>
              <w:jc w:val="left"/>
              <w:rPr/>
            </w:pPr>
            <w:hyperlink w:anchor="Item2.">
              <w:r>
                <w:rPr>
                  <w:rStyle w:val="InternetLink"/>
                </w:rPr>
                <w:t>Properties</w:t>
              </w:r>
            </w:hyperlink>
          </w:p>
        </w:tc>
        <w:tc>
          <w:tcPr>
            <w:tcW w:w="261" w:type="dxa"/>
            <w:tcBorders/>
            <w:shd w:fill="CCEEFF" w:val="clear"/>
            <w:vAlign w:val="center"/>
          </w:tcPr>
          <w:p>
            <w:pPr>
              <w:pStyle w:val="TableContents"/>
              <w:bidi w:val="0"/>
              <w:spacing w:before="0" w:after="0"/>
              <w:jc w:val="right"/>
              <w:rPr/>
            </w:pPr>
            <w:r>
              <w:rPr/>
              <w:t>61</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3.</w:t>
            </w:r>
          </w:p>
        </w:tc>
        <w:tc>
          <w:tcPr>
            <w:tcW w:w="9035" w:type="dxa"/>
            <w:tcBorders/>
            <w:shd w:fill="CCEEFF" w:val="clear"/>
            <w:vAlign w:val="center"/>
          </w:tcPr>
          <w:p>
            <w:pPr>
              <w:pStyle w:val="TableContents"/>
              <w:bidi w:val="0"/>
              <w:spacing w:before="0" w:after="0"/>
              <w:jc w:val="left"/>
              <w:rPr/>
            </w:pPr>
            <w:hyperlink w:anchor="Item3.">
              <w:r>
                <w:rPr>
                  <w:rStyle w:val="InternetLink"/>
                </w:rPr>
                <w:t>Legal Proceedings</w:t>
              </w:r>
            </w:hyperlink>
          </w:p>
        </w:tc>
        <w:tc>
          <w:tcPr>
            <w:tcW w:w="261" w:type="dxa"/>
            <w:tcBorders/>
            <w:shd w:fill="CCEEFF" w:val="clear"/>
            <w:vAlign w:val="center"/>
          </w:tcPr>
          <w:p>
            <w:pPr>
              <w:pStyle w:val="TableContents"/>
              <w:bidi w:val="0"/>
              <w:spacing w:before="0" w:after="0"/>
              <w:jc w:val="right"/>
              <w:rPr/>
            </w:pPr>
            <w:r>
              <w:rPr/>
              <w:t>61</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4.</w:t>
            </w:r>
          </w:p>
        </w:tc>
        <w:tc>
          <w:tcPr>
            <w:tcW w:w="9035" w:type="dxa"/>
            <w:tcBorders/>
            <w:shd w:fill="CCEEFF" w:val="clear"/>
            <w:vAlign w:val="center"/>
          </w:tcPr>
          <w:p>
            <w:pPr>
              <w:pStyle w:val="TableContents"/>
              <w:bidi w:val="0"/>
              <w:spacing w:before="0" w:after="0"/>
              <w:jc w:val="left"/>
              <w:rPr/>
            </w:pPr>
            <w:hyperlink w:anchor="Item4.">
              <w:r>
                <w:rPr>
                  <w:rStyle w:val="InternetLink"/>
                </w:rPr>
                <w:t>Mine Safety Disclosures</w:t>
              </w:r>
            </w:hyperlink>
          </w:p>
        </w:tc>
        <w:tc>
          <w:tcPr>
            <w:tcW w:w="261" w:type="dxa"/>
            <w:tcBorders/>
            <w:shd w:fill="CCEEFF" w:val="clear"/>
            <w:vAlign w:val="center"/>
          </w:tcPr>
          <w:p>
            <w:pPr>
              <w:pStyle w:val="TableContents"/>
              <w:bidi w:val="0"/>
              <w:spacing w:before="0" w:after="0"/>
              <w:jc w:val="right"/>
              <w:rPr/>
            </w:pPr>
            <w:r>
              <w:rPr/>
              <w:t>61</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PART II</w:t>
            </w:r>
          </w:p>
        </w:tc>
        <w:tc>
          <w:tcPr>
            <w:tcW w:w="9035"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5.</w:t>
            </w:r>
          </w:p>
        </w:tc>
        <w:tc>
          <w:tcPr>
            <w:tcW w:w="9035" w:type="dxa"/>
            <w:tcBorders/>
            <w:shd w:fill="CCEEFF" w:val="clear"/>
            <w:vAlign w:val="center"/>
          </w:tcPr>
          <w:p>
            <w:pPr>
              <w:pStyle w:val="TableContents"/>
              <w:bidi w:val="0"/>
              <w:spacing w:before="0" w:after="0"/>
              <w:jc w:val="left"/>
              <w:rPr/>
            </w:pPr>
            <w:hyperlink w:anchor="Item5.">
              <w:r>
                <w:rPr>
                  <w:rStyle w:val="InternetLink"/>
                </w:rPr>
                <w:t>Market For Registrant’s Common Equity, Related Stockholder Matters and Issuer Purchases of Equity Securities</w:t>
              </w:r>
            </w:hyperlink>
          </w:p>
        </w:tc>
        <w:tc>
          <w:tcPr>
            <w:tcW w:w="261" w:type="dxa"/>
            <w:tcBorders/>
            <w:shd w:fill="CCEEFF" w:val="clear"/>
            <w:vAlign w:val="center"/>
          </w:tcPr>
          <w:p>
            <w:pPr>
              <w:pStyle w:val="TableContents"/>
              <w:bidi w:val="0"/>
              <w:spacing w:before="0" w:after="0"/>
              <w:jc w:val="right"/>
              <w:rPr/>
            </w:pPr>
            <w:r>
              <w:rPr/>
              <w:t>62</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6.</w:t>
            </w:r>
          </w:p>
        </w:tc>
        <w:tc>
          <w:tcPr>
            <w:tcW w:w="9035" w:type="dxa"/>
            <w:tcBorders/>
            <w:shd w:fill="CCEEFF" w:val="clear"/>
            <w:vAlign w:val="center"/>
          </w:tcPr>
          <w:p>
            <w:pPr>
              <w:pStyle w:val="TableContents"/>
              <w:bidi w:val="0"/>
              <w:spacing w:before="0" w:after="0"/>
              <w:jc w:val="left"/>
              <w:rPr/>
            </w:pPr>
            <w:hyperlink w:anchor="Item6.">
              <w:r>
                <w:rPr>
                  <w:rStyle w:val="InternetLink"/>
                </w:rPr>
                <w:t>Reserved</w:t>
              </w:r>
            </w:hyperlink>
          </w:p>
        </w:tc>
        <w:tc>
          <w:tcPr>
            <w:tcW w:w="261" w:type="dxa"/>
            <w:tcBorders/>
            <w:shd w:fill="CCEEFF" w:val="clear"/>
            <w:vAlign w:val="center"/>
          </w:tcPr>
          <w:p>
            <w:pPr>
              <w:pStyle w:val="TableContents"/>
              <w:bidi w:val="0"/>
              <w:spacing w:before="0" w:after="0"/>
              <w:jc w:val="right"/>
              <w:rPr/>
            </w:pPr>
            <w:r>
              <w:rPr/>
              <w:t>63</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7.</w:t>
            </w:r>
          </w:p>
        </w:tc>
        <w:tc>
          <w:tcPr>
            <w:tcW w:w="9035" w:type="dxa"/>
            <w:tcBorders/>
            <w:shd w:fill="CCEEFF" w:val="clear"/>
            <w:vAlign w:val="center"/>
          </w:tcPr>
          <w:p>
            <w:pPr>
              <w:pStyle w:val="TableContents"/>
              <w:bidi w:val="0"/>
              <w:spacing w:before="0" w:after="0"/>
              <w:jc w:val="left"/>
              <w:rPr/>
            </w:pPr>
            <w:hyperlink w:anchor="Item7.">
              <w:r>
                <w:rPr>
                  <w:rStyle w:val="InternetLink"/>
                </w:rPr>
                <w:t>Management’s Discussion and Analysis of Financial Condition and Results of Operations</w:t>
              </w:r>
            </w:hyperlink>
          </w:p>
        </w:tc>
        <w:tc>
          <w:tcPr>
            <w:tcW w:w="261" w:type="dxa"/>
            <w:tcBorders/>
            <w:shd w:fill="CCEEFF" w:val="clear"/>
            <w:vAlign w:val="center"/>
          </w:tcPr>
          <w:p>
            <w:pPr>
              <w:pStyle w:val="TableContents"/>
              <w:bidi w:val="0"/>
              <w:spacing w:before="0" w:after="0"/>
              <w:jc w:val="right"/>
              <w:rPr/>
            </w:pPr>
            <w:r>
              <w:rPr/>
              <w:t>64</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7A.</w:t>
            </w:r>
          </w:p>
        </w:tc>
        <w:tc>
          <w:tcPr>
            <w:tcW w:w="9035" w:type="dxa"/>
            <w:tcBorders/>
            <w:shd w:fill="CCEEFF" w:val="clear"/>
            <w:vAlign w:val="center"/>
          </w:tcPr>
          <w:p>
            <w:pPr>
              <w:pStyle w:val="TableContents"/>
              <w:bidi w:val="0"/>
              <w:spacing w:before="0" w:after="0"/>
              <w:jc w:val="left"/>
              <w:rPr/>
            </w:pPr>
            <w:hyperlink w:anchor="Item7A.">
              <w:r>
                <w:rPr>
                  <w:rStyle w:val="InternetLink"/>
                </w:rPr>
                <w:t>Quantitative and Qualitative Disclosures About Market Risk</w:t>
              </w:r>
            </w:hyperlink>
          </w:p>
        </w:tc>
        <w:tc>
          <w:tcPr>
            <w:tcW w:w="261" w:type="dxa"/>
            <w:tcBorders/>
            <w:shd w:fill="CCEEFF" w:val="clear"/>
            <w:vAlign w:val="center"/>
          </w:tcPr>
          <w:p>
            <w:pPr>
              <w:pStyle w:val="TableContents"/>
              <w:bidi w:val="0"/>
              <w:spacing w:before="0" w:after="0"/>
              <w:jc w:val="right"/>
              <w:rPr/>
            </w:pPr>
            <w:r>
              <w:rPr/>
              <w:t>80</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8.</w:t>
            </w:r>
          </w:p>
        </w:tc>
        <w:tc>
          <w:tcPr>
            <w:tcW w:w="9035" w:type="dxa"/>
            <w:tcBorders/>
            <w:shd w:fill="CCEEFF" w:val="clear"/>
            <w:vAlign w:val="center"/>
          </w:tcPr>
          <w:p>
            <w:pPr>
              <w:pStyle w:val="TableContents"/>
              <w:bidi w:val="0"/>
              <w:spacing w:before="0" w:after="0"/>
              <w:jc w:val="left"/>
              <w:rPr/>
            </w:pPr>
            <w:hyperlink w:anchor="Item8.">
              <w:r>
                <w:rPr>
                  <w:rStyle w:val="InternetLink"/>
                </w:rPr>
                <w:t>Financial Statements and Supplementary Data</w:t>
              </w:r>
            </w:hyperlink>
          </w:p>
        </w:tc>
        <w:tc>
          <w:tcPr>
            <w:tcW w:w="261" w:type="dxa"/>
            <w:tcBorders/>
            <w:shd w:fill="CCEEFF" w:val="clear"/>
            <w:vAlign w:val="center"/>
          </w:tcPr>
          <w:p>
            <w:pPr>
              <w:pStyle w:val="TableContents"/>
              <w:bidi w:val="0"/>
              <w:spacing w:before="0" w:after="0"/>
              <w:jc w:val="right"/>
              <w:rPr/>
            </w:pPr>
            <w:r>
              <w:rPr/>
              <w:t>80</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9.</w:t>
            </w:r>
          </w:p>
        </w:tc>
        <w:tc>
          <w:tcPr>
            <w:tcW w:w="9035" w:type="dxa"/>
            <w:tcBorders/>
            <w:shd w:fill="CCEEFF" w:val="clear"/>
            <w:vAlign w:val="center"/>
          </w:tcPr>
          <w:p>
            <w:pPr>
              <w:pStyle w:val="TableContents"/>
              <w:bidi w:val="0"/>
              <w:spacing w:before="0" w:after="0"/>
              <w:jc w:val="left"/>
              <w:rPr/>
            </w:pPr>
            <w:hyperlink w:anchor="Item9.">
              <w:r>
                <w:rPr>
                  <w:rStyle w:val="InternetLink"/>
                </w:rPr>
                <w:t>Changes in and Disagreements with Accountants on Accounting and Financial Disclosure</w:t>
              </w:r>
            </w:hyperlink>
          </w:p>
        </w:tc>
        <w:tc>
          <w:tcPr>
            <w:tcW w:w="261" w:type="dxa"/>
            <w:tcBorders/>
            <w:shd w:fill="CCEEFF" w:val="clear"/>
            <w:vAlign w:val="center"/>
          </w:tcPr>
          <w:p>
            <w:pPr>
              <w:pStyle w:val="TableContents"/>
              <w:bidi w:val="0"/>
              <w:spacing w:before="0" w:after="0"/>
              <w:jc w:val="right"/>
              <w:rPr/>
            </w:pPr>
            <w:r>
              <w:rPr/>
              <w:t>80</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9A.</w:t>
            </w:r>
          </w:p>
        </w:tc>
        <w:tc>
          <w:tcPr>
            <w:tcW w:w="9035" w:type="dxa"/>
            <w:tcBorders/>
            <w:shd w:fill="CCEEFF" w:val="clear"/>
            <w:vAlign w:val="center"/>
          </w:tcPr>
          <w:p>
            <w:pPr>
              <w:pStyle w:val="TableContents"/>
              <w:bidi w:val="0"/>
              <w:spacing w:before="0" w:after="0"/>
              <w:jc w:val="left"/>
              <w:rPr/>
            </w:pPr>
            <w:hyperlink w:anchor="Item9A.">
              <w:r>
                <w:rPr>
                  <w:rStyle w:val="InternetLink"/>
                </w:rPr>
                <w:t>Controls and Procedures</w:t>
              </w:r>
            </w:hyperlink>
          </w:p>
        </w:tc>
        <w:tc>
          <w:tcPr>
            <w:tcW w:w="261" w:type="dxa"/>
            <w:tcBorders/>
            <w:shd w:fill="CCEEFF" w:val="clear"/>
            <w:vAlign w:val="center"/>
          </w:tcPr>
          <w:p>
            <w:pPr>
              <w:pStyle w:val="TableContents"/>
              <w:bidi w:val="0"/>
              <w:spacing w:before="0" w:after="0"/>
              <w:jc w:val="right"/>
              <w:rPr/>
            </w:pPr>
            <w:r>
              <w:rPr/>
              <w:t>80</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9B.</w:t>
            </w:r>
          </w:p>
        </w:tc>
        <w:tc>
          <w:tcPr>
            <w:tcW w:w="9035" w:type="dxa"/>
            <w:tcBorders/>
            <w:shd w:fill="CCEEFF" w:val="clear"/>
            <w:vAlign w:val="center"/>
          </w:tcPr>
          <w:p>
            <w:pPr>
              <w:pStyle w:val="TableContents"/>
              <w:bidi w:val="0"/>
              <w:spacing w:before="0" w:after="0"/>
              <w:jc w:val="left"/>
              <w:rPr/>
            </w:pPr>
            <w:hyperlink w:anchor="Item9B.">
              <w:r>
                <w:rPr>
                  <w:rStyle w:val="InternetLink"/>
                </w:rPr>
                <w:t>Other Information</w:t>
              </w:r>
            </w:hyperlink>
          </w:p>
        </w:tc>
        <w:tc>
          <w:tcPr>
            <w:tcW w:w="261" w:type="dxa"/>
            <w:tcBorders/>
            <w:shd w:fill="CCEEFF" w:val="clear"/>
            <w:vAlign w:val="center"/>
          </w:tcPr>
          <w:p>
            <w:pPr>
              <w:pStyle w:val="TableContents"/>
              <w:bidi w:val="0"/>
              <w:spacing w:before="0" w:after="0"/>
              <w:jc w:val="right"/>
              <w:rPr/>
            </w:pPr>
            <w:r>
              <w:rPr/>
              <w:t>81</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9C.</w:t>
            </w:r>
          </w:p>
        </w:tc>
        <w:tc>
          <w:tcPr>
            <w:tcW w:w="9035" w:type="dxa"/>
            <w:tcBorders/>
            <w:shd w:fill="CCEEFF" w:val="clear"/>
            <w:vAlign w:val="center"/>
          </w:tcPr>
          <w:p>
            <w:pPr>
              <w:pStyle w:val="TableContents"/>
              <w:bidi w:val="0"/>
              <w:spacing w:before="0" w:after="0"/>
              <w:jc w:val="left"/>
              <w:rPr/>
            </w:pPr>
            <w:hyperlink w:anchor="Item9C.">
              <w:r>
                <w:rPr>
                  <w:rStyle w:val="InternetLink"/>
                </w:rPr>
                <w:t>Disclosure Regarding Foreign Jurisdictions that Prevent Inspections</w:t>
              </w:r>
            </w:hyperlink>
          </w:p>
        </w:tc>
        <w:tc>
          <w:tcPr>
            <w:tcW w:w="261" w:type="dxa"/>
            <w:tcBorders/>
            <w:shd w:fill="CCEEFF" w:val="clear"/>
            <w:vAlign w:val="center"/>
          </w:tcPr>
          <w:p>
            <w:pPr>
              <w:pStyle w:val="TableContents"/>
              <w:bidi w:val="0"/>
              <w:spacing w:before="0" w:after="0"/>
              <w:jc w:val="right"/>
              <w:rPr/>
            </w:pPr>
            <w:r>
              <w:rPr/>
              <w:t>81</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PART III</w:t>
            </w:r>
          </w:p>
        </w:tc>
        <w:tc>
          <w:tcPr>
            <w:tcW w:w="9035"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10.</w:t>
            </w:r>
          </w:p>
        </w:tc>
        <w:tc>
          <w:tcPr>
            <w:tcW w:w="9035" w:type="dxa"/>
            <w:tcBorders/>
            <w:shd w:fill="CCEEFF" w:val="clear"/>
            <w:vAlign w:val="center"/>
          </w:tcPr>
          <w:p>
            <w:pPr>
              <w:pStyle w:val="TableContents"/>
              <w:bidi w:val="0"/>
              <w:spacing w:before="0" w:after="0"/>
              <w:jc w:val="left"/>
              <w:rPr/>
            </w:pPr>
            <w:hyperlink w:anchor="Item10.">
              <w:r>
                <w:rPr>
                  <w:rStyle w:val="InternetLink"/>
                </w:rPr>
                <w:t>Directors, Executive Officers and Corporate Governance</w:t>
              </w:r>
            </w:hyperlink>
          </w:p>
        </w:tc>
        <w:tc>
          <w:tcPr>
            <w:tcW w:w="261" w:type="dxa"/>
            <w:tcBorders/>
            <w:shd w:fill="CCEEFF" w:val="clear"/>
            <w:vAlign w:val="center"/>
          </w:tcPr>
          <w:p>
            <w:pPr>
              <w:pStyle w:val="TableContents"/>
              <w:bidi w:val="0"/>
              <w:spacing w:before="0" w:after="0"/>
              <w:jc w:val="right"/>
              <w:rPr/>
            </w:pPr>
            <w:r>
              <w:rPr/>
              <w:t>81</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11.</w:t>
            </w:r>
          </w:p>
        </w:tc>
        <w:tc>
          <w:tcPr>
            <w:tcW w:w="9035" w:type="dxa"/>
            <w:tcBorders/>
            <w:shd w:fill="CCEEFF" w:val="clear"/>
            <w:vAlign w:val="center"/>
          </w:tcPr>
          <w:p>
            <w:pPr>
              <w:pStyle w:val="TableContents"/>
              <w:bidi w:val="0"/>
              <w:spacing w:before="0" w:after="0"/>
              <w:jc w:val="left"/>
              <w:rPr/>
            </w:pPr>
            <w:hyperlink w:anchor="Item11.">
              <w:r>
                <w:rPr>
                  <w:rStyle w:val="InternetLink"/>
                </w:rPr>
                <w:t>Executive Compensation</w:t>
              </w:r>
            </w:hyperlink>
          </w:p>
        </w:tc>
        <w:tc>
          <w:tcPr>
            <w:tcW w:w="261" w:type="dxa"/>
            <w:tcBorders/>
            <w:shd w:fill="CCEEFF" w:val="clear"/>
            <w:vAlign w:val="center"/>
          </w:tcPr>
          <w:p>
            <w:pPr>
              <w:pStyle w:val="TableContents"/>
              <w:bidi w:val="0"/>
              <w:spacing w:before="0" w:after="0"/>
              <w:jc w:val="right"/>
              <w:rPr/>
            </w:pPr>
            <w:r>
              <w:rPr/>
              <w:t>81</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12.</w:t>
            </w:r>
          </w:p>
        </w:tc>
        <w:tc>
          <w:tcPr>
            <w:tcW w:w="9035" w:type="dxa"/>
            <w:tcBorders/>
            <w:shd w:fill="CCEEFF" w:val="clear"/>
            <w:vAlign w:val="center"/>
          </w:tcPr>
          <w:p>
            <w:pPr>
              <w:pStyle w:val="TableContents"/>
              <w:bidi w:val="0"/>
              <w:spacing w:before="0" w:after="0"/>
              <w:jc w:val="left"/>
              <w:rPr/>
            </w:pPr>
            <w:hyperlink w:anchor="Item12.">
              <w:r>
                <w:rPr>
                  <w:rStyle w:val="InternetLink"/>
                </w:rPr>
                <w:t>Security Ownership of Certain Beneficial Owners and Management and Related Stockholder Matters</w:t>
              </w:r>
            </w:hyperlink>
          </w:p>
        </w:tc>
        <w:tc>
          <w:tcPr>
            <w:tcW w:w="261" w:type="dxa"/>
            <w:tcBorders/>
            <w:shd w:fill="CCEEFF" w:val="clear"/>
            <w:vAlign w:val="center"/>
          </w:tcPr>
          <w:p>
            <w:pPr>
              <w:pStyle w:val="TableContents"/>
              <w:bidi w:val="0"/>
              <w:spacing w:before="0" w:after="0"/>
              <w:jc w:val="right"/>
              <w:rPr/>
            </w:pPr>
            <w:r>
              <w:rPr/>
              <w:t>82</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13.</w:t>
            </w:r>
          </w:p>
        </w:tc>
        <w:tc>
          <w:tcPr>
            <w:tcW w:w="9035" w:type="dxa"/>
            <w:tcBorders/>
            <w:shd w:fill="CCEEFF" w:val="clear"/>
            <w:vAlign w:val="center"/>
          </w:tcPr>
          <w:p>
            <w:pPr>
              <w:pStyle w:val="TableContents"/>
              <w:bidi w:val="0"/>
              <w:spacing w:before="0" w:after="0"/>
              <w:jc w:val="left"/>
              <w:rPr/>
            </w:pPr>
            <w:hyperlink w:anchor="Item13.">
              <w:r>
                <w:rPr>
                  <w:rStyle w:val="InternetLink"/>
                </w:rPr>
                <w:t>Certain Relationships and Related Transactions, and Director Independence</w:t>
              </w:r>
            </w:hyperlink>
          </w:p>
        </w:tc>
        <w:tc>
          <w:tcPr>
            <w:tcW w:w="261" w:type="dxa"/>
            <w:tcBorders/>
            <w:shd w:fill="CCEEFF" w:val="clear"/>
            <w:vAlign w:val="center"/>
          </w:tcPr>
          <w:p>
            <w:pPr>
              <w:pStyle w:val="TableContents"/>
              <w:bidi w:val="0"/>
              <w:spacing w:before="0" w:after="0"/>
              <w:jc w:val="right"/>
              <w:rPr/>
            </w:pPr>
            <w:r>
              <w:rPr/>
              <w:t>82</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14.</w:t>
            </w:r>
          </w:p>
        </w:tc>
        <w:tc>
          <w:tcPr>
            <w:tcW w:w="9035" w:type="dxa"/>
            <w:tcBorders/>
            <w:shd w:fill="CCEEFF" w:val="clear"/>
            <w:vAlign w:val="center"/>
          </w:tcPr>
          <w:p>
            <w:pPr>
              <w:pStyle w:val="TableContents"/>
              <w:bidi w:val="0"/>
              <w:spacing w:before="0" w:after="0"/>
              <w:jc w:val="left"/>
              <w:rPr/>
            </w:pPr>
            <w:hyperlink w:anchor="Item14.">
              <w:r>
                <w:rPr>
                  <w:rStyle w:val="InternetLink"/>
                </w:rPr>
                <w:t>Principal Accounting Fees and Services</w:t>
              </w:r>
            </w:hyperlink>
          </w:p>
        </w:tc>
        <w:tc>
          <w:tcPr>
            <w:tcW w:w="261" w:type="dxa"/>
            <w:tcBorders/>
            <w:shd w:fill="CCEEFF" w:val="clear"/>
            <w:vAlign w:val="center"/>
          </w:tcPr>
          <w:p>
            <w:pPr>
              <w:pStyle w:val="TableContents"/>
              <w:bidi w:val="0"/>
              <w:spacing w:before="0" w:after="0"/>
              <w:jc w:val="right"/>
              <w:rPr/>
            </w:pPr>
            <w:r>
              <w:rPr/>
              <w:t>82</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PART IV</w:t>
            </w:r>
          </w:p>
        </w:tc>
        <w:tc>
          <w:tcPr>
            <w:tcW w:w="9035"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15.</w:t>
            </w:r>
          </w:p>
        </w:tc>
        <w:tc>
          <w:tcPr>
            <w:tcW w:w="9035" w:type="dxa"/>
            <w:tcBorders/>
            <w:shd w:fill="CCEEFF" w:val="clear"/>
            <w:vAlign w:val="center"/>
          </w:tcPr>
          <w:p>
            <w:pPr>
              <w:pStyle w:val="TableContents"/>
              <w:bidi w:val="0"/>
              <w:spacing w:before="0" w:after="0"/>
              <w:jc w:val="left"/>
              <w:rPr/>
            </w:pPr>
            <w:hyperlink w:anchor="Item15.">
              <w:r>
                <w:rPr>
                  <w:rStyle w:val="InternetLink"/>
                </w:rPr>
                <w:t>Exhibits, Financial Statement Schedules</w:t>
              </w:r>
            </w:hyperlink>
          </w:p>
        </w:tc>
        <w:tc>
          <w:tcPr>
            <w:tcW w:w="261" w:type="dxa"/>
            <w:tcBorders/>
            <w:shd w:fill="CCEEFF" w:val="clear"/>
            <w:vAlign w:val="center"/>
          </w:tcPr>
          <w:p>
            <w:pPr>
              <w:pStyle w:val="TableContents"/>
              <w:bidi w:val="0"/>
              <w:spacing w:before="0" w:after="0"/>
              <w:jc w:val="right"/>
              <w:rPr/>
            </w:pPr>
            <w:r>
              <w:rPr/>
              <w:t>82</w:t>
            </w:r>
          </w:p>
        </w:tc>
      </w:tr>
      <w:tr>
        <w:trPr/>
        <w:tc>
          <w:tcPr>
            <w:tcW w:w="909"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pPr>
            <w:r>
              <w:rPr/>
              <w:t>Item 16.</w:t>
            </w:r>
          </w:p>
        </w:tc>
        <w:tc>
          <w:tcPr>
            <w:tcW w:w="9035" w:type="dxa"/>
            <w:tcBorders/>
            <w:shd w:fill="CCEEFF" w:val="clear"/>
            <w:vAlign w:val="center"/>
          </w:tcPr>
          <w:p>
            <w:pPr>
              <w:pStyle w:val="TableContents"/>
              <w:bidi w:val="0"/>
              <w:spacing w:before="0" w:after="0"/>
              <w:jc w:val="left"/>
              <w:rPr/>
            </w:pPr>
            <w:hyperlink w:anchor="Item16.">
              <w:r>
                <w:rPr>
                  <w:rStyle w:val="InternetLink"/>
                </w:rPr>
                <w:t>Form 10-K Summary</w:t>
              </w:r>
            </w:hyperlink>
          </w:p>
        </w:tc>
        <w:tc>
          <w:tcPr>
            <w:tcW w:w="261" w:type="dxa"/>
            <w:tcBorders/>
            <w:shd w:fill="CCEEFF" w:val="clear"/>
            <w:vAlign w:val="center"/>
          </w:tcPr>
          <w:p>
            <w:pPr>
              <w:pStyle w:val="TableContents"/>
              <w:bidi w:val="0"/>
              <w:spacing w:before="0" w:after="0"/>
              <w:jc w:val="right"/>
              <w:rPr/>
            </w:pPr>
            <w:r>
              <w:rPr/>
              <w:t>86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Explanatory Note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Based on the value of the non-affiliate float for our common stock as of June 30, 2023, we have transitioned from a “Non-Accelerated Filer” and “Smaller Reporting Company” for 2023 to a “Large Accelerated Filer” for 2024. As this Annual Report on Form 10-K is our first filing following our transition from being a Smaller Reporting Company to a Large Accelerated Filer, we are permitted to continue to provide scaled disclosures under Regulations S-K and S-X for this Annual Report on Form 10-K and in our definitive proxy statement on Schedule 14A for our 2024 Annual Meeting of Stockholders. We have elected to make such scaled disclosures in this Annual Report on Form 10-K and in our definitive proxy statement on Schedule 14A for our 2024 Annual Meeting of Stockholders. Commencing with our Quarterly Report on Form 10-Q for the quarter ending March 31, 2024, we will no longer be permitted to report under the Smaller Reporting Company scaled disclosure regime for our periodic reports. Additionally, immediately upon filing this Annual Report on Form 10-K, we will become a well-known seasoned issuer, as defined in Rule 405 of the Securities Act.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Special Note Regarding Forward-Looking Statements</w:t>
      </w:r>
    </w:p>
    <w:p>
      <w:pPr>
        <w:pStyle w:val="TextBody"/>
        <w:bidi w:val="0"/>
        <w:spacing w:before="0" w:after="0"/>
        <w:jc w:val="center"/>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Some of the information in this Annual Report on Form 10-K contains “forward-looking statements” within the meaning of Section 27A of the Securities Act of 1933, as amended (the “Securities Act”) and Section 21E of the Securities Exchange Act of 1934, as amended (the “Exchange Act”), and such forward-looking statements involve risks and uncertainties. These forward-looking statements include, but are not limited to, statements about our plans, objectives, representations and contentions that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statements about: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manufacture ASCENIV and BIVIGAM on a commercial scale and further commercialize these products as a result of their approval by the U.S. Food and Drug Administration (the “FDA”) in 2019;</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to develop, manufacture, market, launch and expand our commercial infrastructure and commercialize our current and future products and the success of such efforts;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safety, efficacy and expected timing of and our ability to obtain and maintain regulatory approvals for our current products and product candidates, and the labeling or nature of any such approvals;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achievement of or expected timing, progress and results of clinical development, clinical trials and potential regulatory approvals for our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dependence upon our third-party customers and vendors and their compliance with applicable regulatory requirements;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tc>
      </w:tr>
    </w:tbl>
    <w:p>
      <w:pPr>
        <w:pStyle w:val="TextBody"/>
        <w:bidi w:val="0"/>
        <w:spacing w:before="0" w:after="0"/>
        <w:jc w:val="left"/>
        <w:rPr/>
      </w:pPr>
      <w:r>
        <w:rPr/>
      </w:r>
    </w:p>
    <w:tbl>
      <w:tblPr>
        <w:tblW w:w="8928" w:type="dxa"/>
        <w:jc w:val="left"/>
        <w:tblInd w:w="0" w:type="dxa"/>
        <w:tblLayout w:type="fixed"/>
        <w:tblCellMar>
          <w:top w:w="0" w:type="dxa"/>
          <w:left w:w="0" w:type="dxa"/>
          <w:bottom w:w="0" w:type="dxa"/>
          <w:right w:w="0" w:type="dxa"/>
        </w:tblCellMar>
      </w:tblPr>
      <w:tblGrid>
        <w:gridCol w:w="38"/>
        <w:gridCol w:w="110"/>
        <w:gridCol w:w="8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0"/>
              <w:jc w:val="left"/>
              <w:rPr/>
            </w:pPr>
            <w:r>
              <w:rPr/>
              <w:t>our ability to obtain adequate quantities of FDA-approved plasma with proper specifications;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to increase our supplies of source plasma, our ability to obtain and maintain regulatory compliance and reliance on third-party supply agreements as well as any extensions to such agreements;</w:t>
            </w:r>
          </w:p>
        </w:tc>
      </w:tr>
    </w:tbl>
    <w:p>
      <w:pPr>
        <w:pStyle w:val="TextBody"/>
        <w:bidi w:val="0"/>
        <w:spacing w:before="0" w:after="0"/>
        <w:jc w:val="left"/>
        <w:rPr/>
      </w:pPr>
      <w:r>
        <w:rPr/>
      </w:r>
    </w:p>
    <w:tbl>
      <w:tblPr>
        <w:tblW w:w="6288" w:type="dxa"/>
        <w:jc w:val="left"/>
        <w:tblInd w:w="0" w:type="dxa"/>
        <w:tblLayout w:type="fixed"/>
        <w:tblCellMar>
          <w:top w:w="0" w:type="dxa"/>
          <w:left w:w="0" w:type="dxa"/>
          <w:bottom w:w="0" w:type="dxa"/>
          <w:right w:w="0" w:type="dxa"/>
        </w:tblCellMar>
      </w:tblPr>
      <w:tblGrid>
        <w:gridCol w:w="38"/>
        <w:gridCol w:w="110"/>
        <w:gridCol w:w="61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left"/>
              <w:rPr/>
            </w:pPr>
            <w:r>
              <w:rPr/>
              <w:t>the potential indications for our products and product candidates;</w:t>
            </w:r>
          </w:p>
        </w:tc>
      </w:tr>
    </w:tbl>
    <w:p>
      <w:pPr>
        <w:pStyle w:val="TextBody"/>
        <w:bidi w:val="0"/>
        <w:spacing w:before="0" w:after="0"/>
        <w:jc w:val="left"/>
        <w:rPr/>
      </w:pPr>
      <w:r>
        <w:rPr/>
      </w:r>
    </w:p>
    <w:tbl>
      <w:tblPr>
        <w:tblW w:w="4908" w:type="dxa"/>
        <w:jc w:val="left"/>
        <w:tblInd w:w="0" w:type="dxa"/>
        <w:tblLayout w:type="fixed"/>
        <w:tblCellMar>
          <w:top w:w="0" w:type="dxa"/>
          <w:left w:w="0" w:type="dxa"/>
          <w:bottom w:w="0" w:type="dxa"/>
          <w:right w:w="0" w:type="dxa"/>
        </w:tblCellMar>
      </w:tblPr>
      <w:tblGrid>
        <w:gridCol w:w="38"/>
        <w:gridCol w:w="110"/>
        <w:gridCol w:w="47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0"/>
              <w:jc w:val="left"/>
              <w:rPr/>
            </w:pPr>
            <w:r>
              <w:rPr/>
              <w:t>potential investigational new product applications;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acceptability of any of our products, including ASCENIV, BIVIGAM and Nabi-HB, for any purpose, including FDA-approved indications, by physicians, patients or payers;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to evaluate the clinical and regulatory paths to grow the ASCENIV franchise through expanded FDA-approved uses;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Federal, state and local regulatory and business review processes and timing by such governmental and regulatory agencies of our business and regulatory submissions;</w:t>
            </w:r>
          </w:p>
        </w:tc>
      </w:tr>
    </w:tbl>
    <w:p>
      <w:pPr>
        <w:pStyle w:val="TextBody"/>
        <w:bidi w:val="0"/>
        <w:spacing w:before="0" w:after="0"/>
        <w:jc w:val="left"/>
        <w:rPr/>
      </w:pPr>
      <w:r>
        <w:rPr/>
      </w:r>
    </w:p>
    <w:tbl>
      <w:tblPr>
        <w:tblW w:w="9213" w:type="dxa"/>
        <w:jc w:val="left"/>
        <w:tblInd w:w="0" w:type="dxa"/>
        <w:tblLayout w:type="fixed"/>
        <w:tblCellMar>
          <w:top w:w="0" w:type="dxa"/>
          <w:left w:w="0" w:type="dxa"/>
          <w:bottom w:w="0" w:type="dxa"/>
          <w:right w:w="0" w:type="dxa"/>
        </w:tblCellMar>
      </w:tblPr>
      <w:tblGrid>
        <w:gridCol w:w="38"/>
        <w:gridCol w:w="110"/>
        <w:gridCol w:w="9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pPr>
            <w:r>
              <w:rPr/>
              <w:t>concurrence by the FDA with our conclusions concerning our products and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comparability of results of our hyperimmune and immune globulin (“IG”) products to other comparably run hyperimmune and immune globulin clinical trials;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potential for ASCENIV and BIVIGAM to provide meaningful clinical improvement for patients living with Primary Humoral Immunodeficiency (“PI”), also known as Primary Immunodeficiency Disease (“PIDD”) or Inborn Errors of Immunity, or other immune deficiencies or any other condition for which the products may be prescribed or evaluated;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market and promote Nabi-HB in a highly competitive environment with increasing competition from other antiviral therapies and to generate meaningful revenues from this product;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intellectual property position and the defense thereof, including our expectations regarding the scope of patent protection with respect to ASCENIV or other future pipeline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develop, manufacture, receive regulatory approval and commercialize our potential pipeline of any new hyperimmune globulins;</w:t>
            </w:r>
          </w:p>
        </w:tc>
      </w:tr>
    </w:tbl>
    <w:p>
      <w:pPr>
        <w:pStyle w:val="TextBody"/>
        <w:bidi w:val="0"/>
        <w:spacing w:before="0" w:after="0"/>
        <w:jc w:val="left"/>
        <w:rPr/>
      </w:pPr>
      <w:r>
        <w:rPr/>
      </w:r>
    </w:p>
    <w:tbl>
      <w:tblPr>
        <w:tblW w:w="9333" w:type="dxa"/>
        <w:jc w:val="left"/>
        <w:tblInd w:w="0" w:type="dxa"/>
        <w:tblLayout w:type="fixed"/>
        <w:tblCellMar>
          <w:top w:w="0" w:type="dxa"/>
          <w:left w:w="0" w:type="dxa"/>
          <w:bottom w:w="0" w:type="dxa"/>
          <w:right w:w="0" w:type="dxa"/>
        </w:tblCellMar>
      </w:tblPr>
      <w:tblGrid>
        <w:gridCol w:w="38"/>
        <w:gridCol w:w="110"/>
        <w:gridCol w:w="9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0"/>
              <w:jc w:val="left"/>
              <w:rPr/>
            </w:pPr>
            <w:r>
              <w:rPr/>
              <w:t>our manufacturing capabilities, third-party contractor capabilities and vertical integration strategy;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plans related to the expansion and efficiencies of our manufacturing capacity, yield improvements, supply-chain robustness, in-house fill-finish capabilities, distribution and other collaborative agreements and the success of such endeavors;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estimates regarding revenues, expenses, capital requirements, timing to profitability and positive cash flows and the potential need for and availability of additional financing;</w:t>
            </w:r>
          </w:p>
        </w:tc>
      </w:tr>
    </w:tbl>
    <w:p>
      <w:pPr>
        <w:pStyle w:val="TextBody"/>
        <w:bidi w:val="0"/>
        <w:spacing w:before="0" w:after="0"/>
        <w:jc w:val="left"/>
        <w:rPr/>
      </w:pPr>
      <w:r>
        <w:rPr/>
      </w:r>
    </w:p>
    <w:tbl>
      <w:tblPr>
        <w:tblW w:w="7308" w:type="dxa"/>
        <w:jc w:val="left"/>
        <w:tblInd w:w="0" w:type="dxa"/>
        <w:tblLayout w:type="fixed"/>
        <w:tblCellMar>
          <w:top w:w="0" w:type="dxa"/>
          <w:left w:w="0" w:type="dxa"/>
          <w:bottom w:w="0" w:type="dxa"/>
          <w:right w:w="0" w:type="dxa"/>
        </w:tblCellMar>
      </w:tblPr>
      <w:tblGrid>
        <w:gridCol w:w="38"/>
        <w:gridCol w:w="110"/>
        <w:gridCol w:w="71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0"/>
              <w:jc w:val="left"/>
              <w:rPr/>
            </w:pPr>
            <w:r>
              <w:rPr/>
              <w:t>possible or likely reimbursement levels for our currently marketed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estimates regarding market size, projected growth and sales of our existing products as well as our expectations of market acceptance of ASCENIV and BIVIGAM;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pandemics, or a resurgence of a pandemic, may adversely affect our business, financial condition, liquidity or results of operations;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future domestic and global economic conditions including, but not limited to, supply chain constraints, inflationary pressures or performance or geopolitical conditions, including the continuing conflict in Europe or the evolving conflict in the Middle East and surrounding areas.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to the foregoing, you should also consider carefully the statements under the section entitled “Risk Factors” and other sections of this Annual Report on Form 10-K, which address additional factors that could cause our actual results to differ from those set forth in the forward-looking statements.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This Annual Report on Form 10-K includes our trademarks, trade names and service marks, such as “ASCENIVTM”, “BIVIGAM®” and “Nabi-HB®”, which are protected under applicable intellectual property laws and are the property of ADMA Biologics, Inc., or its subsidiaries. Solely for convenience, trademarks, trade names and service marks referred to in this Annual Report may appear without the ® or ™ symbols, but the absence of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1" w:name="Item1."/>
      <w:bookmarkStart w:id="2" w:name="Item1."/>
      <w:bookmarkEnd w:id="2"/>
    </w:p>
    <w:tbl>
      <w:tblPr>
        <w:tblW w:w="1645" w:type="dxa"/>
        <w:jc w:val="left"/>
        <w:tblInd w:w="0" w:type="dxa"/>
        <w:tblLayout w:type="fixed"/>
        <w:tblCellMar>
          <w:top w:w="0" w:type="dxa"/>
          <w:left w:w="0" w:type="dxa"/>
          <w:bottom w:w="0" w:type="dxa"/>
          <w:right w:w="0" w:type="dxa"/>
        </w:tblCellMar>
      </w:tblPr>
      <w:tblGrid>
        <w:gridCol w:w="740"/>
        <w:gridCol w:w="905"/>
      </w:tblGrid>
      <w:tr>
        <w:trPr/>
        <w:tc>
          <w:tcPr>
            <w:tcW w:w="740" w:type="dxa"/>
            <w:tcBorders/>
            <w:vAlign w:val="center"/>
          </w:tcPr>
          <w:p>
            <w:pPr>
              <w:pStyle w:val="TableContents"/>
              <w:bidi w:val="0"/>
              <w:spacing w:before="0" w:after="283"/>
              <w:jc w:val="left"/>
              <w:rPr>
                <w:b/>
              </w:rPr>
            </w:pPr>
            <w:r>
              <w:rPr>
                <w:b/>
              </w:rPr>
              <w:t>Item 1.</w:t>
            </w:r>
          </w:p>
        </w:tc>
        <w:tc>
          <w:tcPr>
            <w:tcW w:w="905" w:type="dxa"/>
            <w:tcBorders/>
            <w:vAlign w:val="center"/>
          </w:tcPr>
          <w:p>
            <w:pPr>
              <w:pStyle w:val="TableContents"/>
              <w:bidi w:val="0"/>
              <w:spacing w:before="0" w:after="0"/>
              <w:jc w:val="left"/>
              <w:rPr>
                <w:b/>
              </w:rPr>
            </w:pPr>
            <w:r>
              <w:rPr>
                <w:b/>
              </w:rPr>
              <w:t>Business</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Unless the context otherwise requires, references in this Business section to “ADMA,” “ADMA Biologics,” the “Company,” “we,” “us” and “our” refer to ADMA Biologics, Inc., a Delaware corporation, as well as its wholly-owned subsidiaries, ADMA BioManufacturing, LLC, a Delaware limited liability company (“ADMA BioManufacturing”), ADMA BioCenters Georgia Inc., a Delaware corporation (“ADMA BioCenters”) and ADMA Plasma Biologics, Inc., a Delaware corporation (“ADMA Plasma Biologics”).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an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or Inborn Errors of Immunity, and for which we received FDA approval on May 9, 2019 and commenced commercial sales in August 2019; (ii) ASCENIV (Immune Globulin Intravenous, Human – slra 10% Liquid), an IVIG product indicated for the treatment of PI in adults and adolescents,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Times New Roman" w:hAnsi="Times New Roman"/>
          <w:i/>
          <w:color w:val="000000"/>
          <w:sz w:val="20"/>
          <w:shd w:fill="FFFFFF" w:val="clear"/>
        </w:rPr>
        <w:t>S. pneumonia</w:t>
      </w:r>
      <w:r>
        <w:rPr>
          <w:rFonts w:ascii="Times New Roman" w:hAnsi="Times New Roman"/>
          <w:color w:val="000000"/>
          <w:sz w:val="20"/>
          <w:shd w:fill="FFFFFF" w:val="clear"/>
        </w:rPr>
        <w:t xml:space="preserve"> infection for an immunoglobulin manufactured to contain standardized antibodies to numerous serotypes of </w:t>
      </w:r>
      <w:r>
        <w:rPr>
          <w:rFonts w:ascii="Times New Roman" w:hAnsi="Times New Roman"/>
          <w:i/>
          <w:color w:val="000000"/>
          <w:sz w:val="20"/>
          <w:shd w:fill="FFFFFF" w:val="clear"/>
        </w:rPr>
        <w:t>S. pneumoniae</w:t>
      </w:r>
      <w:r>
        <w:rPr>
          <w:rFonts w:ascii="Times New Roman" w:hAnsi="Times New Roman"/>
          <w:color w:val="000000"/>
          <w:sz w:val="20"/>
          <w:shd w:fill="FFFFFF" w:val="clear"/>
        </w:rPr>
        <w:t>. Our products and product candidates are intended to be used by physician specialists focused on caring for immune-compromised patients with or at risk for certain infectious diseases.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manufacture these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 representing annual revenues of approximately $330 million in 2024 and potentially $380 million in 2025. At these revenue levels, we forecast achieving consolidated gross margins in the range of 40-50% and net income margins in the range of 20-30%. These assumptions translate to potential fiscal year 2024 and 2025 net income of $65 million and $115 million or more and adjusted EBITDA of $90 million and $140 million or more, respectively.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we had a net loss of loss of $28.2 million and achieved adjusted net income of $0.7 million which, as further described under “Non-GAAP Financial Measures”, excludes charges related to the refinancing of our senior debt of $26.2 million and an IT systems disruption of $2.7 million (see Management’s Discussion and Analysis of Financial Condition and Results of Operations). We also generated positive cash flow from operations for the year ended December 31, 2023 for the first time in the Company’s history, primarily as a result of our significant revenue growth and continued physician, patient and payer acceptance of ASCENIV and BIVIGAM that we have experienced over the past several years.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Through our ADMA BioCenters subsidiary, we currently operate ten source plasma collection facilities in the U.S.,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sell plasma-derived intermediate fractions to certain customers, which are generated as part of our FDA-approved manufacturing process for IG and IVIG products, through a five-year manufacturing and supply agreement we entered into in January 2020. These intermediate by-products are used as the starting raw material to produce other plasma-derived biologics. In addition, from time to time we provide contract manufacturing services for certain third-party clients. We also provide laboratory contracting services to certain customers and anticipate providing contract filling, labeling and packing services utilizing our FDA-approved in-house fill-finish capabilities.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Products</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ASCENIV</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ASCENIV is approved for the treatment of PIDD or PI, a class of inherited genetic disorders that causes a deficient or absent immune system in adults and adolescents (12 to 17 years of age). Our pivotal Phase 3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patients diagnosed with PIDD better positions ADMA to potentially further evaluate ASCENIV in immune-compromised patients infected with or at-risk for RSV infection or potentially other respiratory viral pathogens at an appropriate time. Due to the COVID-19 pandemic, our plans have been delayed. In the future, however, we may elect to work with the FDA and the immunology and infectious disease community to potentially design an appropriate clinical trial to evaluate the use of ASCENIV in this patient population. Commercial sales of ASCENIV commenced in October of 2019 and in 2023, ADMA commenced manufacturing ASCENIV at the 4,400 Liter production scale for the first time in the Company’s history. We expect that this expansion should meaningfully improve the product’s margin profile and increase plant production capacity as fewer batches will be needed to support our revenue goals. ASCENIV’s prescriber and patient base continued to expand during 2023, which drove record utilization and pull-through for this product. These elevated demand trends have sustained into 2024, and ADMA currently expects that this product’s rapid growth will continue throughout 2024 and beyond.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BIVIGAM</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disorders.Based on recent estimates, these disorders are no longer considered to be very rare, with as many as one in every 1,200 people in the United States having some form of PI.</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May 9, 2019, the FDA approved the Prior Approval Supplement (the “PAS”) for the use of our IVIG manufacturing process (known as fractionation), thereby enabling us to re-launch and commercialize this product in the U.S.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December 12, 2023, we announced that the FDA approved the expansion of BIVIGAM’s label in the U.S. to now include the pediatric setting for those two years of age and older.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Nabi-HB</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ASCENIV in PIDD Patients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PIDD or PI, also known as Inborn Errors of Immunity, is a genetic disorder that causes a deficient or absent immune system, is caused by hereditary or genetic defects, and can affect anyone regardless of age or gender. PIDD patients are more vulnerable to infections and more likely to suffer complications from these infections. IVIG is a plasma-derived product that is used to prevent serious infections in patients with PIDD. It is comprised of polyclonal antibodies, which are proteins produced by B-cells that are used by the body’s immune system to neutralize foreign objects such as bacteria and viruses. It is estimated that there are about 250,000 diagnosed PIDD patients in the U.S., approximately half of whom are treated with IVIG regularly. As reported by </w:t>
      </w:r>
      <w:r>
        <w:rPr>
          <w:rFonts w:ascii="Times New Roman" w:hAnsi="Times New Roman"/>
          <w:i/>
          <w:color w:val="000000"/>
          <w:sz w:val="20"/>
          <w:shd w:fill="FFFFFF" w:val="clear"/>
        </w:rPr>
        <w:t>The Plasma Proteins Market In The United States</w:t>
      </w:r>
      <w:r>
        <w:rPr>
          <w:rFonts w:ascii="Times New Roman" w:hAnsi="Times New Roman"/>
          <w:color w:val="000000"/>
          <w:sz w:val="20"/>
          <w:shd w:fill="FFFFFF" w:val="clear"/>
        </w:rPr>
        <w:t>, the U.S. sales of immune and hyperimmune globulin products for all its uses were reported to be approximately $10.5 billion in 2022 and are expected to exceed $20 billion by 2030.</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ASCENIV, formerly known as RI-002, contains polyclonal antibodies against various infectious agents, such as streptococcus pneumoniae, H. influenza type B, CMV, measles and tetanus, including standardized antibodies against RSV. RSV is a common respiratory virus that often presents during the winter months. Nearly all children will have been infected with RSV by three years of age; however, the immune systems of most healthy children prevent significant morbidity and mortality. Conversely, in patients who are immune-compromised, such as those with PIDD or who have undergone a hematopoietic stem cell or solid organ transplant and may be on immunosuppressive drugs or chemotherapy, RSV infection can be associated with significant morbidity and mortality. Immune-compromised patients historically have a 5% to 15% rate of RSV infection, and, if left untreated, lower respiratory tract RSV infections in immune-compromised patients can result in a mortality rate of up to 40% of infected patients. In hematopoietic stem cell transplant (“HSCT”) patients, a subset of the immune-compromised patient population with approximately 25,000 transplants being performed annually in the U.S., it is estimated that about 25% of patients treated with the current standard of care (aerosolized Ribavirin) will progress to Lower Respiratory Tract Infection (“LRTI”) while 41% of patients untreated with the current standard of care will progress to LRTI.</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RI-002 pivotal Phase III clinical trial was conducted as a single arm study in which patients were treated approximately once per month for a period of 12 months plus 90 days for follow up. Fifty-nine patients were enrolled in nine treatment centers in the U.S. The pivotal Phase III primary endpoint followed published FDA industry guidance, which provides for a reduction in the incidence of SBI to less than one per year in each subject receiving IVIG. The secondary outcome was safety and included other pharmacokinetic (“PK”) data collection points including antibody titers for certain agents, including RSV antibody levels at various time points after infusion.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RI-002 demonstrated positive results in the Phase III study in patients with PIDD, meeting its primary endpoint of no SBIs reported. RI-002 was administered in a total of 793 infusions with zero serious adverse events to 59 patients in nine treatment centers throughout the U.S. These results, included in our Biologics License Application (“BLA”), exceed the requirement specified by FDA guidance of ≤ 1 serious infection per patient-year.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February 22, 2015, at the 2015 American Academy of Allergy, Asthma &amp; Immunology Annual Meeting, scientific investigators reported on the secondary outcomes that included: a total of 93 days, or 1.66 days per patient per year lost from work or school due to infection; one hospitalization due to an infection of only five days duration in the entire study and Immune Globulin (“IgG”) trough levels above those required by the FDA for IVIG products. Additionally, there was a marked increase in all of the measured specific anti-pathogen antibodies in PK subjects (n=31). The mean of maximum fold increases in specific antibody levels after infusion of RI-002 ranged from 1.9 fold (S. pneumonia type 19A) to 5.3 fold (RSV), which were statistically significant fold increases from the pathogen’s specific measured baselines. The safety profile of ASCENIV is comparable to that of other immunoglobulins.</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ASCENIV in RSV-Infected Patients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RSV is a common virus that ordinarily leads to mild, cold-like symptoms in healthy adults and children. In high-risk groups, such as the PIDD population and other immune-compromised populations, RSV can lead to a more serious infection and may even cause death. The polyclonal antibodies that are present in ASCENIV are expected to prevent infections in immune-compromised patients.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October 2019, we announced the successful treatment of ASCENIV in two children suffering with RSV through our compassionate use program. The two immunocompromised children admitted to the Mayo Clinic each were diagnosed with T-cell lymphoblastic lymphoma. Both patients were undergoing delayed intensification chemotherapy and each were diagnosed with RSV Lower Respiratory Tract Infection (“LRTI”). Both children were treated with ASCENIV under an emergency FDA Investigational New Drug protocol.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previously conducted a randomized, double-blind, placebo-controlled Phase II clinical trial to evaluate RI-001, RI-002’s predecessor product candidate, in immune-compromised, RSV-infected patients. This trial was conducted with 21 patients in the U.S., Canada, Australia, and New Zealand. The Phase II dose-ranging trial demonstrated a statistically significant improvement in the change from baseline RSV titers to day 18 in the high dose and low dose treatment groups when compared with placebo (p=0.0043 and p=0.0268, respectively). The mean fold increase for high dose was 9.24 (95% CI 4.07, 21.02) and the observed mean fold increase for low dose was 4.85 (95% CI 2.22, 10.59). The mean fold change for placebo treated patients was 1.42 (95% CI 0.64, 3.17). In addition, more patients in the high dose (85.7%) and low dose (42.9%) groups experienced greater than a four-fold increase from baseline to day 18 in RSV titer levels compared to placebo (0%). There were no serious drug-related adverse events reported during the trial.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From April 2009 through February 2011, RI-001 was also administered to 15 compassionate use patients where physicians requested access to the product for treating their patients with documented lower respiratory tract RSV infections due to the fact that these patients had failed conventional therapeutic interventions. Serum samples were obtained from 13 patients. Samples showed that patients demonstrated a four-fold or greater rise in RSV antibody titers from baseline. Serum samples were not obtained from two patients that received Palivizumab. All 11 surviving patients received RI-001 within an average of 4.4 days after the onset of the diagnosis of RSV. The drug was well-tolerated in all 15 patients and there were no reports of serious adverse events attributable to RI-001. Data from our Phase II clinical trial, compassionate use experience and data obtained from the evaluation of RI-002 in the infected cotton rat animal model has been presented at various conferences over the past several years.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Based on these results, we may elect to evaluate ASCENIV for the treatment of RSV or other respiratory viral pathogens in immunocompromised patients or other appropriate patient populations. Due to the COVID-19 pandemic, our plans to commence such evaluation have been delayed. In the future however, we may work with the FDA and the immunology and infectious disease community to design an appropriate clinical trial to evaluate the use of ASCENIV in this patient population.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Plasma Collection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ADMA BioCenters operates a total of ten U.S.-based plasma collection facilities, all of which hold FDA licenses and are actively collecting source and high-titer RSV plasma. Currently, three facilities have also received approvals from MFDS as well as FDA approval to implement a Hepatitis B immunization program. Source plasma that is collected from our FDA-licensed facilities provides us with the blood plasma for the manufacture of our products.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are sold to third-party customers in the U.S. and other international locations where we are approved under supply agreements or in the open “spot” market.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Strategy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goal is to be a leader in manufacturing, marketing and developing specialty biologics that are intended to extend and enhance the lives of individuals who are naturally or medically immune-compromised. The key elements of our strategy for achieving this goal are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Continue to expand the commercial production of our IG products, as well as the commercial presence, penetration and sales of ASCENIV and BIVIGAM for the treatment of patients with PI</w:t>
            </w:r>
            <w:r>
              <w:rPr/>
              <w:t>. We continue to enhance our recruiting initiatives and expand our existing specialty commercial sales force and commercial-facing organization to market ASCENIV and BIVIGAM to appropriate sites of care including home healthcare infusion facilities, hospitals, physician offices/clinics and other specialty treatment and infusion center organizations. We also anticipate staffing our Company with additional personnel for patient support, medical affairs, quality assurance, quality control, inventory management, regulatory affairs, manufacturing, scientific affairs and third-party reimbursement. We currently use and may continue to partner with a network of national distributors to fulfill orders for ASCENIV and BIVIGAM.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Increase marketing efforts around Nabi-HB.</w:t>
            </w:r>
            <w:r>
              <w:rPr/>
              <w:t>We plan to increase our marketing efforts and attend relevant virtual or in-person medical conferences during 2024, raising awareness of the risks associated with Hepatitis B and the benefits and efficacy of Nabi-HB in its indicated populations. We have published and may continue to publish scientific data supporting the use of Nabi-HB in at-risk and appropriate patient populations.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Expand ASCENIV’s FDA-approved uses</w:t>
            </w:r>
            <w:r>
              <w:rPr/>
              <w:t>. Having received approval by the FDA for ASCENIV as a treatment for PIDD, we may elect to evaluate the clinical and regulatory paths to grow the ASCENIV franchise through expanded FDA-approved uses. We believe that there may be other patient populations beyond PIDD that could potentially derive clinical benefit from ASCENIV, some of which may potentially be eligible for orphan status. We plan to leverage our previously conducted randomized, double-blind, placebo-controlled Phase II clinical trial evaluating RI-001, RI-002’s predecessor product candidate, in immune-compromised, RSV-infected patients to explore ASCENIV for the treatment of RSV or other potential respiratory viral pathogens, as well as in other patient populations we may believe are appropriate.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Improve the Boca Facility’s and ADMA BioCenters’ operating efficiencies, yields and gross margins. </w:t>
            </w:r>
            <w:r>
              <w:rPr/>
              <w:t>During 2024, we plan to advance our biologic production yield enhancement initiative to capture additional IG production yields from our manufacturing process with the same quantities of starting raw material. These initiatives are subject to further evaluation, validation of commercial-scale production and requisite regulatory review. During 2021, we received FDA approvals for our 4,400L expanded IVIG production scale, as well as our in-house fill-finish and related operations production line using our aseptic filling machine. In 2023, ADMA commenced manufacturing ASCENIV at the 4,400 Liter production scale for the first time in the Company’s history. We expect that this expansion should meaningfully improve the product’s margin profile and increase plant production capacity as fewer batches will be needed to support revenue goals. Our successful experience in ramping up BIVIGAM to this production scale over the last two years lends confidence to its ability to leverage these same processes for ASCENIV. We began to realize these benefits in the fourth quarter of 2023.</w:t>
            </w:r>
          </w:p>
        </w:tc>
      </w:tr>
    </w:tbl>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Broadly Implement Innovative AI Program, ADMAlytics, to improve efficiencies across our supply chain and production operations.</w:t>
            </w:r>
            <w:r>
              <w:rPr/>
              <w:t xml:space="preserve"> In February 2024, we announced the successful initial use of our Artificial Intelligence (AI) program, named ADMAlytics. ADMAlytics combines AI and machine learning to improve and predict outcomes for production and operational processes. Recently, we successfully produced our first batch of ASCENIV utilizing this innovative ADMAlytics software to prospectively automate and realize efficiency improvements to plasma pooling during commercial manufacturing. We expect broad implementation of the new ADMAlytics capabilities will provide for rapid realization of efficiencies across our supply chain and production operations.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Label expansion. </w:t>
            </w:r>
            <w:r>
              <w:rPr/>
              <w:t>Upon regulatory approval, the ongoing post-marketing clinical study of ASCENIV, which has successfully completed enrollment, may provide a label expansion opportunity to include pediatric-aged PI patients as well as additional publications supporting product safety.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Expand and develop our pipeline with additional specialty plasma and/or hyperimmune immunoglobulin products</w:t>
            </w:r>
            <w:r>
              <w:rPr/>
              <w:t>. Our core competency is in the development, manufacturing, testing and commercialization of plasma-derived therapeutics. We believe there are a number of under-addressed medical conditions for which plasma-derived therapeutics may be beneficial. Utilizing our intellectual property patents, which include our proprietary testing assay and other standardization methods and technologies, we have identified potential new product candidates that we may advance into preclinical activities. As part of expanding our product pipeline, we are looking to develop an S. pneumonia hyperimmune globulin. S. pneumonia is the predominant cause of community-acquired pneumonia in the U.S., ranking as the ninth leading cause of overall mortality. We believe the strategic importance and unmet need are evident in both the prophylactic and therapeutic settings where documented anti-infective resistance is on the rise. Annually, approximately one million U.S. adults contract pneumococcal pneumonia, resulting in 400,000 hospitalizations and a 5-7% mortality rate, of which approximately 7,000 deaths annually are attributable to anti-infective resistance. Despite vaccine availabilities, vaccine-naive and immune-compromised patient populations remain at risk and could potentially benefit from the immediately available neutralizing antibodies conferred with a hyperimmune globulin in both the in-patient and out-patient treatment settings. We estimate that an S. pneumonia hyperimmune globulin, if approved, has the potential to generate peak revenue of $300-500 million.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Secure new supply contracts for potential contract manufacturing organization (“CMO”) opportunities. </w:t>
            </w:r>
            <w:r>
              <w:rPr/>
              <w:t>We are exploring new potential CMO, contract testing and business development opportunities, which include fill-finish capabilities, with our multi-faceted revenue generation platform, while continuing to fulfill our long-term CMO supply agreement to produce and sell plasma-derived intermediate fractions.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Primary Immunodeficiency Disease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PIDD is a class of hereditary disorders characterized by defects in the immune system, due to either a lack of necessary antibodies or a failure of these antibodies to function properly. According to the World Health Organization, there are over 150 different presentations of PIDD. As patients suffering from PIDD lack a properly functioning immune system, they typically receive monthly, outpatient infusions of IVIG therapy. Without this exogenous antibody immune support, these patients would be susceptible to a wide variety of infectious diseases. PIDD has an estimated prevalence of 1:1,200 in the U.S., or approximately 250,000 people. As reported by </w:t>
      </w:r>
      <w:r>
        <w:rPr>
          <w:rFonts w:ascii="Times New Roman" w:hAnsi="Times New Roman"/>
          <w:i/>
          <w:color w:val="000000"/>
          <w:sz w:val="20"/>
          <w:shd w:fill="FFFFFF" w:val="clear"/>
        </w:rPr>
        <w:t xml:space="preserve">The Plasma Proteins Market In The United States 2022 </w:t>
      </w:r>
      <w:r>
        <w:rPr>
          <w:rFonts w:ascii="Times New Roman" w:hAnsi="Times New Roman"/>
          <w:color w:val="000000"/>
          <w:sz w:val="20"/>
          <w:shd w:fill="FFFFFF" w:val="clear"/>
        </w:rPr>
        <w:t xml:space="preserve">and </w:t>
      </w:r>
      <w:r>
        <w:rPr>
          <w:rFonts w:ascii="Times New Roman" w:hAnsi="Times New Roman"/>
          <w:i/>
          <w:color w:val="000000"/>
          <w:sz w:val="20"/>
          <w:shd w:fill="FFFFFF" w:val="clear"/>
        </w:rPr>
        <w:t>Marketing Research Bureau Inc., October 2022</w:t>
      </w:r>
      <w:r>
        <w:rPr>
          <w:rFonts w:ascii="Times New Roman" w:hAnsi="Times New Roman"/>
          <w:color w:val="000000"/>
          <w:sz w:val="20"/>
          <w:shd w:fill="FFFFFF" w:val="clear"/>
        </w:rPr>
        <w:t>, the U.S. market for IG in 2022 was $10.5 billion and is expected to exceed $20 billion by 2030.</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most patients with PIDD present with infections, the differential diagnosis and initial investigations for an underlying immune defect are typically guided by the clinical presentation. In subjects with PIDD, individual infections are not necessarily more severe than those that occur in a normal host. Rather, the clinical features suggestive of an immune defect may be the recurring and/or chronic nature of infections with common pathogens that may result in end organ damage, such as bronchiectasis. In addition, subjects with PIDD will often respond poorly to standard antimicrobial therapy or they may have repeated infections with the same pathogen. The virulence of the infecting organism should also be considered, and a subject’s immune competence should be questioned when invasive infections are caused by low virulence or opportunistic pathogens. For example, infection with the opportunistic pathogens Pneumocystis jiroveci (previously Pneumocystis carinii) or atypical mycobacteria should prompt an investigation for underlying immunodeficiency. Typical clinical presentations for subjects with PIDD are:</w:t>
      </w:r>
    </w:p>
    <w:p>
      <w:pPr>
        <w:pStyle w:val="TextBody"/>
        <w:bidi w:val="0"/>
        <w:spacing w:before="0" w:after="0"/>
        <w:jc w:val="left"/>
        <w:rPr/>
      </w:pPr>
      <w:r>
        <w:rPr/>
      </w:r>
    </w:p>
    <w:tbl>
      <w:tblPr>
        <w:tblW w:w="5238" w:type="dxa"/>
        <w:jc w:val="left"/>
        <w:tblInd w:w="0" w:type="dxa"/>
        <w:tblLayout w:type="fixed"/>
        <w:tblCellMar>
          <w:top w:w="0" w:type="dxa"/>
          <w:left w:w="0" w:type="dxa"/>
          <w:bottom w:w="0" w:type="dxa"/>
          <w:right w:w="0" w:type="dxa"/>
        </w:tblCellMar>
      </w:tblPr>
      <w:tblGrid>
        <w:gridCol w:w="38"/>
        <w:gridCol w:w="110"/>
        <w:gridCol w:w="50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0"/>
              <w:jc w:val="left"/>
              <w:rPr/>
            </w:pPr>
            <w:r>
              <w:rPr/>
              <w:t>antibody deficiency and recurrent bacterial infections;</w:t>
            </w:r>
          </w:p>
        </w:tc>
      </w:tr>
    </w:tbl>
    <w:p>
      <w:pPr>
        <w:pStyle w:val="TextBody"/>
        <w:bidi w:val="0"/>
        <w:spacing w:before="0" w:after="0"/>
        <w:jc w:val="left"/>
        <w:rPr/>
      </w:pPr>
      <w:r>
        <w:rPr/>
      </w:r>
    </w:p>
    <w:tbl>
      <w:tblPr>
        <w:tblW w:w="5283" w:type="dxa"/>
        <w:jc w:val="left"/>
        <w:tblInd w:w="0" w:type="dxa"/>
        <w:tblLayout w:type="fixed"/>
        <w:tblCellMar>
          <w:top w:w="0" w:type="dxa"/>
          <w:left w:w="0" w:type="dxa"/>
          <w:bottom w:w="0" w:type="dxa"/>
          <w:right w:w="0" w:type="dxa"/>
        </w:tblCellMar>
      </w:tblPr>
      <w:tblGrid>
        <w:gridCol w:w="38"/>
        <w:gridCol w:w="110"/>
        <w:gridCol w:w="51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0"/>
              <w:jc w:val="left"/>
              <w:rPr/>
            </w:pPr>
            <w:r>
              <w:rPr/>
              <w:t>T-lymphocyte deficiency and opportunistic infections;</w:t>
            </w:r>
          </w:p>
        </w:tc>
      </w:tr>
    </w:tbl>
    <w:p>
      <w:pPr>
        <w:pStyle w:val="TextBody"/>
        <w:bidi w:val="0"/>
        <w:spacing w:before="0" w:after="0"/>
        <w:jc w:val="left"/>
        <w:rPr/>
      </w:pPr>
      <w:r>
        <w:rPr/>
      </w:r>
    </w:p>
    <w:tbl>
      <w:tblPr>
        <w:tblW w:w="5658" w:type="dxa"/>
        <w:jc w:val="left"/>
        <w:tblInd w:w="0" w:type="dxa"/>
        <w:tblLayout w:type="fixed"/>
        <w:tblCellMar>
          <w:top w:w="0" w:type="dxa"/>
          <w:left w:w="0" w:type="dxa"/>
          <w:bottom w:w="0" w:type="dxa"/>
          <w:right w:w="0" w:type="dxa"/>
        </w:tblCellMar>
      </w:tblPr>
      <w:tblGrid>
        <w:gridCol w:w="38"/>
        <w:gridCol w:w="110"/>
        <w:gridCol w:w="55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0"/>
              <w:jc w:val="left"/>
              <w:rPr/>
            </w:pPr>
            <w:r>
              <w:rPr/>
              <w:t>other lymphocyte defects causing opportunistic infections;</w:t>
            </w:r>
          </w:p>
        </w:tc>
      </w:tr>
    </w:tbl>
    <w:p>
      <w:pPr>
        <w:pStyle w:val="TextBody"/>
        <w:bidi w:val="0"/>
        <w:spacing w:before="0" w:after="0"/>
        <w:jc w:val="left"/>
        <w:rPr/>
      </w:pPr>
      <w:r>
        <w:rPr/>
      </w:r>
    </w:p>
    <w:tbl>
      <w:tblPr>
        <w:tblW w:w="4923" w:type="dxa"/>
        <w:jc w:val="left"/>
        <w:tblInd w:w="0" w:type="dxa"/>
        <w:tblLayout w:type="fixed"/>
        <w:tblCellMar>
          <w:top w:w="0" w:type="dxa"/>
          <w:left w:w="0" w:type="dxa"/>
          <w:bottom w:w="0" w:type="dxa"/>
          <w:right w:w="0" w:type="dxa"/>
        </w:tblCellMar>
      </w:tblPr>
      <w:tblGrid>
        <w:gridCol w:w="38"/>
        <w:gridCol w:w="110"/>
        <w:gridCol w:w="47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0"/>
              <w:jc w:val="left"/>
              <w:rPr/>
            </w:pPr>
            <w:r>
              <w:rPr/>
              <w:t>neutrophil defects causing immunodeficiency; and</w:t>
            </w:r>
          </w:p>
        </w:tc>
      </w:tr>
    </w:tbl>
    <w:p>
      <w:pPr>
        <w:pStyle w:val="TextBody"/>
        <w:bidi w:val="0"/>
        <w:spacing w:before="0" w:after="0"/>
        <w:jc w:val="left"/>
        <w:rPr/>
      </w:pPr>
      <w:r>
        <w:rPr/>
      </w:r>
    </w:p>
    <w:tbl>
      <w:tblPr>
        <w:tblW w:w="2568" w:type="dxa"/>
        <w:jc w:val="left"/>
        <w:tblInd w:w="0" w:type="dxa"/>
        <w:tblLayout w:type="fixed"/>
        <w:tblCellMar>
          <w:top w:w="0" w:type="dxa"/>
          <w:left w:w="0" w:type="dxa"/>
          <w:bottom w:w="0" w:type="dxa"/>
          <w:right w:w="0" w:type="dxa"/>
        </w:tblCellMar>
      </w:tblPr>
      <w:tblGrid>
        <w:gridCol w:w="38"/>
        <w:gridCol w:w="110"/>
        <w:gridCol w:w="2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0"/>
              <w:jc w:val="left"/>
              <w:rPr/>
            </w:pPr>
            <w:r>
              <w:rPr/>
              <w:t>complement deficiencies.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PIDD can present at any age from birth to adulthood, posing a considerable challenge for the practicing physician to know when and how to evaluate a subject for a possible immune defect. Subjects with marked antibody deficiencies are generally dependent on IVIG therapy for survival. Benefits of adequate IVIG therapy in subjects not able to produce antibodies normally include a reduction in the severity and frequency of infections, prevention of chronic lung disease and prevention of enteroviral meningoencephalitis. Several immune globulin products have already been approved by the FDA.</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Plasma – Background, Composition and Manufacturing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Human blood contains a number of components including:</w:t>
      </w:r>
    </w:p>
    <w:p>
      <w:pPr>
        <w:pStyle w:val="TextBody"/>
        <w:bidi w:val="0"/>
        <w:spacing w:before="0" w:after="0"/>
        <w:jc w:val="left"/>
        <w:rPr/>
      </w:pPr>
      <w:r>
        <w:rPr/>
      </w:r>
    </w:p>
    <w:tbl>
      <w:tblPr>
        <w:tblW w:w="6543" w:type="dxa"/>
        <w:jc w:val="left"/>
        <w:tblInd w:w="0" w:type="dxa"/>
        <w:tblLayout w:type="fixed"/>
        <w:tblCellMar>
          <w:top w:w="0" w:type="dxa"/>
          <w:left w:w="0" w:type="dxa"/>
          <w:bottom w:w="0" w:type="dxa"/>
          <w:right w:w="0" w:type="dxa"/>
        </w:tblCellMar>
      </w:tblPr>
      <w:tblGrid>
        <w:gridCol w:w="38"/>
        <w:gridCol w:w="110"/>
        <w:gridCol w:w="63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0"/>
              <w:jc w:val="left"/>
              <w:rPr/>
            </w:pPr>
            <w:r>
              <w:rPr/>
              <w:t>Red blood cells – Used to carry oxygen from the lungs to the body;</w:t>
            </w:r>
          </w:p>
        </w:tc>
      </w:tr>
    </w:tbl>
    <w:p>
      <w:pPr>
        <w:pStyle w:val="TextBody"/>
        <w:bidi w:val="0"/>
        <w:spacing w:before="0" w:after="0"/>
        <w:jc w:val="left"/>
        <w:rPr/>
      </w:pPr>
      <w:r>
        <w:rPr/>
      </w:r>
    </w:p>
    <w:tbl>
      <w:tblPr>
        <w:tblW w:w="6423" w:type="dxa"/>
        <w:jc w:val="left"/>
        <w:tblInd w:w="0" w:type="dxa"/>
        <w:tblLayout w:type="fixed"/>
        <w:tblCellMar>
          <w:top w:w="0" w:type="dxa"/>
          <w:left w:w="0" w:type="dxa"/>
          <w:bottom w:w="0" w:type="dxa"/>
          <w:right w:w="0" w:type="dxa"/>
        </w:tblCellMar>
      </w:tblPr>
      <w:tblGrid>
        <w:gridCol w:w="38"/>
        <w:gridCol w:w="110"/>
        <w:gridCol w:w="62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0"/>
              <w:jc w:val="left"/>
              <w:rPr/>
            </w:pPr>
            <w:r>
              <w:rPr/>
              <w:t>White blood cells – Used by the immune system to fight infection;</w:t>
            </w:r>
          </w:p>
        </w:tc>
      </w:tr>
    </w:tbl>
    <w:p>
      <w:pPr>
        <w:pStyle w:val="TextBody"/>
        <w:bidi w:val="0"/>
        <w:spacing w:before="0" w:after="0"/>
        <w:jc w:val="left"/>
        <w:rPr/>
      </w:pPr>
      <w:r>
        <w:rPr/>
      </w:r>
    </w:p>
    <w:tbl>
      <w:tblPr>
        <w:tblW w:w="3858" w:type="dxa"/>
        <w:jc w:val="left"/>
        <w:tblInd w:w="0" w:type="dxa"/>
        <w:tblLayout w:type="fixed"/>
        <w:tblCellMar>
          <w:top w:w="0" w:type="dxa"/>
          <w:left w:w="0" w:type="dxa"/>
          <w:bottom w:w="0" w:type="dxa"/>
          <w:right w:w="0" w:type="dxa"/>
        </w:tblCellMar>
      </w:tblPr>
      <w:tblGrid>
        <w:gridCol w:w="38"/>
        <w:gridCol w:w="110"/>
        <w:gridCol w:w="37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0"/>
              <w:jc w:val="left"/>
              <w:rPr/>
            </w:pPr>
            <w:r>
              <w:rPr/>
              <w:t>Platelets – Used for blood clotting;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Plasma – Used to carry the aforementioned components throughout the body and provide support in clotting and immunity.</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Plasma is the most abundant blood component, representing approximately 55% of total blood volume. Plasma, which is 90% water, is rich in proteins used by the human body for blood clotting and fighting infection. These proteins account for approximately 7% of plasma’s volume. As plasma contains these valuable proteins, plasma collection and the manufacturing of human plasma-derived therapeutics provide therapeutic benefits for ill patients.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order to produce plasma-derived therapeutics that can be administered to ill patients, raw material plasma must be collected from human donors and then manufactured into specialized products. Plasma is collected from healthy donors at FDA-licensed plasma donation centers. To ensure safety of the collected plasma, all plasma donations are tested using FDA-approved methods of Nucleic Acid Testing for various infectious diseases, such as HIV or HCV.</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Plasma is collected using a process known as “plasmapheresis.” During plasmapheresis, a donor’s blood is drawn into a specialized medical device that separates the plasma component through centrifugation, and then returns the other blood components back into the donor’s bloodstream. Plasmapheresis is performed utilizing an FDA-authorized, automated device with a sterile, self-contained collection kit. The plasma that is collected is known as “normal source plasma.” There are over 1,000 plasma donation centers in the U.S. As noted in a variety of plasma industry trade reports and related conferences, approximately 39 million liters of source plasma were collected in the U.S. in 2021. In the U.S., a donor may donate plasma a maximum of two times during any seven-day period, with at least two days in between donations. Plasma donation centers in the U.S. typically pay donors $50 to $100 per donation and some donors with rare or high antibody levels can be paid more.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order to isolate the desired therapeutic elements in normal source plasma, it must initially go through the fractionation process. The process of fractionation was invented in the 1940’s by E.J. Cohn and is referred to as the Cohn method or cold ethanol fractionation. First, the source plasma undergoes a process called pooling, in which the individual plasma donations are combined into a pooling tank. Second, the Cohn fractionation method, which is a combination of time, temperature, pH, alcohol concentration and centrifugation, is used to separate the desired plasma protein components, or “fractions.” After fractionation, the separated proteins are then re-suspended and are treated with a solvent detergent treatment process for viral inactivation. Next, other forms of filtration, such as nanofiltration, are performed as an additional viral removal and viral reduction step. Finally, with the various components separated and purified, the bulk product is formulated and filled into final, finished vials. During these various steps of manufacturing, each lot is reviewed and tested for potency and purity prior to being approved for release. The biologics manufacturing process is time consuming and complex. The time for collection, manufacturing and release of a batch of IG is estimated at 7 to 12 months, which is not unique to just ADMA as other fractionators report similar production timelines.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proteins in human plasma fall into four categories: albumin (60% of protein volume), immune globulins (15% of protein volume), coagulation factors (1% of protein volume), and other proteins (24% of protein volume) such as alpha-1 proteinase inhibitor, C1 esterase inhibitor, fibrin sealants and fibrinogen. Many of the other proteins in plasma have yet to be developed into commercial therapies. In the U.S., not only are the plasma collection centers subject to FDA licensure, but each plasma protein product that is derived and fractionated from plasma must undergo an approval process with FDA’s Center for Biologics Evaluation and Research (“CBER”).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Immune Globulins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In June 2008, the FDA published the FDA Guidance for Industry outlining the regulatory pathway for the approval of IVIG for the treatment of PIDD </w:t>
      </w:r>
      <w:r>
        <w:rPr>
          <w:rFonts w:ascii="Times New Roman" w:hAnsi="Times New Roman"/>
          <w:i/>
          <w:color w:val="000000"/>
          <w:sz w:val="20"/>
          <w:shd w:fill="FFFFFF" w:val="clear"/>
        </w:rPr>
        <w:t>(Guidance for Industry: Safety, Efficacy, and Pharmacokinetic Studies to Support Marketing of Immune Globulin Intravenous (Human) as Replacement Therapy for Primary Humoral Immunodeficiency)</w:t>
      </w:r>
      <w:r>
        <w:rPr>
          <w:rFonts w:ascii="Times New Roman" w:hAnsi="Times New Roman"/>
          <w:color w:val="000000"/>
          <w:sz w:val="20"/>
          <w:shd w:fill="FFFFFF" w:val="clear"/>
        </w:rPr>
        <w: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Immune globulins can be administered in three ways: intramuscularly, intravenously or subcutaneously. IVIG principally contains antibodies and, as such, provides passive immunization for individuals who are immune-deficient or who have been exposed to various infectious agents. IVIG is used therapeutically in a variety of immunological diseases/deficiencies, such as PIDD, idiopathic thrombocytopenic purpura, Guillain-Barré syndrome, Kawasaki disease, bone marrow transplant, and chronic inflammatory demyelinating polyneuropathy. We are aware that other companies are also evaluating IVIG in a clinical trial for the treatment of Alzheimer’s disease. Additionally, IVIG is also used as therapy in a variety of other diseases that do not involve primary or secondary immune deficiencies, such as multiple sclerosis, skin disease, and asthma. These latter uses are referred to as “off-label” or evidence-based uses because the FDA has not approved their use in these indications and promotion of such uses is not permitted by FDA unless a BLA or BLA supplement with additional data is approved. Among the various IVIG products, there are only 14 labeled indications approved by the FDA. However, medical literature identifies at least 150 evidence-based uses for IVIG, of which approximately 60 are currently included on lists of reimbursable uses by Medicare and other healthcare plans. This provides opportunities for new product development and submissions to potentially expand the label for our existing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are two types of immune globulins; standard and hyperimmune. The difference between standard immune globulins and hyperimmune globulins is that the latter are manufactured using plasma obtained from donors who have elevated amounts (high-titers) of specific antibodies. These high-titer products can be used to treat and prevent diseases that present those specific antigens that are reactive with the high-titer antibodies. Hyperimmune products currently available include Hepatitis B, tetanus, rabies, CMV and RhoD immune globulins.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As reported by </w:t>
      </w:r>
      <w:r>
        <w:rPr>
          <w:rFonts w:ascii="Times New Roman" w:hAnsi="Times New Roman"/>
          <w:i/>
          <w:color w:val="000000"/>
          <w:sz w:val="20"/>
          <w:shd w:fill="FFFFFF" w:val="clear"/>
        </w:rPr>
        <w:t>The Plasma Proteins Market In The United States 2022</w:t>
      </w:r>
      <w:r>
        <w:rPr>
          <w:rFonts w:ascii="Times New Roman" w:hAnsi="Times New Roman"/>
          <w:color w:val="000000"/>
          <w:sz w:val="20"/>
          <w:shd w:fill="FFFFFF" w:val="clear"/>
        </w:rPr>
        <w:t xml:space="preserve">and </w:t>
      </w:r>
      <w:r>
        <w:rPr>
          <w:rFonts w:ascii="Times New Roman" w:hAnsi="Times New Roman"/>
          <w:i/>
          <w:color w:val="000000"/>
          <w:sz w:val="20"/>
          <w:shd w:fill="FFFFFF" w:val="clear"/>
        </w:rPr>
        <w:t>Marketing Research Bureau Inc., October 2022</w:t>
      </w:r>
      <w:r>
        <w:rPr>
          <w:rFonts w:ascii="Times New Roman" w:hAnsi="Times New Roman"/>
          <w:color w:val="000000"/>
          <w:sz w:val="20"/>
          <w:shd w:fill="FFFFFF" w:val="clear"/>
        </w:rPr>
        <w:t>, the U.S. sales of immune and hyperimmune globulin products for all its uses were reported to be approximately $10.5 billion in 2022 and are expected to exceed $20 billion in 2030. IVIG products are used to treat primary immune deficiencies, certain autoimmune diseases, and other illnesses for immune-compromised patients and certain neuropathy indications. New research and data, secondary immune deficiencies, additional labeled indications, an aging population and emerging countries with new markets are all adding to the worldwide demand and growth of IVIG utilization.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Manufacturing and Supply of Our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order to produce plasma-derived therapeutics that can be administered to patients, raw material plasma is collected from healthy donors at plasma collection facilities licensed by the FDA. When stored under proper conditions, this plasma may have a shelf-life of up to ten years. Source plasma is collected at any one of over 1,000 FDA-licensed donation centers located throughout the U.S., using a process known as automated plasmapheresis. This sterile, self-contained, automated process separates red blood cells and other cellular components in the blood, which are then returned to the donor. Source plasma obtained by plasmapheresis is tested and must be negative for certain diseases, such as antibodies to human immunodeficiency virus types 1 and 2 (HIV-1/2), HbsAg and HCV, using FDA-approved serological test procedures.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After receipt of the source plasma, the frozen plasma is thawed and pooled and goes through the fractionation process. During cold ethanol fractionation, classes of proteins are precipitated and removed by centrifugation or filtration. The fractionation process includes the following steps; precipitation and absorption, depth filtration, centrifugation and chromatography. Because of the human origin of the raw material and the thousands of donations required in the fractionation process, a significant risk associated with plasma products is the transmission of blood-borne infectious pathogens. These purification processes have the potential to reduce the viral load. The manufacturing process also utilizes a multistep viral removal/inactivation system, which further increases the safety of the products. The following manufacturing processes have been validated for their capability to eliminate or inactivate viruses: precipitation during cold ethanol fractionation, solvent/detergent treatment and nanofiltration. We incorporate these processes into the manufacturing process, which ensures that our products comply with the requirements of the FDA and are safe and efficacious.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Once our drug-substance is produced in the Boca Facility, the product is further processed by certain third- party fill-finish providers or through our own in-house fill-finish process, which was approved by the FDA in the second half of 2021. Labeling and packaging operations must further comply with regulatory requirements and products must be labeled in accordance with their regulatory approval and Drug Supply Chain Security Act (“DSCSA”) serialization requirements. The end-to-end production cycle can take approximately seven to 12 months for a batch of FDA released drug product. Since 2020, we have successfully implemented several manufacturing and supply chain enhancements, including the purchase and installation of a new aseptic filling machine and the manufacturing of four conformance batches of BIVIGAM at an increased scale. These initiatives are designed to reduce operating costs, improve margins and provide for faster production cycle turnaround time, ultimately providing increased control and independence from third-party vendors and contractors.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ADMA BioCenters has a total of ten source plasma collection facilities in its network, all of which are FDA-licensed, and should allow the Company to be essentially self-sufficient for its raw material source plasma supply to produce its commercial IG product portfolio. Three of our ADMA BioCenters plasma collection facilities also have approvals from the South Korean MFDS and licensure from the FDA for the collection and sale of Hepatitis B hyperimmune plasma obtained from immunized donors. At the present time, we do not plan to build additional plasma collection facilities beyond the existing ten, but we continue to have third-party supply contracts in place to augment our vertically integrated plasma collections.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terms of a plasma purchase agreement dated as of November 17, 2011 (the “2011 Plasma Purchase Agreement”), we agreed to purchase from our former contract manufacturer an annual minimum volume of source plasma containing antibodies to RSV to be used in the manufacture of ASCENIV. We must purchase a to-be-determined and agreed upon annual minimum volume from the counterparty, and under the original 2011 Plasma Purchase Agreement we were permitted to also collect high-titer RSV plasma from up to five wholly-owned ADMA plasma collection facilities. During 2015, we amended the 2011 Plasma Purchase Agreement to (i) allow us to collect our raw material RSV high-titer plasma from any number of wholly-owned ADMA plasma collection facilities and (ii) allow us to purchase our raw material RSV high-titer plasma from other third-party collection organizations, in each case, provided that the annual minimum volumes from our former contract manufacturer were met, thus allowing us to expand our reach for raw material supply as we execute our commercialization plans for ASCENIV. Unless terminated earlier, the 2011 Plasma Purchase Agreement expires in June 2027, after which it may be renewed for two additional five-year periods if agreed to by the parties. On December 10, 2018, our former contract manufacturer assigned its rights and obligations under the 2011 Plasma Purchase Agreement to Grifols Worldwide Operations Limited (“Grifols”) as its successor-in-interest, effective January 1, 2019.</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June 6, 2017, we entered into a Plasma Supply Agreement with our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ten-year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which is within a low double digit percentage of the price which ADMA BioManufacturing pays to the counterparty, then the counterparty shall reimburse ADMA BioManufacturing for the difference in price ADMA BioManufacturing incurs. On December 10, 2018, our former contract manufacturer assigned its rights and obligations under the Plasma Supply Agreement to Grifols, effective January 1, 2019.</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Sales and Commercialization of Our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Currently, ASCENIV, BIVIGAM and Nabi-HB are sold primarily through independent distributors, drug wholesalers acting as sales agents, specialty pharmacies servicing both acute and ambulatory infusion centers and the home health infusion setting and other alternate site providers. In the U.S., independent distributors or third-party drug wholesalers ship our products through their distribution centers. These centers are generally stocked with adequate inventories to facilitate prompt customer service. Sales and distribution methods include frequent contact by sales and customer service representatives, automated communications via various electronic purchasing systems, circulation of catalogs and merchandising bulletins, direct-mail campaigns, trade publication presence and advertising.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market and sell our products through our specialty sales force, distribution relationships and other customary industry methods. We focus our efforts specifically on the easily identifiable treatment centers which specialize in the care and management of immune compromised individuals. We estimate that there are approximately 500 leading specialty programs in the U.S. which have significant patient populations for PIDD, suitable for treatment with ASCENIV. Our management and Board of Directors (“Board”) have substantial prior direct marketing, sales and distribution experience with plasma-derived drugs, specialty immune globulins and other biological products. As is customary in the plasma products industry, we may also use a network of national distribution organizations that have specialty divisions that focus on plasma products to fulfill orders for ASCENIV.</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Efforts to generate increased market awareness for Nabi-HB include attending and presenting scientific information at medical conferences, as well as sponsoring medical education symposiums. We have also hired a specialty sales force consisting of account managers, medical science liaisons and other customary scientific, medical and detail representatives to market BIVIGAM and ASCENIV to hospitals, physician offices/clinics, and other specialty treatment organizations as applicable. In addition, we have expanded staffing efforts with additional personnel for patient support, medical affairs, quality assurance, regulatory affairs, scientific affairs, third-party reimbursement, inventory and logistics, human resources and financial and operational management. We may also use a network of national and regional distributors to assist with order fulfillment for BIVIGAM and ASCENIV for use by healthcare professionals and hospitals.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our Manufacturing, Supply and License Agreement effective as of December 31, 2012, we granted to Biotest AG (“Biotest”) an exclusive license to market and sell ASCENIV in Europe and in selected countries in North Africa and the Middle East (the “Territory”), to have access to our testing services for testing of Biotest’s plasma samples using our proprietary RSV assay, and to reference (but not access) our proprietary information for the purpose of Biotest seeking regulatory approval for ASCENIV in the Territory. As consideration for the license, Biotest provided us with certain in-kind services and also compensated us with cash payments upon the completion of certain milestones. Biotest is also obligated to pay us an adjustable royalty based on a percentage of revenues from the sale of ASCENIV in the Territory for 20 years from the date of first commercial sale.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Major Customers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two customers, BioCARE, Inc. (“BioCare”) and Priority Healthcare Distribution, Inc. (“Curascript”), represented an aggregate of 72% of our consolidated revenues.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Competition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plasma products industry is highly competitive. We face, and will continue to face, intense competition from both U.S.-based and foreign producers of plasma products, some of which have lower cost structures, greater access to capital, greater resources for research and development, and more sophisticated marketing capabilities.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These competitors may include but are not limited to: CSL Behring, Grifols, Takeda, Octapharma and Permira. There are four producers of plasma-derived products in the U.S. consisting of: CSL Behring, Grifols, Takeda and ADMA Biologics. In addition to competition from other large worldwide plasma product providers, we face competition in local areas from smaller entities. In Europe, where the industry is highly regulated and healthcare systems vary from country to country, local companies may have greater knowledge of local healthcare systems, more established infrastructures and existing regulatory approvals or a better understanding of the local regulatory process, allowing them to market their products more quickly. Moreover, plasma therapy generally faces competition from non-plasma products and other courses of treatments. For example, recombinant Factor VIII products compete with plasma-derived products in the treatment of Hemophilia 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New technologies are being developed by biotech and pharmaceutical companies which may impact physician prescription and patient usage of IVIG. One such 2021 approved FDA therapy is an anti-FcRn inhibitor (neonatal Fc receptor, IgG receptor) which is a protein in humans responsible for maintaining IgG levels. This FDA approved anti-FcRn is for the treatment of generalized Myasthenia Gravis that may impact a subset of overall general IVIG usage. Other such FcRn potential targeted indications in development that may disrupt general IVIG usage may include but are not limited to: Chronic Inflammatory Demyelinating Polyradiculoneuropathy (“CIDP”), a rare type of autoimmune disorder, Immune Thrombocytopenic Purpura (“ITP”), a blood disorder characterized by a decrease in the number of platelets in the blood and Pemphigus Vulgaris (“PV”), a rare type of autoimmune disorder.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Intellectual Property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rely on a combination of patents, patent applications, copyrights and trademarks, as well as contracts, such as confidentiality, material data transfer, license and invention assignment agreements, to protect our intellectual property rights. We also rely upon trade secret laws to protect unpatented know-how and advancing technological innovation.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intellectual property (patents, know-how, etc.) related to our immunotherapeutic compositions, manufacturing processes, immunotherapeutic treatment, and related methods and formulations.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Patents related to our immune globulin product ASCENIV include U.S. Patent No. 9,107,906, which covers compositions comprising pooled plasma, as well as immunoglobulin prepared therefrom, that contains a standardized, elevated titer of RSV neutralizing antibodies and elevated levels of antibodies specific for one or more other respiratory pathogens, as well as methods of making and using the compositions. U.S. Patent Nos. 9,714,283, 9,815,886, 9,969,793, 10,683,343, 11,339,206 and 11,780,906, encompassing immunotherapeutic compositions and immunotherapeutic methods proprietary to us, also relate to ASCENIV. Corresponding foreign patents and patent applications also pertain to this technology.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We also hold intellectual property, including patents and patent applications, related to immunotherapeutic compositions and immunotherapeutic methods for the treatment and prevention of </w:t>
      </w:r>
      <w:r>
        <w:rPr>
          <w:rFonts w:ascii="Times New Roman" w:hAnsi="Times New Roman"/>
          <w:i/>
          <w:color w:val="000000"/>
          <w:sz w:val="20"/>
          <w:shd w:fill="FFFFFF" w:val="clear"/>
        </w:rPr>
        <w:t>S. pneumonia</w:t>
      </w:r>
      <w:r>
        <w:rPr>
          <w:rFonts w:ascii="Times New Roman" w:hAnsi="Times New Roman"/>
          <w:color w:val="000000"/>
          <w:sz w:val="20"/>
          <w:shd w:fill="FFFFFF" w:val="clear"/>
        </w:rPr>
        <w:t xml:space="preserve"> infection. U.S. Patent Nos. 10,259,865 and 11,084,870, each with a term through 2037, pertain to various aspects of this technology. Additional U.S. and numerous corresponding foreign patent applications also relate to this technology.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continue to prepare, file, and prosecute patent applications to provide broad and strong protection of our proprietary rights, including applications focused on existing and future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rely on a combination of patents, trademarks, trade secrets and nondisclosure and non-competition agreements to protect our proprietary intellectual property and will continue to do so. We also seek to enhance and ensure our competitive position through a variety of means, including our unique and proprietary plasma donor selection criteria, our proprietary formulation methodology for plasma pooling and the proprietary reagents, controls, testing standards, standard operating procedures and methods we use in our anti-RSV microneutralization assay. While we intend to defend against threats to our intellectual property, litigation can be costly and there can be no assurance that our patents will be enforced or that our trade secret policies and practices or other agreements will adequately protect our intellectual property. We seek to preserve the integrity and confidentiality of our data and trade secrets by maintaining physical security of our premises and physical and electronic security of our information technology systems. These processes, systems, and/or security measures may be breached, and we may not have adequate remedies as a result of any such breaches. Third parties may also own or could obtain patents that may require us to negotiate licenses to conduct our business, and there can be no assurance that the required licenses would be available on reasonable terms or at all.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our trade secrets may otherwise become known or be independently discovered by competitors. We also seek to protect our proprietary technology and processes, in part, by confidentiality agreements with our employees, consultants, scientific advisors and contractors. Although we rely, in part, on confidentiality, nondisclosure and non-competition agreements with employees, consultants and other parties with access to our proprietary information to protect our trade secrets, proprietary technology, processes and other proprietary rights, there can be no assurance that these agreements or any other security measures related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currently hold multiple trademarks, including but not limited to ASCENIV, BIVIGAM, Nabi-HB and Advantage Ig. We have spent considerable resources registering these trademarks and building brand awareness and equity of the ADMA Biologics trade name, which has been used in commerce since 2006. We expect to maintain and defend our various trademarks to the fullest extent possible.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Government Regulation and Product Approval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FDA and comparable regulatory agencies in state and local jurisdictions and in foreign countries impose substantial requirements upon, among other things, the testing (preclinical and clinical), quality control, research and development, approval and post-approval monitoring and reporting, manufacturing, labeling, storage, recordkeeping, advertising, promotion, import, export, marketing, sales and distribution of our products and product candidates. If we do not comply with applicable requirements, we may be subject to civil penalties, suspension or withdrawal of regulatory approvals, product recalls, seizure of products, fined, the government may refuse to approve our marketing applications, supplemental applications or allow us to manufacture or market our products, we may be criminally prosecuted and we may be debarred or excluded from participation in government healthcare programs. These requirements are continually evolving. We and our manufacturers may also be subject to regulations under other federal, state and local laws.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U.S. Government Regulation</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current and anticipated future product candidates are considered “biologics” under the FDA regulatory framework. Most pharmaceuticals or “conventional drugs” consist of pure chemical substances and their structures are known. Most biologics, however, are complex mixtures that are not easily identified or characterized. Biological products differ from conventional drugs in that they tend to be heat-sensitive and susceptible to microbial contamination. This requires sterile processes to be applied from initial manufacturing steps. In the U.S., the FDA regulates biologic products under the Federal Food, Drug and Cosmetic Act (the “FDCA”), the Public Health Service (“PHS”) Act and related federal regulations under Title 21 of the Code of Federal Regulations (“CFR”). The FDA also issues nonbinding guidance documents on a continuous basis, which provide the agency’s interpretation of its laws and regulations, as well as the FDA’s approach to scientific issues and questions. Biologics are also regulated under other federal, state, and local statutes and regulations by other regulatory authorities. The process required by the FDA before our product candidates may be marketed in the U.S. generally involves the following (although the FDA is given wide discretion to impose different or more stringent requirements on a case-by-case basis):</w:t>
      </w:r>
    </w:p>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completion of extensive preclinical laboratory tests, preclinical, nonclinical and formulation studies performed in accordance with the FDA’s Good Laboratory Practice (“GLP”) regulations and other applicable laws and regulations;</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submission to the FDA of an Investigational New Drug (“IND”) application which must become effective before clinical trials may begin;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obtaining approval by an Institutional Review Board (“IRB”) at each clinical site before a clinical trial may be initiated at that site;</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performance of adequate and well-controlled clinical trials meeting FDA requirements, commonly referred to as Good Clinical Practices (“GCP”), and other additional requirements for the protection of human research subjects and to establish the safety and efficacy of the product candidate for each proposed indication;</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manufacturing (through an FDA-approved facility) of product in accordance with the FDA’s current Good Manufacturing Practices (“cGMP”) to be used in the clinical trials and providing manufacturing information needed in regulatory filings;</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submission of a BLA to the FDA for marketing approval that includes substantial evidence of safety, purity and potency from results of clinical trials; the results of preclinical testing; detailed information about the Chemistry, Manufacturing, and Controls (“CMC”) and proposed labeling and packaging for the product candidate;</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satisfactory completion of an FDA pre-approval inspection of the manufacturing facilities at which the product candidate is produced, and potentially other involved facilities as well, to assess compliance with cGMP regulations and other applicable regulations;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satisfactory completion of potential FDA inspections of the preclinical study and clinical trial sites that generate the data in support of the BLA; and</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FDA review and approval of a BLA prior to any commercial marketing, sale or shipment of the product, including agreement on post-marketing commitments, and compliance with any post approval commitments, such as Risk Evaluation and Mitigation Strategies (“REMS”) and post approval studies required by the FDA.</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testing, review and approval process requires substantial time, effort and financial resources, and we cannot be certain that any approvals for our product candidates will be granted on a timely basis, if at all. We may encounter difficulties or unanticipated costs in our efforts to secure necessary governmental approvals, which could delay or preclude us from marketing our product candidates. In addition, the FDA may limit the indications for use or place other conditions on any approvals that could restrict the commercial application of our products. FDA may also conduct inspections, including remote regulatory assessments, of our facilities or the facilities of our contractors, both during product development and following approval. Any findings from those inspections could materially impact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Pre-Clinical Studies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Prior to commencing the first clinical trial at a United States investigational site, we must submit manufacturing and analytical data, pre-clinical or nonclinical data from studies conducted in accordance with GLP and clinical trial plans, among other information, to the FDA as part of an IND application. Subject to certain exceptions, an IND becomes effective 30 days after receipt by the FDA, unless the FDA, within the 30-day time period, issues a clinical hold to delay a proposed clinical investigation due to concerns or questions about the product or the conduct of the clinical trial, including concerns that human research subjects will be exposed to unreasonable health risks. In such a case, the IND sponsor and the FDA must resolve any outstanding concerns before the clinical trial can begin. Clinical holds also may be imposed by the FDA at any time before or during trials due to safety concerns or non-compliance.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submission of an IND, or those of our collaboration partners, may not result in the FDA allowing us to commence a clinical trial. A separate submission to an existing IND must also be made for each successive clinical trial conducted during product development. The FDA must also approve certain changes to an existing IND, such as certain manufacturing changes. Further, an independent Institutional Review Board (“IRB”) duly constituted to meet FDA requirements for each medical center proposing to conduct the clinical trial must review and approve the plan for any clinical trial before it commences at that center and it must monitor the safety of the study and study subjects until completed. Special clinical trial ethical considerations also must be taken into account if a study involves children. The FDA, the IRB or the sponsor may suspend a clinical trial at any time on various grounds, including a finding that the subjects or patients are being exposed to an unacceptable health risk. Clinical testing also must satisfy extensive GCP requirements and regulations for informed consent and must be conducted with product meeting cGMPs. Additionally, some clinical trials are overseen by an independent group of qualified experts organized by the clinical trial sponsor, known as a data safety monitoring board or committee, which reviews data and makes recommendations to the sponsor regarding the trial.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Clinical Trials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purposes of BLA submission and approval, clinical trials are typically conducted in the following three sequential phases, which may overlap (although additional or different trials may be required by the FDA as well):</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Phase I clinical trials are initially conducted in a limited population to test the product candidate for safety, dose tolerance, absorption, metabolism, distribution and excretion in healthy humans or, on occasion, in patients, such as cancer patients.</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Phase II clinical trials are generally conducted in a larger but limited patient population to identify possible adverse effects and safety risks, to determine the efficacy of the product candidate for specific targeted indications and to determine tolerance and optimal dosage. Multiple Phase II clinical trials may be conducted by the sponsor to obtain information prior to beginning larger and more expensive Phase III clinical trials.</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Phase III trials are conducted to establish the overall risk/benefit profile of the product. Certain Phase III clinical trials are referred to as pivotal trials. Phase III clinical trials aim to provide substantial evidence of reproducibility of clinical efficacy and safety results for approval and to further test for safety in an expanded and diverse patient population at multiple, geographically dispersed clinical trial sites.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under the Pediatric Research Equity Act of 2003, a BLA or supplement for a new active ingredient, new indication, new dosage form, new dosing regimen, or new route of administration must contain data that is adequate to assess the safety and effectiveness of the drug for the claimed indications in all relevant pediatric subpopulations, and to support dosing and administration for each pediatric subpopulation for which the product is safe and effective, unless the applicant has obtained a waiver or deferral. In 2012, the Food and Drug Administration Safety and Innovation Act amended the FDCA to require that a sponsor who is planning to submit such an application submit an initial Pediatric Study Plan (“iPSP”) within 60 days of an end-of-Phase II meeting or as may be agreed between the sponsor and the FDA. The FDA may, on its own initiative or at the request of the applicant, grant deferrals for submission of data or full or partial waivers. The FDA and the sponsor must reach agreement on the iPSP. Congress also passed legislation that will require that sponsors submit to the FDA a diversity action plan for Phase III or other pivotal studies, unless such requirement is waived by the FDA.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some cases, the FDA may condition continued approval of a BLA on the sponsor’s agreement to conduct additional clinical trials, or other commitments. Such post-approval studies are typically referred to as Phase IV studies, which are used to gain additional experience from the treatment of patients in the intended therapeutic indication, particularly for long-term safety follow-up.</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I, Phase II and Phase III clinical trials might not be completed successfully within any specified period, if at all.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 Information about clinical trials, including results, must be submitted within specific timeframes for listing on the ClinicalTrials.gov website.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limited circumstances, the FDA also permits the administration of investigational biological products to patients under its expanded access program. Under this program, provided certain qualifying criteria are met, patients who are not able to participate in a clinical trial may be eligible for accessing investigational products, including through individual compassionate or emergency use in concert with their requesting physician. Sponsors or distributors of investigational products for the diagnosis, monitoring, or treatment of one or more serious diseases or conditions must also have a publicly available policy on evaluating and responding to requests for expanded access.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Concurrent with clinical trials, companies usually complete additional preclinical studies, animal studies, develop additional information about the physical characteristics of the biological product candidate and finalize a process for manufacturing the product in commercial quantities in accordance with cGMP requirements. To help reduce the risk of the introduction of adventitious agents with use of biological products, the PHS Act emphasizes the importance of manufacturing controls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manufacture of Investigational biologics for the conduct of human clinical trials is subject to cGMP requirements. Investigational biologics and active ingredients and therapeutic substances imported into the United States are also subject to regulation by the FDA. Further, the export of investigational products outside the United States is subject to regulatory requirements of the receiving country as well as U.S. export requirements under the FDCA.</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Biologics License Applications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results of product candidate development, preclinical and nonclinical testing and clinical trials, together with, among other things, detailed information on the manufacture and composition of the product and proposed labeling, and the payment of a user fee, are submitted to the FDA as part of a BLA. Under the Prescription Drug User Fee Act (“PDUFA”), the fees payable to the FDA for reviewing an original BLA, as well as annual program fees for approved products can be substantial, subject to certain limited deferrals, waivers and reductions that may be available. The FDA has agreed to specified performance goals in the review of BLAs under the PDUFA.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Following submission, the FDA has 60 days to review all BLAs to determine if they are substantially complete before it accepts them for filing. The FDA may refuse to file a BLA that it deems incomplete or not reviewable at the time of submission, in which case the BLA will have to be updated and resubmitted. The FDA may also request additional information to be submitted in a very short time frame before accepting a BLA for filing.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the FDA accepts the application for filing, the FDA reviews the BLA to determine, among other things, whether the proposed product is safe, pure, and potent for its intended use, and whether the product is being manufactured in compliance with cGMP. During its review of a BLA, the FDA may refer the application for novel product candidates or products that present difficult questions to an advisory committee of experts for their review, evaluation and recommendation as to whether the application should be approved, which information is taken into consideration along with the FDA’s own review findings. The FDA’s PDUFA review goal is to review 90% of priority BLAs within six months of filing and 90% of standard applications within ten months of filing, but the FDA can and frequently does extend this review timeline to consider certain later-submitted information or information intended to clarify or supplement an initial submission. The FDA may not complete its review or approve a BLA within these established goal review times.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Before approving a marketing application, the FDA typically will inspect the facility or facilities where the product is manufactured, referred to as a Pre-Approval Inspection, as well as one or more clinical trial sites. The FDA will not approve a product candidate unless cGMP compliance is satisfactory.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After the FDA conducts its in-depth review of the application and after the inspection of the manufacturing facilities and clinical trial sites, the FDA issues either an approval letter or a Complete Response Letter (“CRL”). A CRL generally outlines the deficiencies in the submission and may also require additional clinical or other data, including one or more additional pivotal Phase III clinical trials. Even if such requested data are submitted, the FDA may ultimately decide that the BLA does not satisfy the criteria for approval and issue a denial of the BLA. Data from clinical trials are not always conclusive and the FDA may interpret data differently than we do. If the FDA’s evaluations of the BLA and the clinical and manufacturing procedures and facilities are favorable, the FDA may issue an approval letter. If the evaluations are not favorable the FDA will issue a CRL, which may contain the conditions that must be met in order to secure final approval of the BLA. If a CRL is issued, a company has up to 12 months to resubmit or withdraw the BLA, unless the FDA allows for an extension as requested by a sponsor. If a CRL is issued, resubmissions for original applications and supplements of different types are subject to varying agency review procedures and review timing goals. For example, upon the resubmission of an original BLA application or efficacy supplement, CBER will classify the resubmission as either Class 1 (triggering a two-month review goal for the FDA) or Class 2 (triggering a six-month review goal for the FDA) depending on the circumstances. CBER also includes specific goals for review of manufacturing and labeling supplements, though in practice, FDA reviews may take longer than the stated goals.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and when the items identified in a CRL have been resolved to the FDA’s satisfaction, the FDA will issue an approval letter, authorizing commercial marketing of the product for certain indications. The FDA may withdraw product approval if ongoing regulatory requirements are not met or if safety problems occur after the product reaches the market. In addition, the FDA may require testing, including Phase IV post-approval clinical trials, and surveillance programs to monitor the effect of approved products that have been commercialized, and the FDA has the power to prevent or limit further marketing of a product based on the results of these post-marketing programs.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Even if the FDA approves a product, it may limit the approved indications or populations for use of the product, require that contraindications, warnings, or precautions be included in the product labeling, including a boxed warning, require testing and surveillance programs to monitor the product after commercialization, or impose other conditions, including distribution restrictions or other risk management mechanisms under a REMS.If the FDA concludes a REMS is needed, the sponsor of the BLA must submit a proposed REMS; the FDA will not approve the BLA without a REMS, if required. A REMS could include medication guides, physician communication plans or elements to assure safe use, such as restricted distribution methods, patient registries and other risk minimization tools. Any of these limitations on approval or marketing can materially affect the potential market and profitability of the product.The FDA may also not approve label statements that are necessary for successful commercialization and marketing. Products may be marketed only for the FDA-approved indications and in accordance with the FDA-approved label. The FDA does not allow drugs to be promoted for “off-label” uses – that is, uses that are not described in the product’s approved labeling and that differ from those that were approved by the FDA. Furthermore, the FDA generally limits approved uses to those studied in clinical trials. If there are any modifications to the product, including changes in indications, other labeling changes, or manufacturing processes or facilities, we may be required to submit for and obtain FDA approval of a new BLA or BLA supplement, which may require us to develop additional data or conduct additional preclinical studies and clinical trials, and/or require additional manufacturing data.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Satisfaction of the FDA regulations and approval requirements or similar requirements of foreign regulatory agencies typically takes many years, and the actual time required may vary substantially based upon the type, complexity and novelty of the product or disease. Typically, if a product candidate is intended to treat a chronic disease, as was the case with ASCENIV, safety and efficacy data must be gathered over an extended period of time. Government regulation may delay or prevent marketing of product candidates for a considerable period of time and impose costly procedures upon our activities. The FDA or any other regulatory agency may not grant approvals for any changes on a timely basis, or at all. Even if a product candidate receives regulatory approval, the approval may be significantly limited to specific disease states, patient populations and dosages. Further, even after regulatory approval is obtained, later discovery of previously unknown problems with a product may result in restrictions on the product or even complete withdrawal of the product from the market. Delays in obtaining, or failures to obtain, regulatory approvals for any of our product candidates would harm our business. In addition, we cannot predict what adverse governmental regulations may arise from future U.S. or foreign governmental action.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Post-Approval Regulatory Requirements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After regulatory approval is obtained, biological drug products are subject to extensive and continuing regulation by the FDA, which may impose a number of post-approval requirements as a condition of approval of an application. For example, as a condition of approval of a BLA, the FDA may require post-marketing testing and surveillance to monitor the product’s safety or efficacy. In addition, holders of an approved BLA are required to keep extensive records (including certain electronic records and signature requirements), submit annual reports, report certain adverse reactions and production problems to the FDA, provide updated safety and efficacy information and comply with requirements concerning advertising and promotional labeling for their products. After approval, most changes to the approved product, such as adding new indications or other labeling claims, are subject to prior FDA review and approval. There also are annual user fee requirements for any marketed products, as well as new application fees for supplemental applications with clinical data. The FDA may withdraw a product approval if compliance with regulatory requirements is not maintained or if problems occur after the product reaches the market. Later discovery of previously unknown problems with a product, including adverse events of unanticipated severity or frequency, problems with manufacturing processes or failure to comply with regulatory requirements, may result in restrictions on the product or even complete withdrawal of the product from the market. Failure to comply with the statutory and regulatory requirements can subject a manufacturer to possible legal or regulatory action, such as refusal to approve pending applications, license suspension or revocation, withdrawal of approval of a BLA, imposition of a clinical hold or termination of clinical trials, warning letters, untitled letters, suspension of manufacturing, sales or use, product seizures or recalls, import restrictions, injunctive action or possible fines and other penalties. We cannot be certain that we or our present or future third-party manufacturers or suppliers will be able to comply with the cGMP regulations and other ongoing FDA regulatory requirements.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Manufacturers must continue to comply with cGMP requirements, which are extensive and require considerable time, resources and ongoing investment to ensure compliance. In addition, changes to the manufacturing process generally require prior FDA approval before being implemented. Other types of changes to the approved product, such as adding new indications and additional labeling claims, are also subject to further FDA review and approval. Certain manufacturing deviations and unexpected manufacturing events must be investigated, corrected, and reported to the FDA.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Manufacturers and certain other entities involved in the manufacturing and distribution of approved products are required to register their establishments with the FDA and certain state agencies, list the manufactured products to the FDA, and are subject to periodic unannounced inspections or remote regulatory assessments by the FDA and certain state agencies for compliance with cGMP and other laws. The cGMP requirements apply to all stages of the manufacturing process, including the production, processing, sterilization, packaging, labeling, storage and shipment of the product. Manufacturers must establish validated systems to ensure that products meet specifications and regulatory standards and test each product batch or lot prior to its release. The information that must be submitted to FDA regarding manufactured products was expanded through the Coronavirus Aid, Relief, and Economic Security (“CARES”) Act to include the volume of drugs produced during the prior year. For biologics products subject to lot release, for each product lot the applicant must submit materials related to that lot to the FDA prior to that lot being released for distribution.</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towards production and quality control to maintain cGMP compliance.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commercial distribution of prescription drugs (including biological drug products) is subject to the</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DSCSA, which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“PDMA”). Trading partners within the drug supply chain must now ensure certain product tracing requirements are met and are required to exchange certain transaction-related information in an electronic, and, as of November 2023, an interoperable form. Further, the DSCSA limits the distribution of prescription pharmaceutical products and imposes requirements to ensure overall accountability and security in the drug supply chain, including requirements related to the detection and investigation of suspect and illegitimate products. The distribution of product samples continues to be regulated under the PDMA.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FDA post-approval requirements are continually evolving. For example, in March 2020, the U.S. Congress passed the CARES Act, which includes various provisions regarding FDA drug shortage and manufacturing volume reporting requirements, as well as provisions regarding supply chain security, such as risk management plan requirements, and the promotion of supply chain redundancy and domestic manufacturing. As part of the CARES Act implementation, the FDA issued a guidance on the reporting of the volume of drugs produced, which reporting will require additional administrative efforts by drug manufacturers. Executive orders have also been issued to encourage domestic manufacturing.</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Advertising and Promotion</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FDA closely regulates the post-approval marketing and promotion of products, including standards and regulations for direct-to-consumer advertising, off-label promotion, industry-sponsored scientific and educational activities and promotional activities involving the Internet. A product cannot be promoted before it is approved. After approval, product promotion can include only those claims related to safety and effectiveness that are consistent with the labeling approved by the FDA. Healthcare providers are permitted to prescribe drugs for “off-label” uses–- that is, uses not approved by the FDA and not described in the product’s labeling because the FDA does not regulate the practice of medicine. However, FDA regulations impose restrictions on manufacturers’ communications regarding off-label uses. Broadly speaking, a manufacturer may not promote a drug for off-label use, but under certain conditions may engage in non-promotional, balanced, scientific communication regarding off-label use. Failure to comply with applicable FDA requirements and restrictions in this area may subject a company to adverse publicity and enforcement action by the FDA, the Department of Justice, or the Office of Inspector General of the Department of Health and Human Services, as well as state authorities. This could subject a company to a range of penalties that could have a significant commercial impact, including civil penalties, criminal fines and agreements that materially restrict the manner in which a company promotes or distributes a drug.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Companies are required to supply sufficient information that balances the risks of a product in its marketing and promotional materials. In 2023, the FDA implemented several measures in the advertising and promotional areas. These included the issuance of a final rule and a guidance on the disclosure of risks and effectiveness in direct-to-consumer advertising, as well as a guidance on the dissemination of off-label scientific data about approved products. From time to time, legislation is drafted, introduced and passed in Congress that could significantly change the statutory provisions governing the approval, manufacturing and marketing of products regulated by the FDA. In addition to new legislation, FDA and other agency regulations, guidance, and policies are often revised or reinterpreted in ways that may significantly affect our business. It is impossible to predict whether further legislative or FDA regulation or other regulatory policy changes will be enacted or implemented and what the impact of such changes, if any, may be. It is possible that certain prior regulatory requirements may be postponed or frozen.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Regulation of ADMA BioCenters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With some limited exceptions, all blood and blood product collection and manufacturing centers which engage in interstate commerce must be licensed by and registered with the FDA. In order to achieve licensure, the organization must submit a BLA and obtain BLA approval prior to distribution of any product. The approval of the BLA requires passage of an FDA inspection. ADMA BioCenters has completed these requirements and holds an FDA license for all ten of its plasma collection facilities for source plasma. In order to maintain an FDA license, under FDA guidance each such facility operated by ADMA BioCenters will be inspected within the first year of operations and then at least every two years and must meet certain regulatory requirements. ADMA BioCenters is also required to submit annual reports to the FDA, as well as reports of fatalities related to blood and blood component collection or transfusion. Establishments must also comply with the FDA’s regulatory standards which include a variety of requirements related to, among other areas, cGMPs, deviation investigation and reporting, donor screening and product testing, as well as product labeling. Facilities must further ensure that all tests and equipment that are used are appropriate for their intended use, which may include FDA clearance and/or approval of the applicable test or equipment.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Blood plasma collection and manufacturing centers are also subject to the Clinical Laboratory Improvement Amendments (“CLIA”), state licensure and compliance with industry standards such as the International Quality Plasma Program. Compliance with state and industry standards is verified by means of routine inspection. State requirements may differ significantly from federal requirements, which may complicate compliance efforts. We believe that our existing ADMA BioCenters facilities are currently in compliance with state and industry standards. Delays in obtaining, or failures to maintain, regulatory approvals for any facilities operated by ADMA BioCenters would harm our business. In addition, we cannot predict what adverse federal and state regulations and industry standards may arise in the future.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Foreign Regulation</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to regulations in the U.S., if we choose to pursue clinical development and commercialization in the European Union, we will be subject to a variety of foreign regulations governing clinical trials and commercial sales and distribution of any future product. Whether or not we obtain FDA approval for a product, we must obtain approval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Under European Union regulatory systems, marketing authorizations may be submitted either under a centralized, decentralized or national or mutual recognition procedure. The centralized procedure provides for the grant of a single marketing authorization that is valid for all European Union member states.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report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 In addition to the centralized procedure and the decentralized procedure, it may also be possible to obtain a marketing authorization for one single member state through a national procedure.The mutual recognition procedure provides for mutual recognition of national approval decisions. Under this procedure, the holder of a national marketing authorization may submit an application to the remaining member states. Within 90 days of receiving the applications and assessment report, each member state must decide whether to recognize approval, refuse it or request additional information.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Pharmaceutical Pricing and Reimbursement of Our Products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All sales in the U.S. of BIVIGAM, ASCENIV and Nabi-HB depend in part upon the availability of reimbursement from third-party payers. Third-party payers include government health programs, managed care providers, private health insurers and other organizations. BIVIGAM and Nabi-HB are reimbursed or purchased under several government programs, including Medicaid, Medicare Parts B and D, the 340B/Public Health Service program, and pursuant to an existing contract with the Department of Veterans Affairs. Medicaid is a joint state and federal government health plan that provides covered outpatient prescription drugs for low-income and disabled individuals. Under Medicaid, drug manufacturers pay rebates to the states based on utilization data provided by the states. CMS has issued a permanent, product-specific-J-code for ASCENIV. Under the HCPCS, the J-code (J1554) became effective April 1, 2021.</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Significant uncertainties exist as to the coverage and reimbursement status of our current products as well as any products for which we may obtain regulatory approval. In the U.S., sales of BIVIGAM, ASCENIV and Nabi-HB, as well as any products for which we may receive regulatory approval for commercial sale will depend in part on the availability of coverage and reimbursement from third-party payers. Third-party payers include government authorities, managed care providers, private health insurers and other organizations.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 The process for determining whether a payer will provide coverage for a drug product may be separate from the process for setting the reimbursement rate that the payer will pay for the drug product. Third-party payers may limit coverage to specific drug products on an approved list, or formulary, which might not include all of the FDA-approved drugs for a particular indication. Moreover,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Third-party payers are increasingly challenging the price and examining the medical necessity and cost-effectiveness of medical products and services, in addition to their safety and efficacy. In order to obtain coverage and reimbursement for our current products and any product that might be approved for sale, we may need to conduct expensive pharmacoeconomic studies in order to demonstrate the medical necessity and cost-effectiveness of any products, in addition to the costs required to obtain regulatory approvals. Our current products may not be considered medically necessary or cost-effective. If third-party payers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U.S. government and state legislatures have shown significant interest in implementing cost containment programs to limit the growth of government-paid healthcare costs, including price controls, limitations on coverage, increased rebates, restrictions on reimbursement and requirements for substitution of generic products for branded prescription drugs. For example, the Patient Protection and Affordable Care Act (“ACA”) and the companion Healthcare and Education Reconciliation Act (which together are referred to as the “Healthcare Reform Law”)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We have addressed additional reforms related to government pricing programs that could be relevant to our products below. These and any additional healthcare reform measures could further constrain our business or limit the amounts that federal and state governments will pay for healthcare products and services, which could result in additional pricing pressures. Adoption of government controls and measures and tightening of restrictive policies in jurisdictions with existing controls and measures, could limit payments for pharmaceuticals.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marketability of our current products and any products for which we receive regulatory approval for commercial sale may suffer if the government and third-party payers fail to provide adequate coverage and reimbursement. In addition, the emphasis on cost containment measures in the U.S.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Government Price Reporting</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Manufacturers participate in, and have certain price reporting obligations under, the Medicaid Drug Rebate Program, state Medicaid supplemental rebate program(s), and other governmental pricing programs. For calendar quarters beginning January 1, 2022, manufacturers will be required to report the average sales price for certain drugs under the Medicare program regardless of whether the manufacturer participates in the Medicaid Drug Rebate Program. Previously, this reporting obligation extended only to manufacturers participating in the Medicaid Drug Rebate Program. Under this Program, manufacturers are required to pay a rebate to each state Medicaid program for covered outpatient drugs that are dispensed to Medicaid beneficiaries and paid for by a state Medicaid program as a condition of having federal funds being made available for their drugs under Medicaid and Part B of the Medicare program.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Medicaid rebates are based on pricing data reported by manufacturers on a monthly and quarterly basis to the CMS, the federal agency that administers the Medicaid and Medicare programs. This data includes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more than inflation (measured by reference to the Consumer Price Index–- Urban). Currently, the rebate is capped at 100% of the average manufacturer price, but, effective January 1, 2024, this cap on the rebate will be removed, and our rebate liability could increase accordingly.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a manufacturer becomes aware that its reporting for a prior quarter was incorrect or has changed as a result of recalculating the pricing data, the manufacturer is obligated to resubmit the corrected data for up to three years after it was originally due, which revisions could affect rebate liability for prior quarters. The ACA made significant changes to the Medicaid Drug Rebate Program, and CMS issued a final regulation, which became effective on April 1, 2016, to implement the changes to the Medicaid Drug Rebate Program under the ACA. On December 21, 2020, CMS issued a final rule that modified the Medicaid Drug Rebate Program regulations to permit reporting multiple best price figures with regard to value</w:t>
        <w:noBreakHyphen/>
        <w:t>based purchasing arrangements (beginning in 2022); provided definitions for “line extension”, “new formulation,” and related terms with the practical effect of expanding the scope of drugs considered to be line extensions (beginning in 2022); and revised best price and average manufacturer price exclusions of manufacturer-sponsored patient benefit programs, particularly regarding potential inapplicability of such exclusions in the context of pharmacy benefit manager “accumulator” programs (beginning in 2023).</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among others. Medicare Part B generally pays for such drugs under a payment methodology based on the average sales price of the drugs. Manufacturers are required to report average sales price information to CMS on a quarterly basis. The manufacturer-submitted information is used by CMS to calculate Medicare payment rates.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Congress could enact additional changes that affect our overall rebate liability and the information manufacturers report to the government as part of price reporting calculations. For example, Congress is considering a Medicare Part B inflation rebate, under which manufacturers would owe additional rebates if the average sales price of a drug were to increase faster than the pace of inflation.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Civil monetary penalties can be applied if a manufacturer is (1) found to have knowingly submitted any false pricing or other information to the government, (2) found to have made a misrepresentation in the reporting of our average sales price, or (3) fails to submit the required data on a timely basis. Such conduct also could be grounds for CMS to terminate a Medicaid Drug Rebate Program agreement, in which case federal payments may not be available under Medicaid or Medicare Part B for the manufacturer’s covered outpatient drugs.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Federal law requires that any company that participates in the Medicaid Drug Rebate Program also participate in the Public Health Service’s 340B drug pricing program (the“340B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final regulation issued by HRSA regarding the calculation of the 340B ceiling price and the imposition of civil monetary penalties on manufacturers that knowingly and intentionally overcharge covered entities has affected manufacturer obligations and potential liability under the 340B program. Any charge by HRSA that a manufacturer has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can be appealed to a federal court. An ADR proceeding could subject a manufacturer to onerous procedural requirements and could result in additional liability. HRSA also implemented a price reporting system under which manufacturers are required to report 340B ceiling prices on a quarterly basis to HRSA, which then publishes those prices to 340B covered entities. In addition, legislation could be passed, that would further expand the 340B program to additional covered entities, or participating manufacturers could be required to agree to provide 340B discounted pricing on drugs used in an inpatient setting.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order to be eligible to have their products paid for with federal funds under the Medicaid and Medicare Part B programs and purchased by certain federal agencies (U.S. Department of Veterans Affairs “VA”), Department of Defense (“DoD”), Coast Guard, and Public Health Service (“PHS”)) and grantees, manufacturers must participate in the VA Federal Supply Schedule “FSS”) pricing program.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(“CPIU”)). In addition, in the second and subsequent year, the price also is capped at prior year FSS contract plus CPIU. Manufacturers must also participate in the Tricare Retail Pharmacy Program, under which they pay quarterly rebates to DoD for prescriptions of innovator drugs dispensed to Tricare beneficiaries through Tricare Retail network pharmacies. The governing statute provides for civil monetary penalties for failure to provide information timely or for knowing submission of false information to the government.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Medicare Part D generally provides coverage to enrolled Medicare patients for self-administered drugs (</w:t>
      </w:r>
      <w:r>
        <w:rPr>
          <w:rFonts w:ascii="Times New Roman" w:hAnsi="Times New Roman"/>
          <w:i/>
          <w:color w:val="000000"/>
          <w:sz w:val="20"/>
          <w:shd w:fill="FFFFFF" w:val="clear"/>
        </w:rPr>
        <w:t>i.e.</w:t>
      </w:r>
      <w:r>
        <w:rPr>
          <w:rFonts w:ascii="Times New Roman" w:hAnsi="Times New Roman"/>
          <w:color w:val="000000"/>
          <w:sz w:val="20"/>
          <w:shd w:fill="FFFFFF" w:val="clear"/>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rebates. In addition, manufacturers are required to provide to CMS a 70% discount on brand name prescription drugs utilized by Medicare Part D beneficiaries when those beneficiaries are in the coverage gap phase of the Part D benefit design. If a manufacturer fails to provide these discounts, civil monetary penalties can be applied in the amount of 125% of the discount that was due. Congress could enact legislation that sunsets this discount program and replaces it with a new manufacturer discount program. Congress further could enact a Medicare Part D inflation rebate, under which manufacturers would owe additional rebates if the average manufacturer price of a drug were to increase faster than the pace of inflation.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Congress also could enact a drug price negotiation program under which the prices for certain high Medicare spend single source drugs would be capped by reference to the non-FAMP price. This or any other legislative change could impact the market conditions for our products. We further expect continued scrutiny on government price reporting from Congress, federal agencies, and other bodies.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Group health plans, health insurance issuers, health maintenance organizations, other healthcare payors,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cost-sharing. These payors may not cover or adequately reimburse for use of our products or may do so at levels that disadvantage them relative to competitive products. 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w:t>
      </w:r>
      <w:r>
        <w:rPr>
          <w:rFonts w:ascii="Times New Roman" w:hAnsi="Times New Roman"/>
          <w:i/>
          <w:color w:val="000000"/>
          <w:sz w:val="20"/>
          <w:shd w:fill="FFFFFF" w:val="clear"/>
        </w:rPr>
        <w:t>i.e.</w:t>
      </w:r>
      <w:r>
        <w:rPr>
          <w:rFonts w:ascii="Times New Roman" w:hAnsi="Times New Roman"/>
          <w:color w:val="000000"/>
          <w:sz w:val="20"/>
          <w:shd w:fill="FFFFFF" w:val="clear"/>
        </w:rPr>
        <w:t>,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 Recently, several states also have enacted or are considering legislation intended to make drug prices more transparent and deter significant price increases that impose reporting requirements on biopharmaceutical companies. These laws may affect our future sales, marketing, and other promotional activities by imposing administrative and compliance burdens. Such laws also typically impose significant civil monetary penalties for each instance of reporting noncompliance that can quickly aggregate into millions of dollars.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U.S. Healthcare Reform</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containment of healthcare costs has become a priority of Federal and state governments, and the prices of drugs have been a focus in this effort. Changes in government legislation or regulation and changes in private third-party payors’ policies toward reimbursement for our products, if successfully developed and approved, may reduce reimbursement of our products’ costs to physicians, pharmacies, patients and distributors. The U.S. government, state legislatures and foreign governments have shown significant interest in implementing cost-containment programs, including price controls, payment of rebates, restrictions on reimbursement and requirements for substitution of generic products. Adoption of price controls and cost-containment measures, and adoption of more restrictive policies in jurisdictions with existing controls and measures, could limit our net revenue and results for products, if any, we commercialize in the future.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pricing and reimbursement environment for our products may change in the future and become more challenging due to state and federal healthcare reform measures. The American Recovery and Reinvestment Act of 2009 (“ARRA”), for example, allocated new federal funding to compare the effectiveness of different treatments for the same condition.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ARRA does not mandate the use of the results of comparative effectiveness studies for reimbursement purposes, it is not clear what effect, if any, the research will have on the sales of any products for which we receive marketing approval or on the reimbursement policies of public and private payors. It is possible that comparative effectiveness research demonstrating benefits in a competitor’s product could adversely affect the sales of any product for which we receive marketing approval. For example, if third-party payors find our products not to be cost-effective compared to other available therapies, they may not cover our products after approval as a benefit under their plans or, if they do, the level of payment may not be sufficient to allow us to sell our products on a profitable basis.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ACA is a sweeping measure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This law has substantially changed the way healthcare is financed by both governmental and private insurers and has significantly impacted the pharmaceutical industry.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Medicaid Drug Rebate Program, expansion of the Public Health Service Act’s 340B drug pricing program, or 340B program, and fraud and abuse enforcement. These changes have impacted previously existing government healthcare programs and have resulted in the development of new programs, including Medicare payment for performance initiatives and improvements to the Medicare physician quality reporting system and feedback program.</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One of the goals of ACA was to expand coverage for the uninsured while at the same time containing overall healthcare costs. With regard to pharmaceutical products, among other things, the ACA increased minimum rebates a manufacturer must pay under the Medicaid Drug Rebate Program and extended manufacturers’ Medicaid rebate liability to drugs dispensed to individuals who are enrolled in Medicaid managed care organizations. The ACA also requires manufacturers of drugs, devices, biologics, and medical supplies for which payment is available under Medicare, Medicaid or the Children’s Health Insurance Program (with certain exceptions) to report annually to CMS information related to certain direct or indirect payments and other transfers of value to U.S.-licensed physicians, physician assistants, nurse practitioners, clinical nurse specialists, certified nurse anesthetists and certified nurse-midwives and to U.S. teaching hospitals, as well as ownership and investment interests held in the company by physicians and their immediate family members. Failure to submit required information may result in civil monetary penalties of $1,000 to $10,000 for each payment or ownership interest that is not timely, accurately, or completely reported (annual maximum of $150,000), and $10,000 to $100,000 for each knowing failure to report (annual maximum of $1 million) (for an aggregate annual maximum of $1,150,000).</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Some states have elected not to expand their Medicaid programs by raising the income limit to 133% of the federal poverty level, as is permitted under the ACA. For each state that does not choose to expand its Medicaid program, there may be fewer insured patients overall, which could impact sales of our products that are approved and that we successfully commercialize, and our business and financial condition. Where Medicaid patients receive insurance coverage under any of the new options made available through the ACA, the possibility exists that manufacturers may be required to pay Medicaid rebates on drugs used under these circumstances, a decision that could impact manufacturer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Certain provisions of the ACA have been subject to judicial challenges as well as efforts to modify them or to alter their interpretation or implementation. For example, Congress eliminated, starting January 1, 2019, the tax penalty for not complying with the ACA’s individual mandate to carry health insurance. Further, the Bipartisan Budget Act of 2018, among other things, amended the Medicare statute to reduce the coverage gap in most Medicare drugs plans, commonly known as the “donut hole,” by raising the required manufacturer point-of-sale discount from 50% to 70% off the negotiated price effective as of January 1, 2019. Additional legislative changes, regulatory changes, and judicial challenges related to the ACA remain possible, but the nature and extent of such potential changes or challenges are uncertain at this time. It is unclear how the ACA and its implementation, as well as efforts to modify or invalidate the ACA, or portions thereof, or its implementation, will affect our business, financial condition and results of operations. It is possible that the ACA, as currently enacted or as it may be amended in the future, and other healthcare reform measures that may be adopted in the future could have a material adverse effect on our industry generally and on our ability to maintain or increase sales of our products or product candidates for which we receive regulatory approval or to successfully commercialize our products and product candidates.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Other legislative changes related to reimbursement have been adopted in the U.S. since the ACA was enacted.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2031 (with the exception of a temporary suspension from May 1, 2020 through March 31, 2022, due to the COVID-19 pandemic). The law provides for 1% Medicare sequestration in the second quarter of 2022 and allows the full 2% sequestration thereafter until 2031. As long as these cuts remain in effect, they could adversely impact payment for any products we may commercialize in the future.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Additional legislative changes, regulatory changes, or guidance could be adopted, which may impact the marketing approvals and reimbursement for our product candidates. For example, there has been increasing legislative, regulatory, and enforcement interest in the United States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assistance and support programs, potentially permit government negotiation of Medicare pricing with manufacturers relative to certain international prices paid, and reform government healthcare program reimbursement methodologies for drug products. If healthcare policies or reforms intended to curb healthcare costs are adopted or if we experience negative publicity with respect to pricing of our products or the pricing of pharmaceutical drugs generally, the prices that we charge for any approved products may be limited, our commercial opportunity may be limited and/or our revenues from sales of our products may be negatively impacted.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It is possible that the ACA, as currently enacted or may be amended in the future, as well as other healthcare reform measures that may be adopted in the future, may result in additional reductions in Medicare and other healthcare funding, more rigorous coverage criteria and new payment methodologies and in additional downward pressure on coverage and payment and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We cannot be sure whether additional legislative changes will be enacted in the U.S. or outside the U.S., or whether regulatory changes, guidance or interpretations will be changed, or what the impact of such changes on the marketing approvals of our product candidates, if any, may be.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Anti-Fraud and Abuse Laws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(“remuneration”)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The Beneficiary Inducement Civil Monetary Penalties Law imposes similar restrictions on interactions between pharmaceutical manufacturers and federal healthcare program beneficiaries. Although there are a number of statutory exemptions and regulatory safe harbors protecting certain common manufacturer business arrangements and activities from prosecution and administrative sanction, the exceptions and safe harbors are drawn narrowly and are subject to regulatory revision or changes in interpretation by the U.S. Department of Justice (“DOJ”), and the Office of Inspector General of the U.S. Department of Health and Human Services (“OIG”). Recent regulations eliminate the discount safe harbor protection for manufacturer rebates paid directly, or indirectly through a Pharmacy Benefit Manager (“PBM”) to Medicare Part D or Medicare Advantage plans. Recent legislation and a final rule promulgated on December 29, 2023 delayed implementation of this portion of the 2020 final rule until January 1, 2032. Practices or arrangements that involve remuneration may be subject to scrutiny if they do not qualify for an exception or safe harbor. Failure to meet all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Several courts have interpreted the statute’s intent requirement to mean that if any one purpose of an arrangement involving remuneration is to induce or reward referrals of federal healthcare program business, including purchases of products paid by federal healthcare programs, the statute has been violated. Violations of the federal Anti-Kickback Statute may be established without providing specific intent to violate the statute, and may be punishable by civil, criminal, and administrative fines and penalties, damages, imprisonment, and/or exclusion from participation in federal healthcare programs.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Federal civil False Claims Act (“FCA”) prohibits, among other things, any person from knowingly presenting, or causing to be presented, a false or fraudulent claim for payment of federal funds, or knowingly making, or causing to be made, a false statement to get a false claim paid, or knowingly and improperly avoiding, decreasing or concealing an obligation to pay money to the federal government. A claim includes “any request or demand” for money or property presented to the U.S. government. The FCA has been used to assert liability on the basis of improper referrals, improperly reported government pricing metrics such as Best Price or Average Manufacturer Price, improper use of Medicare provider or supplier numbers when detailing a provider of services, improper promotion of off-label uses not expressly approved by the FDA in a product’s label, and allegations as to misrepresentations with respect to products, contractual requirements, and services rendered. In addition, private payers have been filing follow-on lawsuits alleging fraudulent misrepresentation, although establishing liability and damages in these cases is more difficult than under the FCA. Intent to deceive or actual knowledge of falsity is not required to establish liability under the FCA. Rather, a claim may be false for deliberate ignorance of the truth or falsity of the information provided or for acts in reckless disregard of the truth or falsity of that information. A claim resulting from a violation of the federal Anti-Kickback Statute constitutes a per se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 For these reasons, since 2004, False Claims Act lawsuits against pharmaceutical companies have increased significantly in volume and breadth, leading to several substantial civil and criminal settlements, as much as $3.0 billion, regarding certain sales practices and promoting off label uses.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FCA, requires proof of intent to submit a false claim.</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Pharmaceutical companies are subject to other federal false claim and statements laws, some of which extend to non-government health benefit programs. For example, the healthcare fraud provisions under the Health Insurance Portability and Accountability Act of 1996 and its implementing regulations, or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fines, penalties and damages, including exclusion from participation in federal healthcare programs.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majority of states have adopted analogous laws and regulations, including state anti-kickback and false claims laws, that may apply to our business practices, including but not limited to, research, distribution, sales and marketing arrangements and claims involving healthcare items or services reimbursed by any third-party payer, including private insurers. Other states have adopted laws and regulations that, among other things, require pharmaceutical companies to comply with the pharmaceutical industry’s voluntary compliance guidelines with respect to interactions with healthcare professionals and the relevant compliance program guidance promulgated by the U.S. Federal government that otherwise restrict payments that may be made to healthcare professionals and other potential referral sources, and that require drug manufacturers to file reports related to pricing and marketing information, which requires tracking price increases and gifts and other remuneration and items of value provided to healthcare professionals and entities. In addition, some jurisdictions have laws requiring pharmaceutical sales representatives to be registered or licensed, and still others impose limits on co-pay assistance that pharmaceutical companies can offer to patients.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Federal Physician Payment Sunshine Act requires tracking of certain payments and transfers of value to U.S.-licensed physicians, physician assistants, nurse practitioners, clinical nurse specialists, certified nurse anesthetists and certified nurse-midwives and to U.S. teaching hospitals, and ownership interests held by physicians and their families, and reporting to the federal government and public disclosure by the federal government of this data.</w:t>
      </w:r>
    </w:p>
    <w:p>
      <w:pPr>
        <w:pStyle w:val="TextBody"/>
        <w:bidi w:val="0"/>
        <w:spacing w:before="0" w:after="0"/>
        <w:ind w:left="0" w:right="0" w:firstLine="72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Data Protection and Privacy</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Throughout the clinical trial process, we may obtain the private health information of our trial subjects. There are a number of state, federal and international laws protecting the privacy and security of health information and personal data. The Healthcare Information Portability and Accountability Act of 1996 (“HIPAA”) imposes privacy, security, breach reporting obligations, and mandatory contractual terms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civil and criminal penalties if we, our affiliates, or our agents use or disclose protected health information maintained by a HIPAA-covered entity in a manner that is not authorized or permitted by HIPAA.</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Even when HIPAA does not apply, according to the Federal Trade Commission (“FTC”)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but less prescriptive than, what is required by the HIPAA Security Rule. Enforcement by the FTC under the FTC Act can result in civil penalties or enforcement actions.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All states have laws requiring notification of affected individuals and state regulators (breach notification laws) in the event of a breach of personal information. Some state laws impose significant data security requirements, such as encryption, to ensure ongoing protection of personal information. Additionally, in California, the California Consumer Privacy Act (“CCPA”) establishes certain requirements for data use and sharing transparency and creates new data privacy rights for California residents. The CCPA and its implementing regulations have already been amended multiple times since their enactment.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became effective on January 1, 2023. Failure to comply with the CCPA may result in, among other things, significant civil penalties and injunctive relief, or statutory or actual damages. In addition, California residents have the right to bring a private right of action in connection with certain types of security incidents. These claims may result in significant liability and damages. Virginia, Colorado, Connecticut and Utah have also enacted privacy laws that became effective in 2023 and are similar in many respects to the CCPA.</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Activities outside of the U.S. implicate local and national data protection standards, impose additional compliance requirements and generate additional risks of enforcement for non-compliance. For example, the European Union’s General Data Protection Regulation (“GDPR”), which imposes fines of up to EUR 20 million or 4% of the annual global revenue of a noncompliant company, whichever is greater, and other data protection, privacy and similar national, state/provincial and local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Environmental, Social and Governance (“ESG”)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Code of Ethics and Business Conduct states that employees should strive to conserve resources and reduce water consumption and emissions through recycling and other energy conservation measures. Employees are responsible for promptly reporting any known or suspected violations of environmental laws or any events that may result in a discharge or emissions of hazardous materials. We manufacture, market and develop specialty biologics for the prevention and treatment of infectious diseases in the immune compromised and other patients at risk for infection, and, as such, we consider our environmental impact to be low. These activities do not include either industrial production or distribution, and therefore do not use raw materials that would result in significant releases into the environment or greenhouse gas emissions from our manufacturing emissions. Further, our activities do not produce any particular noise nuisance for staff or neighboring tenants or residents as well as wildlife surrounding our facilities and offices. Annual electricity and water consumption are monitored and factored into our sustainable resource practices.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Waste Management Policy</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objective of our waste management policy is to identify and mitigate risks and hazards with the aim of achieving zero incidents, zero injuries, and zero spills or environmental harm. We are dedicated to the safe handling and management of all non-hazardous and hazardous materials, and all employees are responsible for appropriate waste management.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dedicated to high environmental standards and expect all employees to be familiar with and comply with the contents of this policy. We are committed to providing a safe and healthy work environment. We comply with all applicable laws, regulations, and requirements associated with our environmental obligations and impact. We strive for the continual improvement of all environmental impacts associated with our operations. We are committed to the prevention of pollution in all aspects of our business activities, as well as a sustainable approach to the development and provision of our products and services.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Social</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actively sponsor and participate in industry-related charitable events on a local and national level and encourage our employees to actively participate and volunteer their time and participation. We actively support and fund initiatives designed to improve the communities in which we operate and where our employees and stakeholders reside.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Governance</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pursue fair employment practices in every aspect of our business. We strive to ensure and are extremely proud that our Board and our employee base is diverse and consists of individuals of varying gender, origin, sexual orientation and backgrounds with various and relevant career experience, relevant technical skills, education, industry knowledge and experience and possess local or community 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Employees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we had a total of 624 employees, all of whom are full-time. Over the course of the next year, we anticipate hiring additional full-time employees devoted to compliance, production, quality assurance, quality control, plasma collection and processing, sales and marketing, medical and scientific affairs and administration, as well as hiring additional staff for our plasma collection centers as appropriate. We use Clinical Research Organizations (“CROs”), third parties and consultants to perform our post-marketing commitment clinical studies and other process and/or analytical development projects to augment our in-house capabilities and staff.</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Corporate Information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ADMA Biologics, Inc. was founded on June 24, 2004 as a New Jersey corporation and re-incorporated in Delaware on July 16, 2007. We operate through our wholly-owned subsidiaries ADMA BioManufacturing, ADMA BioCenters and ADMA Plasma Biologics. ADMA BioManufacturing was formed in January 2017 to facilitate the acquisition of certain assets held by the Company’s then-third-party contract manufacturer. ADMA BioCenters is the Company’s source plasma collection business which operates in the U.S. Each of ADMA’s ten operational plasma collection centers have a license with the FDA and may obtain additional certifications from other regulatory agencies.</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maintain our headquarters at 465 State Route 17, Ramsey, NJ 07446. Our telephone number is (201) 478-5552. Our Florida campus is located at 5800 Park of Commerce Boulevard, Northwest, Boca Raton, FL 33487. The Florida telephone number is (561) 989-5800. We maintain a website at www.admabiologics.com; however, the information on, or that can be accessed through, our website is not part of this Annual Report on Form 10-K. This Annual Report and all of our filings under the Exchange Act, including copies of Annual Reports on Form 10-K, Quarterly Reports on Form 10-Q, Current Reports on Form 8-K, and any amendments to those reports, are available free of charge through our website on the date we file those materials with, or furnish them to, the U.S. Securities and Exchange Commission (the “SEC”). Such filings are also available to the public on the SEC’s website at www.sec.gov.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 w:name="Item1A."/>
      <w:bookmarkStart w:id="4" w:name="Item1A."/>
      <w:bookmarkEnd w:id="4"/>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0"/>
              <w:jc w:val="left"/>
              <w:rPr>
                <w:b/>
              </w:rPr>
            </w:pPr>
            <w:r>
              <w:rPr>
                <w:b/>
              </w:rPr>
              <w:t>Item 1A.</w:t>
            </w:r>
          </w:p>
        </w:tc>
        <w:tc>
          <w:tcPr>
            <w:tcW w:w="1325"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Summary of Risk Factors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have a history of losses and we may, in the future, need to raise additional capital to operate our business, which may not be available on favorable terms, if at all.</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Although we achieved net income on a non-GAAP basis and generated positive cash flows for the year ended December 31, 2023 for the first time, we may not be able to achieve profitability and generate positive cashflows in the future.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Both of our business segments and our facilities are subject to periodic inspections by the FDA, which, depending on the outcome of such inspections, could result in certain FDA actions, including the issuance of observations, notices, citations, warning letters or other enforcement actions.</w:t>
            </w:r>
          </w:p>
        </w:tc>
      </w:tr>
    </w:tbl>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0"/>
              <w:jc w:val="left"/>
              <w:rPr/>
            </w:pPr>
            <w:r>
              <w:rPr/>
              <w:t>Business interruptions could adversely affect our business.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With the approval to market ASCENIV, BIVIGAM and Nabi-HB, there can be no assurance that we will be successful in further developing and expanding commercial operations or balancing our research and development activities with our commercialization activities.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depend on third-party researchers, developers and vendors to develop, manufacture, supply materials for or test our products and product candidates, and such parties are outside of our control.</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may be unable to successfully expand our manufacturing processes to fulfill demand for our products or increase our production capabilities through the addition of new equipment, including if we do not obtain requisite approval from the FDA.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Historically, a few customers have accounted for a significant amount of our total revenue and accounts receivable and the loss of any of these customers could have a material adverse effect on our business, results of operations and financial condition.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Issues with product quality and compliance could have a material adverse effect upon our business, subject us to regulatory actions and cause a loss of customer confidence in us or our products.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physicians, payers and patients do not accept and use our current products or our future product candidates, our ability to generate revenue from these products will be materially impaired.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ADMA BioCenters operations collect information from donors in the U.S. that subjects us to consumer and health privacy laws, which could create enforcement and litigation exposure if we fail to meet their requirements.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senior secured credit facility with Ares Capital Corporation and certain of its affiliates (“Ares”) is subject to acceleration in specified circumstances, which may result in Ares taking possession and disposing of any collateral.</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we are unable to protect our patents, trade secrets or other proprietary rights, if our patents are challenged or if our provisional patent applications do not get approved, our competitiveness and business prospects may be materially damaged.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Cyberattacks and other security breaches could compromise our proprietary and confidential information, which could harm our business and reputation.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continue to produce safe and effective products depends on the safety of our plasma supply, testing by third parties and the timing of receiving the testing results, and the manufacturing processes we have in place to counter transmittable diseases.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could become supply-constrained and our financial performance would suffer if we cannot obtain adequate quantities of FDA-approved source plasma with proper specifications or other necessary raw materials.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market price of our common stock may be volatile and may fluctuate in a way that is disproportionate to our operating performance.</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 Factors</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Relating to our Business</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To date, we have a history of losses and have historically needed to raise, and in the future may be required to raise, additional capital to operate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long-term liquidity depends upon our ability to grow our commercial programs, expand our commercial operations at the Boca Facility, improve our supply-chain capabilities, improve production yields,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currently anticipate, based upon our projected revenue and expenditures, that our current cash, cash equivalents and accounts receivable, along with our projected future operating cash flow, will be sufficient to fund our operations, as currently conducted, through the end of the first quarter of fiscal 2025. However, our current outlook on cash flows and profitability may change based upon how quickly we are able to execute on our commercialization efforts and operational initiatives and whether or not the assumptions underlying our projected revenues and expenses are correct. Although we achieved net income on a non-GAAP basis (see “Non-GAAP Financial Measures” within Management’s Discussion and Analysis of Financial Condition and Results of Operations) and positive cash flow from operations for the first time in our history for the year ended December 31, 2023, at present we cannot be certain that we will be able to generate a sufficient amount of product revenue to maintain profitability through 2024 and beyond. If we are unable to generate sufficient positive cash flow throughout 2024 and cannot raise additional capital if needed, we may have to delay, curtail or eliminate our commercialization efforts and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Historically, the major source of our cash has been from proceeds from various public offerings of our common stock and debt transactions. The actual amount of additional cash that we may need, if any, is subject to many factors. There can be no assurances that additional financing will be available if needed or that management will be able to obtain financing on terms acceptable to us or that we will continue to be profitable and generate positive operating cash flow.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achieve profitability in 2024 and beyond.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a history of losses through December 31, 2023, and we may not be able to achieve profitability. For the years ended December 31, 2023, 2022 and 2021, we incurred net losses of $28.2 million, $65.9 million and $71.6 million, respectively. From our inception in 2004 through December 31, 2023, we have incurred an accumulated deficit of $506.3 million. We may not be able to generate a sufficient amount of product revenue to achieve profitability throughout 2024, and if we are unable to continue to generate positive cash flow we may need to continue to finance our operations through additional equity or debt financings or corporate collaboration and licensing agreements. We also expect to continue to incur significant operating and capital expenditures and anticipate that as our business continues to grow our operating expenses will increase accordingly as we:</w:t>
      </w:r>
    </w:p>
    <w:p>
      <w:pPr>
        <w:pStyle w:val="TextBody"/>
        <w:bidi w:val="0"/>
        <w:spacing w:before="0" w:after="0"/>
        <w:jc w:val="left"/>
        <w:rPr/>
      </w:pPr>
      <w:r>
        <w:rPr/>
      </w:r>
    </w:p>
    <w:tbl>
      <w:tblPr>
        <w:tblW w:w="4788" w:type="dxa"/>
        <w:jc w:val="left"/>
        <w:tblInd w:w="0" w:type="dxa"/>
        <w:tblLayout w:type="fixed"/>
        <w:tblCellMar>
          <w:top w:w="0" w:type="dxa"/>
          <w:left w:w="0" w:type="dxa"/>
          <w:bottom w:w="0" w:type="dxa"/>
          <w:right w:w="0" w:type="dxa"/>
        </w:tblCellMar>
      </w:tblPr>
      <w:tblGrid>
        <w:gridCol w:w="38"/>
        <w:gridCol w:w="110"/>
        <w:gridCol w:w="46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0"/>
              <w:jc w:val="left"/>
              <w:rPr/>
            </w:pPr>
            <w:r>
              <w:rPr/>
              <w:t>expand commercialization and marketing efforts;</w:t>
            </w:r>
          </w:p>
        </w:tc>
      </w:tr>
    </w:tbl>
    <w:p>
      <w:pPr>
        <w:pStyle w:val="TextBody"/>
        <w:bidi w:val="0"/>
        <w:spacing w:before="0" w:after="0"/>
        <w:ind w:left="540" w:right="0" w:hanging="540"/>
        <w:jc w:val="left"/>
        <w:rPr/>
      </w:pPr>
      <w:r>
        <w:rPr/>
      </w:r>
    </w:p>
    <w:tbl>
      <w:tblPr>
        <w:tblW w:w="6363" w:type="dxa"/>
        <w:jc w:val="left"/>
        <w:tblInd w:w="0" w:type="dxa"/>
        <w:tblLayout w:type="fixed"/>
        <w:tblCellMar>
          <w:top w:w="0" w:type="dxa"/>
          <w:left w:w="0" w:type="dxa"/>
          <w:bottom w:w="0" w:type="dxa"/>
          <w:right w:w="0" w:type="dxa"/>
        </w:tblCellMar>
      </w:tblPr>
      <w:tblGrid>
        <w:gridCol w:w="38"/>
        <w:gridCol w:w="110"/>
        <w:gridCol w:w="6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0"/>
              <w:jc w:val="left"/>
              <w:rPr/>
            </w:pPr>
            <w:r>
              <w:rPr/>
              <w:t>implement additional internal systems, controls and infrastructure;</w:t>
            </w:r>
          </w:p>
        </w:tc>
      </w:tr>
    </w:tbl>
    <w:p>
      <w:pPr>
        <w:pStyle w:val="TextBody"/>
        <w:bidi w:val="0"/>
        <w:spacing w:before="0" w:after="0"/>
        <w:ind w:left="540" w:right="0" w:hanging="540"/>
        <w:jc w:val="left"/>
        <w:rPr/>
      </w:pPr>
      <w:r>
        <w:rPr/>
      </w:r>
    </w:p>
    <w:tbl>
      <w:tblPr>
        <w:tblW w:w="2973" w:type="dxa"/>
        <w:jc w:val="left"/>
        <w:tblInd w:w="0" w:type="dxa"/>
        <w:tblLayout w:type="fixed"/>
        <w:tblCellMar>
          <w:top w:w="0" w:type="dxa"/>
          <w:left w:w="0" w:type="dxa"/>
          <w:bottom w:w="0" w:type="dxa"/>
          <w:right w:w="0" w:type="dxa"/>
        </w:tblCellMar>
      </w:tblPr>
      <w:tblGrid>
        <w:gridCol w:w="38"/>
        <w:gridCol w:w="110"/>
        <w:gridCol w:w="28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pPr>
            <w:r>
              <w:rPr/>
              <w:t>hire additional personnel; and</w:t>
            </w:r>
          </w:p>
        </w:tc>
      </w:tr>
    </w:tbl>
    <w:p>
      <w:pPr>
        <w:pStyle w:val="TextBody"/>
        <w:bidi w:val="0"/>
        <w:spacing w:before="0" w:after="0"/>
        <w:jc w:val="left"/>
        <w:rPr/>
      </w:pPr>
      <w:r>
        <w:rPr/>
      </w:r>
    </w:p>
    <w:tbl>
      <w:tblPr>
        <w:tblW w:w="5080" w:type="dxa"/>
        <w:jc w:val="left"/>
        <w:tblInd w:w="0" w:type="dxa"/>
        <w:tblLayout w:type="fixed"/>
        <w:tblCellMar>
          <w:top w:w="0" w:type="dxa"/>
          <w:left w:w="0" w:type="dxa"/>
          <w:bottom w:w="0" w:type="dxa"/>
          <w:right w:w="0" w:type="dxa"/>
        </w:tblCellMar>
      </w:tblPr>
      <w:tblGrid>
        <w:gridCol w:w="375"/>
        <w:gridCol w:w="110"/>
        <w:gridCol w:w="4595"/>
      </w:tblGrid>
      <w:tr>
        <w:trPr/>
        <w:tc>
          <w:tcPr>
            <w:tcW w:w="375" w:type="dxa"/>
            <w:tcBorders/>
            <w:vAlign w:val="center"/>
          </w:tcPr>
          <w:p>
            <w:pPr>
              <w:pStyle w:val="TableContents"/>
              <w:bidi w:val="0"/>
              <w:spacing w:before="0" w:after="283"/>
              <w:ind w:left="0" w:right="0" w:firstLine="360"/>
              <w:jc w:val="left"/>
              <w:rPr/>
            </w:pPr>
            <w:r>
              <w:rPr/>
            </w:r>
          </w:p>
        </w:tc>
        <w:tc>
          <w:tcPr>
            <w:tcW w:w="11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0"/>
              <w:jc w:val="left"/>
              <w:rPr/>
            </w:pPr>
            <w:r>
              <w:rPr/>
              <w:t>expand production capacity at the Boca Facility.</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a result, we will need to generate significant revenues in order to maintain profitability. We may not be able to generate these revenues or maintain profitability in the future.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Pandemics, or a resurgence of a pandemic, may adversely affect our business, financial condition, liquidity or results of operations.</w:t>
      </w:r>
    </w:p>
    <w:p>
      <w:pPr>
        <w:pStyle w:val="TextBody"/>
        <w:bidi w:val="0"/>
        <w:spacing w:before="0" w:after="0"/>
        <w:jc w:val="left"/>
        <w:rPr>
          <w:b/>
          <w:i/>
        </w:rPr>
      </w:pPr>
      <w:r>
        <w:rPr>
          <w:b/>
          <w:i/>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COVID-19 pandemic negatively impacted certain aspects of our business and operations. The resurgence of the COVID-19 pandemic, or a future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uncertain and difficult to predict.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contract with third parties for a portion of the filling, packaging, testing and labeling of the drug substance we manufacture, and also obtain plasma from certain third parties. This reliance on third parties carries the risk that the services upon which we rely may not be performed in a timely manner, in sufficient quantities or according to our specifications, which could delay the availability of our finished drug product and could adversely affect our commercialization efforts and our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services and products meeting the necessary quality standards or at all could have a material and adverse effect on our products, business, financial condition and results from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Although we are utilizing our FDA-approved fill/finish suite that we built at the Boca Facility for a portion of our finished drug product and although we receive our raw material plasma from our ADMA BioCenters plasma collection facilities, we also intend to continue to utilize third parties to supplement our fill/finish process for final drug product and to supply raw material source and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anticipated reliance on a limited number of third-party manufacturers exposes us to the following risks: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we may be unable to identify contractors on acceptable terms or at all because the number of potential service providers is limited and the FDA must inspect and qualify any contract manufacturers for current cGMP compliance as part of our marketing application;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a new fill/finisher would have to be educated in, or develop substantially equivalent processes for, the production of our products and product candidates;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a pandemic, or the resurgence of a pandemic such as the COVID-19 pandemic, could adversely affect our contracted fill/finishers’ operations, supply chain or workforce;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our third-party contractors might be unable to timely provide finished drug product or raw material plasma in sufficient quantity to meet our commercial needs;</w:t>
            </w:r>
          </w:p>
        </w:tc>
      </w:tr>
    </w:tbl>
    <w:p>
      <w:pPr>
        <w:pStyle w:val="TextBody"/>
        <w:bidi w:val="0"/>
        <w:spacing w:before="0" w:after="0"/>
        <w:jc w:val="left"/>
        <w:rPr/>
      </w:pPr>
      <w:r>
        <w:rPr/>
      </w:r>
    </w:p>
    <w:tbl>
      <w:tblPr>
        <w:tblW w:w="9340" w:type="dxa"/>
        <w:jc w:val="left"/>
        <w:tblInd w:w="0" w:type="dxa"/>
        <w:tblLayout w:type="fixed"/>
        <w:tblCellMar>
          <w:top w:w="0" w:type="dxa"/>
          <w:left w:w="0" w:type="dxa"/>
          <w:bottom w:w="0" w:type="dxa"/>
          <w:right w:w="0" w:type="dxa"/>
        </w:tblCellMar>
      </w:tblPr>
      <w:tblGrid>
        <w:gridCol w:w="125"/>
        <w:gridCol w:w="9215"/>
      </w:tblGrid>
      <w:tr>
        <w:trPr/>
        <w:tc>
          <w:tcPr>
            <w:tcW w:w="125"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0"/>
              <w:jc w:val="left"/>
              <w:rPr/>
            </w:pPr>
            <w:r>
              <w:rPr/>
              <w:t>contractors may not be able to execute our inspection procedures and required tests appropriately;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contractors are subject to ongoing periodic unannounced inspection by the FDA and corresponding state agencies to ensure strict compliance with cGMP and other government regulations, and we do not have control over third-party providers’ compliance with these regulations;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w:t>
            </w:r>
          </w:p>
        </w:tc>
      </w:tr>
    </w:tbl>
    <w:p>
      <w:pPr>
        <w:pStyle w:val="TextBody"/>
        <w:bidi w:val="0"/>
        <w:spacing w:before="0" w:after="0"/>
        <w:jc w:val="left"/>
        <w:rPr/>
      </w:pPr>
      <w:r>
        <w:rPr/>
      </w:r>
    </w:p>
    <w:tbl>
      <w:tblPr>
        <w:tblW w:w="6925" w:type="dxa"/>
        <w:jc w:val="left"/>
        <w:tblInd w:w="0" w:type="dxa"/>
        <w:tblLayout w:type="fixed"/>
        <w:tblCellMar>
          <w:top w:w="0" w:type="dxa"/>
          <w:left w:w="0" w:type="dxa"/>
          <w:bottom w:w="0" w:type="dxa"/>
          <w:right w:w="0" w:type="dxa"/>
        </w:tblCellMar>
      </w:tblPr>
      <w:tblGrid>
        <w:gridCol w:w="125"/>
        <w:gridCol w:w="6800"/>
      </w:tblGrid>
      <w:tr>
        <w:trPr/>
        <w:tc>
          <w:tcPr>
            <w:tcW w:w="125"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0"/>
              <w:jc w:val="left"/>
              <w:rPr/>
            </w:pPr>
            <w:r>
              <w:rPr/>
              <w:t>our third parties could breach or terminate their agreements with us;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our contract fill/finishers may have unacceptable or inconsistent drug product quality success rates and yields, and we have no direct control over our contract fill/finishers’ ability to maintain adequate quality control, quality assurance and qualified personnel.</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Each of these risks could delay or prevent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an </w:t>
      </w:r>
      <w:r>
        <w:rPr>
          <w:rFonts w:ascii="Times New Roman" w:hAnsi="Times New Roman"/>
          <w:i/>
          <w:color w:val="000000"/>
          <w:sz w:val="20"/>
          <w:shd w:fill="FFFFFF" w:val="clear"/>
        </w:rPr>
        <w:t>S. pneumonia</w:t>
      </w:r>
      <w:r>
        <w:rPr>
          <w:rFonts w:ascii="Times New Roman" w:hAnsi="Times New Roman"/>
          <w:color w:val="000000"/>
          <w:sz w:val="20"/>
          <w:shd w:fill="FFFFFF" w:val="clear"/>
        </w:rPr>
        <w:t xml:space="preserve"> hyperimmune globulin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Geopolitical conditions, war, terrorism or other military actions may have a material adverse effect on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ongoing conflicts in the Middle East and the surrounding areas could have a broader impact that extends into other markets where we do business. We are unable to predict geopolitical conditions, whether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or warning letters.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and our suppliers and contractors may be unable to comply with our specifications, cGMP requirements and with other FDA, state, and foreign regulatory requirements for commercial and clinical supply. The FDA and other regulatory authorities are authorized to perform inspections and remote regulatory assessments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i/>
          <w:color w:val="000000"/>
          <w:sz w:val="20"/>
          <w:shd w:fill="FFFFFF" w:val="clear"/>
        </w:rPr>
        <w:t>Business interruptions could adversely affect our business</w:t>
      </w:r>
      <w:r>
        <w:rPr>
          <w:rFonts w:ascii="Times New Roman" w:hAnsi="Times New Roman"/>
          <w:b/>
          <w:color w:val="000000"/>
          <w:sz w:val="20"/>
          <w:shd w:fill="FFFFFF" w:val="clear"/>
        </w:rPr>
        <w: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cyberattacks on our operations and information technology systems and breakdown, human error, employee issues, global health occurrences such as the COVID-19 pandemic, global and economic uncertainty, war,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commencement and completion of clinical trials or ultimate product approval for any current or future development product candidate may be delayed by several factors, including:</w:t>
      </w:r>
    </w:p>
    <w:p>
      <w:pPr>
        <w:pStyle w:val="TextBody"/>
        <w:bidi w:val="0"/>
        <w:spacing w:before="0" w:after="0"/>
        <w:jc w:val="left"/>
        <w:rPr/>
      </w:pPr>
      <w:r>
        <w:rPr/>
      </w:r>
    </w:p>
    <w:tbl>
      <w:tblPr>
        <w:tblW w:w="2508" w:type="dxa"/>
        <w:jc w:val="left"/>
        <w:tblInd w:w="0" w:type="dxa"/>
        <w:tblLayout w:type="fixed"/>
        <w:tblCellMar>
          <w:top w:w="0" w:type="dxa"/>
          <w:left w:w="0" w:type="dxa"/>
          <w:bottom w:w="0" w:type="dxa"/>
          <w:right w:w="0" w:type="dxa"/>
        </w:tblCellMar>
      </w:tblPr>
      <w:tblGrid>
        <w:gridCol w:w="38"/>
        <w:gridCol w:w="110"/>
        <w:gridCol w:w="23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0"/>
              <w:jc w:val="left"/>
              <w:rPr/>
            </w:pPr>
            <w:r>
              <w:rPr/>
              <w:t>unforeseen safety issues;</w:t>
            </w:r>
          </w:p>
        </w:tc>
      </w:tr>
    </w:tbl>
    <w:p>
      <w:pPr>
        <w:pStyle w:val="TextBody"/>
        <w:bidi w:val="0"/>
        <w:spacing w:before="0" w:after="0"/>
        <w:ind w:left="540" w:right="0" w:hanging="540"/>
        <w:jc w:val="left"/>
        <w:rPr/>
      </w:pPr>
      <w:r>
        <w:rPr/>
      </w:r>
    </w:p>
    <w:tbl>
      <w:tblPr>
        <w:tblW w:w="3093" w:type="dxa"/>
        <w:jc w:val="left"/>
        <w:tblInd w:w="0" w:type="dxa"/>
        <w:tblLayout w:type="fixed"/>
        <w:tblCellMar>
          <w:top w:w="0" w:type="dxa"/>
          <w:left w:w="0" w:type="dxa"/>
          <w:bottom w:w="0" w:type="dxa"/>
          <w:right w:w="0" w:type="dxa"/>
        </w:tblCellMar>
      </w:tblPr>
      <w:tblGrid>
        <w:gridCol w:w="38"/>
        <w:gridCol w:w="110"/>
        <w:gridCol w:w="29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0"/>
              <w:jc w:val="left"/>
              <w:rPr/>
            </w:pPr>
            <w:r>
              <w:rPr/>
              <w:t>determination of dosing issues;</w:t>
            </w:r>
          </w:p>
        </w:tc>
      </w:tr>
    </w:tbl>
    <w:p>
      <w:pPr>
        <w:pStyle w:val="TextBody"/>
        <w:bidi w:val="0"/>
        <w:spacing w:before="0" w:after="0"/>
        <w:ind w:left="540" w:right="0" w:hanging="540"/>
        <w:jc w:val="left"/>
        <w:rPr/>
      </w:pPr>
      <w:r>
        <w:rPr/>
      </w:r>
    </w:p>
    <w:tbl>
      <w:tblPr>
        <w:tblW w:w="7818" w:type="dxa"/>
        <w:jc w:val="left"/>
        <w:tblInd w:w="0" w:type="dxa"/>
        <w:tblLayout w:type="fixed"/>
        <w:tblCellMar>
          <w:top w:w="0" w:type="dxa"/>
          <w:left w:w="0" w:type="dxa"/>
          <w:bottom w:w="0" w:type="dxa"/>
          <w:right w:w="0" w:type="dxa"/>
        </w:tblCellMar>
      </w:tblPr>
      <w:tblGrid>
        <w:gridCol w:w="38"/>
        <w:gridCol w:w="110"/>
        <w:gridCol w:w="76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0"/>
              <w:jc w:val="left"/>
              <w:rPr/>
            </w:pPr>
            <w:r>
              <w:rPr/>
              <w:t>lack of safety or effectiveness, or other adverse study results during clinical trials;</w:t>
            </w:r>
          </w:p>
        </w:tc>
      </w:tr>
    </w:tbl>
    <w:p>
      <w:pPr>
        <w:pStyle w:val="TextBody"/>
        <w:bidi w:val="0"/>
        <w:spacing w:before="0" w:after="0"/>
        <w:ind w:left="540" w:right="0" w:hanging="540"/>
        <w:jc w:val="left"/>
        <w:rPr/>
      </w:pPr>
      <w:r>
        <w:rPr/>
      </w:r>
    </w:p>
    <w:tbl>
      <w:tblPr>
        <w:tblW w:w="9468" w:type="dxa"/>
        <w:jc w:val="left"/>
        <w:tblInd w:w="0" w:type="dxa"/>
        <w:tblLayout w:type="fixed"/>
        <w:tblCellMar>
          <w:top w:w="0" w:type="dxa"/>
          <w:left w:w="0" w:type="dxa"/>
          <w:bottom w:w="0" w:type="dxa"/>
          <w:right w:w="0" w:type="dxa"/>
        </w:tblCellMar>
      </w:tblPr>
      <w:tblGrid>
        <w:gridCol w:w="38"/>
        <w:gridCol w:w="110"/>
        <w:gridCol w:w="93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0"/>
              <w:jc w:val="left"/>
              <w:rPr/>
            </w:pPr>
            <w:r>
              <w:rPr/>
              <w:t>slower than expected rates of patient recruitment or noncompliance with clinical trial requirements;</w:t>
            </w:r>
          </w:p>
        </w:tc>
      </w:tr>
    </w:tbl>
    <w:p>
      <w:pPr>
        <w:pStyle w:val="TextBody"/>
        <w:bidi w:val="0"/>
        <w:spacing w:before="0" w:after="0"/>
        <w:ind w:left="540" w:right="0" w:hanging="54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6648" w:type="dxa"/>
        <w:jc w:val="left"/>
        <w:tblInd w:w="0" w:type="dxa"/>
        <w:tblLayout w:type="fixed"/>
        <w:tblCellMar>
          <w:top w:w="0" w:type="dxa"/>
          <w:left w:w="0" w:type="dxa"/>
          <w:bottom w:w="0" w:type="dxa"/>
          <w:right w:w="0" w:type="dxa"/>
        </w:tblCellMar>
      </w:tblPr>
      <w:tblGrid>
        <w:gridCol w:w="38"/>
        <w:gridCol w:w="110"/>
        <w:gridCol w:w="65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0"/>
              <w:jc w:val="left"/>
              <w:rPr/>
            </w:pPr>
            <w:r>
              <w:rPr/>
              <w:t>inability to monitor patients adequately during or after treatment; and</w:t>
            </w:r>
          </w:p>
        </w:tc>
      </w:tr>
    </w:tbl>
    <w:p>
      <w:pPr>
        <w:pStyle w:val="TextBody"/>
        <w:bidi w:val="0"/>
        <w:spacing w:before="0" w:after="0"/>
        <w:ind w:left="540" w:right="0" w:hanging="540"/>
        <w:jc w:val="left"/>
        <w:rPr/>
      </w:pPr>
      <w:r>
        <w:rPr/>
      </w:r>
    </w:p>
    <w:tbl>
      <w:tblPr>
        <w:tblW w:w="7878" w:type="dxa"/>
        <w:jc w:val="left"/>
        <w:tblInd w:w="0" w:type="dxa"/>
        <w:tblLayout w:type="fixed"/>
        <w:tblCellMar>
          <w:top w:w="0" w:type="dxa"/>
          <w:left w:w="0" w:type="dxa"/>
          <w:bottom w:w="0" w:type="dxa"/>
          <w:right w:w="0" w:type="dxa"/>
        </w:tblCellMar>
      </w:tblPr>
      <w:tblGrid>
        <w:gridCol w:w="38"/>
        <w:gridCol w:w="110"/>
        <w:gridCol w:w="77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pPr>
            <w:r>
              <w:rPr/>
              <w:t>inability or unwillingness of medical investigators to follow our clinical protocols.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the results of our clinical trials do not support our product candidate claims, completing the development of such product candidate may be significantly delayed or we may be forced to abandon development of such product candidate altogether.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Other issues that may impact our clinical trials and that could delay or prevent our ability to receive marketing approval or commercialize our product candidates,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Delays in reaching, or failure to reach, agreement on acceptable clinical trial contracts or clinical trial protocols with prospective trial sites and our CROs;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Regulators requiring us to perform additional or unanticipated clinical trials to obtain approval or becoming subject to additional post-marketing testing, surveillance, or REMS requirements to maintain regulatory approval;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Failure by our third-party contractors to comply with regulatory requirements or the clinical trial protocol, or meet their contractual obligations to us in a timely manner, or at all, or our being required to engage in additional clinical trial site monitoring;</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cost of clinical trials of our product candidates being greater than we anticipate or our having insufficient funds for a clinical trial or to pay the substantial user fees required by FDA upon the filing of a marketing application;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Insufficient supply or inadequate quality of our product candidates or other materials necessary to conduct clinical trials;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Inability to achieve sufficient study enrollment, subjects dropping out or withdrawing from our studies, delays in adding new investigators or clinical trial sites or a withdrawal of clinical trial sites;</w:t>
            </w:r>
          </w:p>
        </w:tc>
      </w:tr>
    </w:tbl>
    <w:p>
      <w:pPr>
        <w:pStyle w:val="TextBody"/>
        <w:bidi w:val="0"/>
        <w:spacing w:before="0" w:after="0"/>
        <w:jc w:val="left"/>
        <w:rPr/>
      </w:pPr>
      <w:r>
        <w:rPr/>
      </w:r>
    </w:p>
    <w:tbl>
      <w:tblPr>
        <w:tblW w:w="9048" w:type="dxa"/>
        <w:jc w:val="left"/>
        <w:tblInd w:w="0" w:type="dxa"/>
        <w:tblLayout w:type="fixed"/>
        <w:tblCellMar>
          <w:top w:w="0" w:type="dxa"/>
          <w:left w:w="0" w:type="dxa"/>
          <w:bottom w:w="0" w:type="dxa"/>
          <w:right w:w="0" w:type="dxa"/>
        </w:tblCellMar>
      </w:tblPr>
      <w:tblGrid>
        <w:gridCol w:w="38"/>
        <w:gridCol w:w="110"/>
        <w:gridCol w:w="89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0"/>
              <w:jc w:val="left"/>
              <w:rPr/>
            </w:pPr>
            <w:r>
              <w:rPr/>
              <w:t>Flaws in our clinical trial design that are not discoverable until the clinical trial has progressed;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need to make changes to our product candidates that require additional testing or that cause our product candidates to perform differently than expected;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Global trade policies that may impact our ability to obtain raw materials and/or finished product for commercialization;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FDA or comparable regulatory authorities taking longer than we anticipate to make decisions on our products or product candidates;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Potential inability to demonstrate that a product or product candidate provides an advantage over current standards of care or current or future competitive therapies in development.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new contract manufacturing arrangements with third parties and revenues generated from the sales of manufacturing intermediates. We cannot assure you that we will receive the approvals necessary to commercialize any product candidate we may acquire or develop in the future or that we will be able to maintain our current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8838" w:type="dxa"/>
        <w:jc w:val="left"/>
        <w:tblInd w:w="0" w:type="dxa"/>
        <w:tblLayout w:type="fixed"/>
        <w:tblCellMar>
          <w:top w:w="0" w:type="dxa"/>
          <w:left w:w="0" w:type="dxa"/>
          <w:bottom w:w="0" w:type="dxa"/>
          <w:right w:w="0" w:type="dxa"/>
        </w:tblCellMar>
      </w:tblPr>
      <w:tblGrid>
        <w:gridCol w:w="38"/>
        <w:gridCol w:w="110"/>
        <w:gridCol w:w="86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0"/>
              <w:jc w:val="left"/>
              <w:rPr/>
            </w:pPr>
            <w:r>
              <w:rPr/>
              <w:t>delay commercialization of, and our ability to derive revenues from, our product candidates;</w:t>
            </w:r>
          </w:p>
        </w:tc>
      </w:tr>
    </w:tbl>
    <w:p>
      <w:pPr>
        <w:pStyle w:val="TextBody"/>
        <w:bidi w:val="0"/>
        <w:spacing w:before="0" w:after="0"/>
        <w:ind w:left="540" w:right="0" w:hanging="540"/>
        <w:jc w:val="left"/>
        <w:rPr/>
      </w:pPr>
      <w:r>
        <w:rPr/>
      </w:r>
    </w:p>
    <w:tbl>
      <w:tblPr>
        <w:tblW w:w="3603" w:type="dxa"/>
        <w:jc w:val="left"/>
        <w:tblInd w:w="0" w:type="dxa"/>
        <w:tblLayout w:type="fixed"/>
        <w:tblCellMar>
          <w:top w:w="0" w:type="dxa"/>
          <w:left w:w="0" w:type="dxa"/>
          <w:bottom w:w="0" w:type="dxa"/>
          <w:right w:w="0" w:type="dxa"/>
        </w:tblCellMar>
      </w:tblPr>
      <w:tblGrid>
        <w:gridCol w:w="38"/>
        <w:gridCol w:w="110"/>
        <w:gridCol w:w="34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0"/>
              <w:jc w:val="left"/>
              <w:rPr/>
            </w:pPr>
            <w:r>
              <w:rPr/>
              <w:t>impose costly procedures on us; and</w:t>
            </w:r>
          </w:p>
        </w:tc>
      </w:tr>
    </w:tbl>
    <w:p>
      <w:pPr>
        <w:pStyle w:val="TextBody"/>
        <w:bidi w:val="0"/>
        <w:spacing w:before="0" w:after="0"/>
        <w:ind w:left="540" w:right="0" w:hanging="540"/>
        <w:jc w:val="left"/>
        <w:rPr/>
      </w:pPr>
      <w:r>
        <w:rPr/>
      </w:r>
    </w:p>
    <w:tbl>
      <w:tblPr>
        <w:tblW w:w="6498" w:type="dxa"/>
        <w:jc w:val="left"/>
        <w:tblInd w:w="0" w:type="dxa"/>
        <w:tblLayout w:type="fixed"/>
        <w:tblCellMar>
          <w:top w:w="0" w:type="dxa"/>
          <w:left w:w="0" w:type="dxa"/>
          <w:bottom w:w="0" w:type="dxa"/>
          <w:right w:w="0" w:type="dxa"/>
        </w:tblCellMar>
      </w:tblPr>
      <w:tblGrid>
        <w:gridCol w:w="38"/>
        <w:gridCol w:w="110"/>
        <w:gridCol w:w="6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0"/>
              <w:jc w:val="left"/>
              <w:rPr/>
            </w:pPr>
            <w:r>
              <w:rPr/>
              <w:t>diminish any competitive advantages that we may otherwise enjoy.</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 titer-plasma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depend on third-party researchers, developers and vendors to develop, manufacture or test products and product candidates, as well as for other pre -and-post approval services, and such parties’ performance is, to some extent, outside of our control.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and maintain approval for our product candidates.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be unable to successfully expand our manufacturing processes to fulfill demand for our products or</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increase our production capabilities through the addition of new equipment, including if we do not obtain requisite approval from the FDA.</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currently anticipate expanding the manufacturing capacity and product output capability of our Boca Facility. Following the expansion of any of our manufacturing processes or the addition of new equipment, such as our fill-finish machine, we will need to validate the expanded facility and equipment, make the necessary submissions to FDA, obtain any FDA-required approvals and have it inspected by the FDA. Given the significant delays that may result during the validation process, we may experience a supply shortage of our products or our production capabilities may be limited until completion of and validation of our facility expansion and new manufacturing equipment.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pStyle w:val="TextBody"/>
        <w:bidi w:val="0"/>
        <w:spacing w:before="0" w:after="0"/>
        <w:jc w:val="both"/>
        <w:rPr/>
      </w:pPr>
      <w:r>
        <w:rPr/>
      </w:r>
    </w:p>
    <w:tbl>
      <w:tblPr>
        <w:tblW w:w="5568" w:type="dxa"/>
        <w:jc w:val="left"/>
        <w:tblInd w:w="0" w:type="dxa"/>
        <w:tblLayout w:type="fixed"/>
        <w:tblCellMar>
          <w:top w:w="0" w:type="dxa"/>
          <w:left w:w="0" w:type="dxa"/>
          <w:bottom w:w="0" w:type="dxa"/>
          <w:right w:w="0" w:type="dxa"/>
        </w:tblCellMar>
      </w:tblPr>
      <w:tblGrid>
        <w:gridCol w:w="38"/>
        <w:gridCol w:w="110"/>
        <w:gridCol w:w="54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0"/>
              <w:jc w:val="left"/>
              <w:rPr/>
            </w:pPr>
            <w:r>
              <w:rPr/>
              <w:t>restrictions on such products or manufacturing processes;</w:t>
            </w:r>
          </w:p>
        </w:tc>
      </w:tr>
    </w:tbl>
    <w:p>
      <w:pPr>
        <w:pStyle w:val="TextBody"/>
        <w:bidi w:val="0"/>
        <w:spacing w:before="0" w:after="0"/>
        <w:ind w:left="720" w:right="0" w:hanging="720"/>
        <w:jc w:val="left"/>
        <w:rPr/>
      </w:pPr>
      <w:r>
        <w:rPr/>
      </w:r>
    </w:p>
    <w:tbl>
      <w:tblPr>
        <w:tblW w:w="5178" w:type="dxa"/>
        <w:jc w:val="left"/>
        <w:tblInd w:w="0" w:type="dxa"/>
        <w:tblLayout w:type="fixed"/>
        <w:tblCellMar>
          <w:top w:w="0" w:type="dxa"/>
          <w:left w:w="0" w:type="dxa"/>
          <w:bottom w:w="0" w:type="dxa"/>
          <w:right w:w="0" w:type="dxa"/>
        </w:tblCellMar>
      </w:tblPr>
      <w:tblGrid>
        <w:gridCol w:w="38"/>
        <w:gridCol w:w="110"/>
        <w:gridCol w:w="50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0"/>
              <w:jc w:val="left"/>
              <w:rPr/>
            </w:pPr>
            <w:r>
              <w:rPr/>
              <w:t>restrictions on the labeling or marketing of a product;</w:t>
            </w:r>
          </w:p>
        </w:tc>
      </w:tr>
    </w:tbl>
    <w:p>
      <w:pPr>
        <w:pStyle w:val="TextBody"/>
        <w:bidi w:val="0"/>
        <w:spacing w:before="0" w:after="0"/>
        <w:ind w:left="720" w:right="0" w:hanging="720"/>
        <w:jc w:val="left"/>
        <w:rPr/>
      </w:pPr>
      <w:r>
        <w:rPr/>
      </w:r>
    </w:p>
    <w:tbl>
      <w:tblPr>
        <w:tblW w:w="4098" w:type="dxa"/>
        <w:jc w:val="left"/>
        <w:tblInd w:w="0" w:type="dxa"/>
        <w:tblLayout w:type="fixed"/>
        <w:tblCellMar>
          <w:top w:w="0" w:type="dxa"/>
          <w:left w:w="0" w:type="dxa"/>
          <w:bottom w:w="0" w:type="dxa"/>
          <w:right w:w="0" w:type="dxa"/>
        </w:tblCellMar>
      </w:tblPr>
      <w:tblGrid>
        <w:gridCol w:w="38"/>
        <w:gridCol w:w="110"/>
        <w:gridCol w:w="39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0"/>
              <w:jc w:val="left"/>
              <w:rPr/>
            </w:pPr>
            <w:r>
              <w:rPr/>
              <w:t>restrictions on product distribution or use;</w:t>
            </w:r>
          </w:p>
        </w:tc>
      </w:tr>
    </w:tbl>
    <w:p>
      <w:pPr>
        <w:pStyle w:val="TextBody"/>
        <w:bidi w:val="0"/>
        <w:spacing w:before="0" w:after="0"/>
        <w:jc w:val="left"/>
        <w:rPr/>
      </w:pPr>
      <w:r>
        <w:rPr/>
      </w:r>
    </w:p>
    <w:tbl>
      <w:tblPr>
        <w:tblW w:w="4368" w:type="dxa"/>
        <w:jc w:val="left"/>
        <w:tblInd w:w="0" w:type="dxa"/>
        <w:tblLayout w:type="fixed"/>
        <w:tblCellMar>
          <w:top w:w="0" w:type="dxa"/>
          <w:left w:w="0" w:type="dxa"/>
          <w:bottom w:w="0" w:type="dxa"/>
          <w:right w:w="0" w:type="dxa"/>
        </w:tblCellMar>
      </w:tblPr>
      <w:tblGrid>
        <w:gridCol w:w="38"/>
        <w:gridCol w:w="110"/>
        <w:gridCol w:w="42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0"/>
              <w:jc w:val="left"/>
              <w:rPr/>
            </w:pPr>
            <w:r>
              <w:rPr/>
              <w:t>clinical holds or termination of clinical trials;</w:t>
            </w:r>
          </w:p>
        </w:tc>
      </w:tr>
    </w:tbl>
    <w:p>
      <w:pPr>
        <w:pStyle w:val="TextBody"/>
        <w:bidi w:val="0"/>
        <w:spacing w:before="0" w:after="0"/>
        <w:ind w:left="720" w:right="0" w:hanging="72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requirements to conduct further post-marketing studies or clinical trials, implement risk mitigation strategies, or to issue corrective information;</w:t>
            </w:r>
          </w:p>
        </w:tc>
      </w:tr>
    </w:tbl>
    <w:p>
      <w:pPr>
        <w:pStyle w:val="TextBody"/>
        <w:bidi w:val="0"/>
        <w:spacing w:before="0" w:after="0"/>
        <w:ind w:left="720" w:right="0" w:hanging="720"/>
        <w:jc w:val="left"/>
        <w:rPr/>
      </w:pPr>
      <w:r>
        <w:rPr/>
      </w:r>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0"/>
              <w:jc w:val="left"/>
              <w:rPr/>
            </w:pPr>
            <w:r>
              <w:rPr/>
              <w:t>warning letters or untitled letters;</w:t>
            </w:r>
          </w:p>
        </w:tc>
      </w:tr>
    </w:tbl>
    <w:p>
      <w:pPr>
        <w:pStyle w:val="TextBody"/>
        <w:bidi w:val="0"/>
        <w:spacing w:before="0" w:after="0"/>
        <w:ind w:left="720" w:right="0" w:hanging="720"/>
        <w:jc w:val="left"/>
        <w:rPr/>
      </w:pPr>
      <w:r>
        <w:rPr/>
      </w:r>
    </w:p>
    <w:tbl>
      <w:tblPr>
        <w:tblW w:w="4338" w:type="dxa"/>
        <w:jc w:val="left"/>
        <w:tblInd w:w="0" w:type="dxa"/>
        <w:tblLayout w:type="fixed"/>
        <w:tblCellMar>
          <w:top w:w="0" w:type="dxa"/>
          <w:left w:w="0" w:type="dxa"/>
          <w:bottom w:w="0" w:type="dxa"/>
          <w:right w:w="0" w:type="dxa"/>
        </w:tblCellMar>
      </w:tblPr>
      <w:tblGrid>
        <w:gridCol w:w="38"/>
        <w:gridCol w:w="110"/>
        <w:gridCol w:w="41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0"/>
              <w:jc w:val="left"/>
              <w:rPr/>
            </w:pPr>
            <w:r>
              <w:rPr/>
              <w:t>withdrawal of the products from the market;</w:t>
            </w:r>
          </w:p>
        </w:tc>
      </w:tr>
    </w:tbl>
    <w:p>
      <w:pPr>
        <w:pStyle w:val="TextBody"/>
        <w:bidi w:val="0"/>
        <w:spacing w:before="0" w:after="0"/>
        <w:ind w:left="720" w:right="0" w:hanging="720"/>
        <w:jc w:val="left"/>
        <w:rPr/>
      </w:pPr>
      <w:r>
        <w:rPr/>
      </w:r>
    </w:p>
    <w:tbl>
      <w:tblPr>
        <w:tblW w:w="9243" w:type="dxa"/>
        <w:jc w:val="left"/>
        <w:tblInd w:w="0" w:type="dxa"/>
        <w:tblLayout w:type="fixed"/>
        <w:tblCellMar>
          <w:top w:w="0" w:type="dxa"/>
          <w:left w:w="0" w:type="dxa"/>
          <w:bottom w:w="0" w:type="dxa"/>
          <w:right w:w="0" w:type="dxa"/>
        </w:tblCellMar>
      </w:tblPr>
      <w:tblGrid>
        <w:gridCol w:w="38"/>
        <w:gridCol w:w="110"/>
        <w:gridCol w:w="90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0"/>
              <w:jc w:val="left"/>
              <w:rPr/>
            </w:pPr>
            <w:r>
              <w:rPr/>
              <w:t>refusal to approve pending applications or supplements to approved applications that we submit;</w:t>
            </w:r>
          </w:p>
        </w:tc>
      </w:tr>
    </w:tbl>
    <w:p>
      <w:pPr>
        <w:pStyle w:val="TextBody"/>
        <w:bidi w:val="0"/>
        <w:spacing w:before="0" w:after="0"/>
        <w:ind w:left="720" w:right="0" w:hanging="720"/>
        <w:jc w:val="left"/>
        <w:rPr/>
      </w:pPr>
      <w:r>
        <w:rPr/>
      </w:r>
    </w:p>
    <w:tbl>
      <w:tblPr>
        <w:tblW w:w="1878" w:type="dxa"/>
        <w:jc w:val="left"/>
        <w:tblInd w:w="0" w:type="dxa"/>
        <w:tblLayout w:type="fixed"/>
        <w:tblCellMar>
          <w:top w:w="0" w:type="dxa"/>
          <w:left w:w="0" w:type="dxa"/>
          <w:bottom w:w="0" w:type="dxa"/>
          <w:right w:w="0" w:type="dxa"/>
        </w:tblCellMar>
      </w:tblPr>
      <w:tblGrid>
        <w:gridCol w:w="38"/>
        <w:gridCol w:w="110"/>
        <w:gridCol w:w="17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0"/>
              <w:jc w:val="left"/>
              <w:rPr/>
            </w:pPr>
            <w:r>
              <w:rPr/>
              <w:t>recall of products;</w:t>
            </w:r>
          </w:p>
        </w:tc>
      </w:tr>
    </w:tbl>
    <w:p>
      <w:pPr>
        <w:pStyle w:val="TextBody"/>
        <w:bidi w:val="0"/>
        <w:spacing w:before="0" w:after="0"/>
        <w:ind w:left="720" w:right="0" w:hanging="720"/>
        <w:jc w:val="left"/>
        <w:rPr/>
      </w:pPr>
      <w:r>
        <w:rPr/>
      </w:r>
    </w:p>
    <w:tbl>
      <w:tblPr>
        <w:tblW w:w="4503" w:type="dxa"/>
        <w:jc w:val="left"/>
        <w:tblInd w:w="0" w:type="dxa"/>
        <w:tblLayout w:type="fixed"/>
        <w:tblCellMar>
          <w:top w:w="0" w:type="dxa"/>
          <w:left w:w="0" w:type="dxa"/>
          <w:bottom w:w="0" w:type="dxa"/>
          <w:right w:w="0" w:type="dxa"/>
        </w:tblCellMar>
      </w:tblPr>
      <w:tblGrid>
        <w:gridCol w:w="38"/>
        <w:gridCol w:w="110"/>
        <w:gridCol w:w="43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0"/>
              <w:jc w:val="left"/>
              <w:rPr/>
            </w:pPr>
            <w:r>
              <w:rPr/>
              <w:t>restrictions on coverage by third-party payers;</w:t>
            </w:r>
          </w:p>
        </w:tc>
      </w:tr>
    </w:tbl>
    <w:p>
      <w:pPr>
        <w:pStyle w:val="TextBody"/>
        <w:bidi w:val="0"/>
        <w:spacing w:before="0" w:after="0"/>
        <w:ind w:left="720" w:right="0" w:hanging="720"/>
        <w:jc w:val="left"/>
        <w:rPr/>
      </w:pPr>
      <w:r>
        <w:rPr/>
      </w:r>
    </w:p>
    <w:tbl>
      <w:tblPr>
        <w:tblW w:w="5403" w:type="dxa"/>
        <w:jc w:val="left"/>
        <w:tblInd w:w="0" w:type="dxa"/>
        <w:tblLayout w:type="fixed"/>
        <w:tblCellMar>
          <w:top w:w="0" w:type="dxa"/>
          <w:left w:w="0" w:type="dxa"/>
          <w:bottom w:w="0" w:type="dxa"/>
          <w:right w:w="0" w:type="dxa"/>
        </w:tblCellMar>
      </w:tblPr>
      <w:tblGrid>
        <w:gridCol w:w="38"/>
        <w:gridCol w:w="110"/>
        <w:gridCol w:w="5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0"/>
              <w:jc w:val="left"/>
              <w:rPr/>
            </w:pPr>
            <w:r>
              <w:rPr/>
              <w:t>fines, restitution or disgorgement of profits or revenues;</w:t>
            </w:r>
          </w:p>
        </w:tc>
      </w:tr>
    </w:tbl>
    <w:p>
      <w:pPr>
        <w:pStyle w:val="TextBody"/>
        <w:bidi w:val="0"/>
        <w:spacing w:before="0" w:after="0"/>
        <w:ind w:left="720" w:right="0" w:hanging="720"/>
        <w:jc w:val="left"/>
        <w:rPr/>
      </w:pPr>
      <w:r>
        <w:rPr/>
      </w:r>
    </w:p>
    <w:tbl>
      <w:tblPr>
        <w:tblW w:w="4893" w:type="dxa"/>
        <w:jc w:val="left"/>
        <w:tblInd w:w="0" w:type="dxa"/>
        <w:tblLayout w:type="fixed"/>
        <w:tblCellMar>
          <w:top w:w="0" w:type="dxa"/>
          <w:left w:w="0" w:type="dxa"/>
          <w:bottom w:w="0" w:type="dxa"/>
          <w:right w:w="0" w:type="dxa"/>
        </w:tblCellMar>
      </w:tblPr>
      <w:tblGrid>
        <w:gridCol w:w="38"/>
        <w:gridCol w:w="110"/>
        <w:gridCol w:w="47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0"/>
              <w:jc w:val="left"/>
              <w:rPr/>
            </w:pPr>
            <w:r>
              <w:rPr/>
              <w:t>suspension or withdrawal of marketing approvals;</w:t>
            </w:r>
          </w:p>
        </w:tc>
      </w:tr>
    </w:tbl>
    <w:p>
      <w:pPr>
        <w:pStyle w:val="TextBody"/>
        <w:bidi w:val="0"/>
        <w:spacing w:before="0" w:after="0"/>
        <w:ind w:left="720" w:right="0" w:hanging="720"/>
        <w:jc w:val="left"/>
        <w:rPr/>
      </w:pPr>
      <w:r>
        <w:rPr/>
      </w:r>
    </w:p>
    <w:tbl>
      <w:tblPr>
        <w:tblW w:w="4833" w:type="dxa"/>
        <w:jc w:val="left"/>
        <w:tblInd w:w="0" w:type="dxa"/>
        <w:tblLayout w:type="fixed"/>
        <w:tblCellMar>
          <w:top w:w="0" w:type="dxa"/>
          <w:left w:w="0" w:type="dxa"/>
          <w:bottom w:w="0" w:type="dxa"/>
          <w:right w:w="0" w:type="dxa"/>
        </w:tblCellMar>
      </w:tblPr>
      <w:tblGrid>
        <w:gridCol w:w="38"/>
        <w:gridCol w:w="110"/>
        <w:gridCol w:w="4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0"/>
              <w:jc w:val="left"/>
              <w:rPr/>
            </w:pPr>
            <w:r>
              <w:rPr/>
              <w:t>refusal to permit the import or export of products;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tc>
      </w:tr>
    </w:tbl>
    <w:p>
      <w:pPr>
        <w:pStyle w:val="TextBody"/>
        <w:bidi w:val="0"/>
        <w:spacing w:before="0" w:after="0"/>
        <w:ind w:left="720" w:right="0" w:hanging="720"/>
        <w:jc w:val="left"/>
        <w:rPr/>
      </w:pPr>
      <w:r>
        <w:rPr/>
      </w:r>
    </w:p>
    <w:tbl>
      <w:tblPr>
        <w:tblW w:w="3123" w:type="dxa"/>
        <w:jc w:val="left"/>
        <w:tblInd w:w="0" w:type="dxa"/>
        <w:tblLayout w:type="fixed"/>
        <w:tblCellMar>
          <w:top w:w="0" w:type="dxa"/>
          <w:left w:w="0" w:type="dxa"/>
          <w:bottom w:w="0" w:type="dxa"/>
          <w:right w:w="0" w:type="dxa"/>
        </w:tblCellMar>
      </w:tblPr>
      <w:tblGrid>
        <w:gridCol w:w="38"/>
        <w:gridCol w:w="110"/>
        <w:gridCol w:w="29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product seizure or detention; or</w:t>
            </w:r>
          </w:p>
        </w:tc>
      </w:tr>
    </w:tbl>
    <w:p>
      <w:pPr>
        <w:pStyle w:val="TextBody"/>
        <w:bidi w:val="0"/>
        <w:spacing w:before="0" w:after="0"/>
        <w:ind w:left="720" w:right="0" w:hanging="720"/>
        <w:jc w:val="left"/>
        <w:rPr/>
      </w:pPr>
      <w:r>
        <w:rPr/>
      </w:r>
    </w:p>
    <w:tbl>
      <w:tblPr>
        <w:tblW w:w="6123" w:type="dxa"/>
        <w:jc w:val="left"/>
        <w:tblInd w:w="0" w:type="dxa"/>
        <w:tblLayout w:type="fixed"/>
        <w:tblCellMar>
          <w:top w:w="0" w:type="dxa"/>
          <w:left w:w="0" w:type="dxa"/>
          <w:bottom w:w="0" w:type="dxa"/>
          <w:right w:w="0" w:type="dxa"/>
        </w:tblCellMar>
      </w:tblPr>
      <w:tblGrid>
        <w:gridCol w:w="38"/>
        <w:gridCol w:w="110"/>
        <w:gridCol w:w="59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0"/>
              <w:jc w:val="left"/>
              <w:rPr/>
            </w:pPr>
            <w:r>
              <w:rPr/>
              <w:t>injunctions or the imposition of civil penalties or criminal fines.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Historically, a few customers have accounted for a significant amount of our total revenue and accounts receivable and the loss of any of these customers could have a material adverse effect on our business, results of operations and financial condition.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two customers, BioCARE, Inc. (“BioCare”) and Priority Healthcare Distribution, Inc. d/b/a CuraScript SD Specialty Distribution (“Curascript”), represented an aggregate of 72% of our consolidated revenues. For the year ended December 31, 2022, BioCare and Curascript represented an aggregate of 74% of our consolidated revenues.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five customers, BioCare, Healix Infusion Therapy, LLC (“Healix”), Curascript, AmerisourceBergen Corporation and Reliance Life Sciences Pvt. Ltd., represented an aggregate of approximately 98% of our consolidated accounts receivable. As of December 31, 2022, BioCare and Healix represented an aggregate of 92% of our consolidated accounts receivable.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pStyle w:val="TextBody"/>
        <w:bidi w:val="0"/>
        <w:spacing w:before="0" w:after="0"/>
        <w:jc w:val="left"/>
        <w:rPr/>
      </w:pPr>
      <w:r>
        <w:rPr/>
      </w:r>
    </w:p>
    <w:tbl>
      <w:tblPr>
        <w:tblW w:w="5058" w:type="dxa"/>
        <w:jc w:val="left"/>
        <w:tblInd w:w="0" w:type="dxa"/>
        <w:tblLayout w:type="fixed"/>
        <w:tblCellMar>
          <w:top w:w="0" w:type="dxa"/>
          <w:left w:w="0" w:type="dxa"/>
          <w:bottom w:w="0" w:type="dxa"/>
          <w:right w:w="0" w:type="dxa"/>
        </w:tblCellMar>
      </w:tblPr>
      <w:tblGrid>
        <w:gridCol w:w="38"/>
        <w:gridCol w:w="110"/>
        <w:gridCol w:w="49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0"/>
              <w:jc w:val="left"/>
              <w:rPr/>
            </w:pPr>
            <w:r>
              <w:rPr/>
              <w:t>our ability to sell our products at competitive prices;</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maintain features and quality standards for our products sufficient to meet the expectations of our customers;</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produce and deliver a sufficient quantity of our products in a timely manner to meet our customers’ requirements;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impact of a pandemic, or the resurgence of a pandemic, and government responses thereto on our customers and their businesses, operations and financial condition;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widespread economic conditions or geopolitical conditions, including the exacerbated conflicts in Europe, the Middle East and the surrounding areas.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Additionally, an adverse change in the financial condition of any of our key customers could negatively affect revenue derived from such customer, which in turn could have a material adverse effect on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Issues with product quality and compliance could have a material adverse effect upon our business, subject us to regulatory actions and cause a loss of customer confidence in us or our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patient injury,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physicians, payers and patients do not accept and use our current products or our future product candidates, our ability to generate revenue from these products will be materially impaired.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Even if the FDA approves a product made by us, physicians, payers and patients may not accept and use it. Acceptance and use of our products depends on a number of factors including, but not limited to:</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perceptions by members of the healthcare community, including physicians, about the safety and effectiveness of our products;</w:t>
            </w:r>
          </w:p>
        </w:tc>
      </w:tr>
    </w:tbl>
    <w:p>
      <w:pPr>
        <w:pStyle w:val="TextBody"/>
        <w:bidi w:val="0"/>
        <w:spacing w:before="0" w:after="0"/>
        <w:ind w:left="540" w:right="0" w:hanging="540"/>
        <w:jc w:val="left"/>
        <w:rPr/>
      </w:pPr>
      <w:r>
        <w:rPr/>
      </w:r>
    </w:p>
    <w:tbl>
      <w:tblPr>
        <w:tblW w:w="6318" w:type="dxa"/>
        <w:jc w:val="left"/>
        <w:tblInd w:w="0" w:type="dxa"/>
        <w:tblLayout w:type="fixed"/>
        <w:tblCellMar>
          <w:top w:w="0" w:type="dxa"/>
          <w:left w:w="0" w:type="dxa"/>
          <w:bottom w:w="0" w:type="dxa"/>
          <w:right w:w="0" w:type="dxa"/>
        </w:tblCellMar>
      </w:tblPr>
      <w:tblGrid>
        <w:gridCol w:w="38"/>
        <w:gridCol w:w="110"/>
        <w:gridCol w:w="6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0"/>
              <w:jc w:val="left"/>
              <w:rPr/>
            </w:pPr>
            <w:r>
              <w:rPr/>
              <w:t>cost-effectiveness of our products relative to competing products;</w:t>
            </w:r>
          </w:p>
        </w:tc>
      </w:tr>
    </w:tbl>
    <w:p>
      <w:pPr>
        <w:pStyle w:val="TextBody"/>
        <w:bidi w:val="0"/>
        <w:spacing w:before="0" w:after="0"/>
        <w:ind w:left="540" w:right="0" w:hanging="540"/>
        <w:jc w:val="left"/>
        <w:rPr/>
      </w:pPr>
      <w:r>
        <w:rPr/>
      </w:r>
    </w:p>
    <w:tbl>
      <w:tblPr>
        <w:tblW w:w="9153" w:type="dxa"/>
        <w:jc w:val="left"/>
        <w:tblInd w:w="0" w:type="dxa"/>
        <w:tblLayout w:type="fixed"/>
        <w:tblCellMar>
          <w:top w:w="0" w:type="dxa"/>
          <w:left w:w="0" w:type="dxa"/>
          <w:bottom w:w="0" w:type="dxa"/>
          <w:right w:w="0" w:type="dxa"/>
        </w:tblCellMar>
      </w:tblPr>
      <w:tblGrid>
        <w:gridCol w:w="38"/>
        <w:gridCol w:w="110"/>
        <w:gridCol w:w="90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pPr>
            <w:r>
              <w:rPr/>
              <w:t>availability of reimbursement for our products from government or other healthcare payers; and</w:t>
            </w:r>
          </w:p>
        </w:tc>
      </w:tr>
    </w:tbl>
    <w:p>
      <w:pPr>
        <w:pStyle w:val="TextBody"/>
        <w:bidi w:val="0"/>
        <w:spacing w:before="0" w:after="0"/>
        <w:ind w:left="540" w:right="0" w:hanging="540"/>
        <w:jc w:val="left"/>
        <w:rPr/>
      </w:pPr>
      <w:r>
        <w:rPr/>
      </w:r>
    </w:p>
    <w:tbl>
      <w:tblPr>
        <w:tblW w:w="9678" w:type="dxa"/>
        <w:jc w:val="left"/>
        <w:tblInd w:w="0" w:type="dxa"/>
        <w:tblLayout w:type="fixed"/>
        <w:tblCellMar>
          <w:top w:w="0" w:type="dxa"/>
          <w:left w:w="0" w:type="dxa"/>
          <w:bottom w:w="0" w:type="dxa"/>
          <w:right w:w="0" w:type="dxa"/>
        </w:tblCellMar>
      </w:tblPr>
      <w:tblGrid>
        <w:gridCol w:w="38"/>
        <w:gridCol w:w="110"/>
        <w:gridCol w:w="9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0"/>
              <w:jc w:val="left"/>
              <w:rPr/>
            </w:pPr>
            <w:r>
              <w:rPr/>
              <w:t>the effectiveness of marketing and distribution efforts by us and our licensees and distributors, if any.</w:t>
            </w:r>
          </w:p>
        </w:tc>
      </w:tr>
    </w:tbl>
    <w:p>
      <w:pPr>
        <w:pStyle w:val="TextBody"/>
        <w:bidi w:val="0"/>
        <w:spacing w:before="0" w:after="0"/>
        <w:ind w:left="540" w:right="0" w:hanging="54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failure of our current or future products to find market acceptance would harm our business and could require us to seek additional financing or make such financing difficult to obtain on favorable terms, if at all.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Our current product development portfolio consists primarily of label expansion activities for ASCENIV, as well as expanding our IP estate with patents issued for </w:t>
      </w:r>
      <w:r>
        <w:rPr>
          <w:rFonts w:ascii="Times New Roman" w:hAnsi="Times New Roman"/>
          <w:i/>
          <w:color w:val="000000"/>
          <w:sz w:val="20"/>
          <w:shd w:fill="FFFFFF" w:val="clear"/>
        </w:rPr>
        <w:t>S. Pneumoniae</w:t>
      </w:r>
      <w:r>
        <w:rPr>
          <w:rFonts w:ascii="Times New Roman" w:hAnsi="Times New Roman"/>
          <w:color w:val="000000"/>
          <w:sz w:val="20"/>
          <w:shd w:fill="FFFFFF" w:val="clear"/>
        </w:rPr>
        <w:t xml:space="preserve"> hyperimmune IG. We have initiated small- scale preclinical activities to potentially expand our current portfolio through new product development efforts. If we are not successful in developing or acquiring additional products and product candidates, we will have to depend on our ability to continue to generate revenues from ASCENIV, BIVIGAM, Nabi-HB, contract manufacturing, intermediate fractions and plasma attributable to the operations of ADMA BioCenters to support our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ADMA BioCenters operations collect information from donors in the U.S. that subjects us to consumer and health privacy laws, which could create enforcement and litigation exposure if we fail to meet their requirements.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HIPPAA “covered entities” include health plans/insurers, healthcare providers engaging in HIPPA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(“BAA”) with the service provider that receives PHI on behalf of the entity.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While we are not a covered entity or business associate subject to HIPAA, 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For example, the CCPA was amended by the CPRA,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Ares Credit Facility is subject to acceleration in specified circumstances, which may result in Ares taking possession and disposing of any collateral.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December 18, 2023 (the “Ares Closing Date”), we entered into a new senior secured credit facility with Ares (the “Ares Credit Agreement”) (see “Liquidity and Capital Resources”). The Ares Credit Agreement provides for a total of $135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The Ares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Ares Loans of 2% per annum. The occurrence of an event of default could result in, among other things, the termination of commitments under the Ares Credit Facility, the declaration that all outstanding loans are immediately due and payable in whole or in part, and Ares taking immediate possession of, and selling, any collateral securing the Ares Loans.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Developments by competitors may render our products or technologies obsolete or non-competitive.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unable to protect our patents, trade secrets or other proprietary rights, if our patents are challenged or if our provisional patent applications do not get approved, our competitiveness and business prospects may be materially damaged.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we move forward in clinical development, we continue to discover novel technologies related to our products and we may draft patent applications directed to these technologies.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could lose market exclusivity of a product earlier than expected.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There is no assurance that ASCENIV, or any other of our products for which we are issued a patent, will enjoy market exclusivity for the full time period of the respective patent.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Third parties could obtain patents that may require us to negotiate licenses to conduct our business, and there can be no assurance that the required licenses would be available on reasonable terms or at all.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unable to successfully manage our growth, our business may be harmed.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loss of one or more key members of our management team could adversely affect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Cyberattacks and other security breaches could compromise our proprietary and confidential information, which could harm our business and reputation.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the risk of cybersecurity attacks and data breaches, particularly through phishing attempts, may be increased as we and third parties with whom we interact leverage our IT infrastructure in unanticipated ways.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such as the IT disruption described elsewhere in this report,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unable to hire and retain a substantial number of qualified personnel, our ability to sustain and grow our business may be harmed.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incur substantial liabilities and may be required to limit commercialization of our products in response to product liability lawsuits.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laws governing our conduct in the U.S. are enforceable on the federal, state and local levels by criminal, civil and administrative sanctions. Violations of laws such as the Federal Food, Drug, and Cosmetic Act,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participation in or debarment from federal and state healthcare or government procurement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and a final rule promulgated on December 29, 2023 delayed implementation of this portion of the rule until January 1, 2032.</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been brought against companies accused of promoting off-label uses of drugs, because such promotion induces unapproved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are subject to extensive and rigorous governmental regulation, including the requirement of FDA and other federal, state and local business regulatoryapprovals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Both before and after the approval of our products, our products, operations, facilities, suppliers and CROs are subject to extensive regulation by Federal, state and local governmental authorities in the U.S. and other countries, with regulations differing from country to country. In the U.S.,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approvals. Any failure to receive the marketing approvals necessary to commercialize our products or product candidates could harm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few years, including in December 2018 and January 2019, the U.S. government has shut down several times and certain regulatory agencies, such as the FDA and the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manufacturing processes for plasma-based biologics are complex and involve biological intermediates that are susceptible to contamination and impurities.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ability to continue to produce safe and effective products depends on the safety of our plasma supply, testing by third parties and the timing of receiving the testing results, and manufacturing processes against transmittable diseases.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could become supply-constrained and our financial performance would suffer if we cannot obtain adequate quantities of FDA-approved source and high-titer plasma with proper specifications or other necessary raw materials.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Additionally, although we achieved plasma supply self-sufficiency with the approval of our tenth plasma collection center in November 2023, we remain reliant on the purchase of plasma from third parties and the collection of plasma from our FDA-licensed plasma collection centers to manufacture our products. We can give no assurances that appropriate plasma will be available to us through our own plasma collection facilities or on commercially reasonable terms, or at all, to manufacture our products.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Additionally, our supply contract with Grifols for the purchase of normal source plasma (“NSP”) expired on December 31, 2022 and was not renewed. Although we have executed additional agreements with other third-party suppliers of NSP, we anticipate that the NSP used in IG production in 2024 and beyond will be sourced from our ADMA BioCenters plasma collection facilities. There can be no assurances that we will be able to obtain an adequate supply of NSP from other third-party suppliers or be able to collect NSP in the same quantities, or at all, through our ADMA BioCenters plasma collection facilities at a cost that is not higher than the price we paid to Grifols for NSP. If our costs to obtain NSP through collections at our ADMA BioCenters plasma collection facilities or from other third-party suppliers are higher than what we paid to Grifols under our supply contract, our liquidity and results of operations could be adversely impacted.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biosimilar pathway established as part of healthcare reform may make it easier for competitors to market biosimilar products.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implementation of the Healthcare Reform Law in the U.S. may adversely affect 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Corporate responsibility, specifically related to Environmental, Social and Governance (“ESG”) matters, may impose additional costs and expose us to new risks.</w:t>
      </w:r>
    </w:p>
    <w:p>
      <w:pPr>
        <w:pStyle w:val="TextBody"/>
        <w:bidi w:val="0"/>
        <w:spacing w:before="0" w:after="0"/>
        <w:jc w:val="left"/>
        <w:rPr>
          <w:b/>
          <w:i/>
        </w:rPr>
      </w:pPr>
      <w:r>
        <w:rPr>
          <w:b/>
          <w:i/>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Relating to our Finances, Capital Requirements and Other Financial Matters</w:t>
      </w:r>
    </w:p>
    <w:p>
      <w:pPr>
        <w:pStyle w:val="TextBody"/>
        <w:bidi w:val="0"/>
        <w:spacing w:before="0" w:after="0"/>
        <w:jc w:val="left"/>
        <w:rPr>
          <w:b/>
        </w:rPr>
      </w:pPr>
      <w:r>
        <w:rPr>
          <w:b/>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are unable to continue to generate positive cashflows and net income, we may require additional funding and may be unable to raise capital when needed, which would adversely affect our operations and could force us to delay, curtail or eliminate some of our commercialization efforts or one or more of our research and development programs.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Although we generated positive cash flow from operations for the year ended December 31, 2023, our operations have consumed substantial amounts of cash since inception. While we generated positive cash flow of $8.8 million for the year ended December 31, 2023, for the years ended December 31, 2022 and 2021, we had negative cash flows from operations of $59.5 million and $112.4 million, respectively. We expect to continue to spend substantial amounts for collecting plasma at our plasma collection centers, maintaining our plasma collection centers, procurement of raw material plasma and other raw materials necessary to scale up our manufacturing operations, commercial product launches and capacity expansion at the Boca Facility. In addition, our end-to-end production cycle from collecting and procuring raw material source plasma to commercial release of finished product can take between seven and 12 months or potentially longer, requiring substantial investments in raw material plasma and other manufacturing materials. We had a net loss of $28.2 million for the year ended December 31, 2023 and although we achieved adjusted net income of $0.7 million which, as further described under “Non-GAAP Financial Measures”, excludes charges related to the refinancing of our senior debt of $26.2 million and an IT systems disruption of $2.7 million (see Management’s Discussion and Analysis of Financial Condition and Results of Operations), at present we cannot be certain that we will be able to generate a sufficient amount of product revenue to achieve profitability on an ongoing basis. If we are unable to continue to generate positive cash flow throughout fiscal 2024,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along with our projected future operating cash flow, will be sufficient to fund our operations, as currently conducted, through the first quarter of fiscal 2025. Our current outlook with respect to cash flows and profitability may change based upon how effective we are in continuing to execute on our commercialization efforts and operational initiatives and whether or not the assumptions underlying our projected revenues and expenses are correct. If we are required to raise additional capital and if such capital is not available due to widespread liquidity constraints or significant market instability that could result from widespread economic or geopolitical conditions, we may have to delay, curtail or eliminate our commercialization efforts or our product development activities.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may not have cash available to us in amounts sufficient to enable us to make interest or principal payments on our indebtedness when due.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Ares Credit Facility provides for total senior secured loans in an aggregate principal amount of up to $135.0 million, all of which has been drawn down and is currently outstanding. Borrowings under the Ares Credit Facility currently bear interest at a weighted-average rate of approximately 10.4% per annum, which reflects the three-month term SOFR rate; provided, however, that upon, and during the continuance of, an event of default, the interest rate will automatically increase by an additional 200 basis points. We are currently required to make quarterly payments of interest during the term of the Ares Credit Facility of approximately $3.7 million, with all principal and unpaid interest due at maturity. In addition, our monthly interest rate obligation is subject to rising interest rates. The Ares Credit Facility has a maturity date of December 20, 2027, subject to acceleration pursuant to the Ares Credit Agreement, including upon an event of default. All of our obligations under the Ares Credit Facility are secured by a first-priority lien and security interest in substantially all of our and our subsidiaries’ tangible and intangible assets, including intellectual property, and all of the equity interests in our subsidiaries.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current and projected cash, cash equivalents and accounts receivable may not be sufficient to repay all of our current outstanding debt obligations as they mature. If we are unable to achieve sufficient positive cash flow to repay our outstanding debt obligations as they mature, we will need to obtain additional financing in the amounts necessary to repay our outstanding debt obligations when due. If we are unable to repay our outstanding debt obligations when they mature, our creditors would be able to accelerate all of the amounts due and, in the case of the Ares Credit Facility, seek to enforce their security interests, which could lead to our creditors taking immediate possession of and selling substantially all of our assets with no return provided to our stockholders.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Raising additional funds by issuing securities or through licensing or lending arrangements may cause dilution to our existing stockholders, restrict our operations or require us to relinquish proprietary rights.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cash and cash equivalents could be adversely affected if the financial institutions in which we hold our cash and cash equivalents fail.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will be time-consuming, and there is a risk of noncompliance. Further, the costs associated with the compliance with and implementation of procedures under these and future laws and related rules could have a material impact on our results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controls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ability to use our net operating loss carryforwards (“NOLs”) may be limited.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incurred substantial losses during our history. As of December 31, 2023, we had federal and state NOLs of $315.6 million and $216.4 million, respectively. Federal and state NOLs of approximately $35.6 million and $95.1 million, respectively, will begin to expire at various dates beginning in 2028,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2023 and 2022, we may experience ownership changes in the future as a result of subsequent changes in our stock ownership that we cannot predict or control that could result in further limitations being placed on our ability to utilize our Federal NOLs.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Associated with our Common Stock</w:t>
      </w:r>
    </w:p>
    <w:p>
      <w:pPr>
        <w:pStyle w:val="TextBody"/>
        <w:bidi w:val="0"/>
        <w:spacing w:before="0" w:after="0"/>
        <w:jc w:val="left"/>
        <w:rPr>
          <w:b/>
        </w:rPr>
      </w:pPr>
      <w:r>
        <w:rPr>
          <w:b/>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market price of our common stock may be volatile and may fluctuate in a way that is disproportionate to our operating performance.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stock price may experience substantial volatility as a result of a number of factors, including:</w:t>
      </w:r>
    </w:p>
    <w:p>
      <w:pPr>
        <w:pStyle w:val="TextBody"/>
        <w:bidi w:val="0"/>
        <w:spacing w:before="0" w:after="0"/>
        <w:jc w:val="left"/>
        <w:rPr/>
      </w:pPr>
      <w:r>
        <w:rPr/>
      </w:r>
    </w:p>
    <w:tbl>
      <w:tblPr>
        <w:tblW w:w="6558" w:type="dxa"/>
        <w:jc w:val="left"/>
        <w:tblInd w:w="0" w:type="dxa"/>
        <w:tblLayout w:type="fixed"/>
        <w:tblCellMar>
          <w:top w:w="0" w:type="dxa"/>
          <w:left w:w="0" w:type="dxa"/>
          <w:bottom w:w="0" w:type="dxa"/>
          <w:right w:w="0" w:type="dxa"/>
        </w:tblCellMar>
      </w:tblPr>
      <w:tblGrid>
        <w:gridCol w:w="38"/>
        <w:gridCol w:w="110"/>
        <w:gridCol w:w="6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0"/>
              <w:jc w:val="left"/>
              <w:rPr/>
            </w:pPr>
            <w:r>
              <w:rPr/>
              <w:t>sales or potential sales of substantial amounts of our common stock;</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delay or failure in initiating or completing preclinical or clinical trials or unsatisfactory results of these trials;</w:t>
            </w:r>
          </w:p>
        </w:tc>
      </w:tr>
    </w:tbl>
    <w:p>
      <w:pPr>
        <w:pStyle w:val="TextBody"/>
        <w:bidi w:val="0"/>
        <w:spacing w:before="0" w:after="0"/>
        <w:ind w:left="540" w:right="0" w:hanging="540"/>
        <w:jc w:val="left"/>
        <w:rPr/>
      </w:pPr>
      <w:r>
        <w:rPr/>
      </w:r>
    </w:p>
    <w:tbl>
      <w:tblPr>
        <w:tblW w:w="7143" w:type="dxa"/>
        <w:jc w:val="left"/>
        <w:tblInd w:w="0" w:type="dxa"/>
        <w:tblLayout w:type="fixed"/>
        <w:tblCellMar>
          <w:top w:w="0" w:type="dxa"/>
          <w:left w:w="0" w:type="dxa"/>
          <w:bottom w:w="0" w:type="dxa"/>
          <w:right w:w="0" w:type="dxa"/>
        </w:tblCellMar>
      </w:tblPr>
      <w:tblGrid>
        <w:gridCol w:w="38"/>
        <w:gridCol w:w="110"/>
        <w:gridCol w:w="69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0"/>
              <w:jc w:val="left"/>
              <w:rPr/>
            </w:pPr>
            <w:r>
              <w:rPr/>
              <w:t>delay in a decision by Federal, state or local business regulatory authority;</w:t>
            </w:r>
          </w:p>
        </w:tc>
      </w:tr>
    </w:tbl>
    <w:p>
      <w:pPr>
        <w:pStyle w:val="TextBody"/>
        <w:bidi w:val="0"/>
        <w:spacing w:before="0" w:after="0"/>
        <w:jc w:val="left"/>
        <w:rPr/>
      </w:pPr>
      <w:r>
        <w:rPr/>
      </w:r>
    </w:p>
    <w:tbl>
      <w:tblPr>
        <w:tblW w:w="8928" w:type="dxa"/>
        <w:jc w:val="left"/>
        <w:tblInd w:w="0" w:type="dxa"/>
        <w:tblLayout w:type="fixed"/>
        <w:tblCellMar>
          <w:top w:w="0" w:type="dxa"/>
          <w:left w:w="0" w:type="dxa"/>
          <w:bottom w:w="0" w:type="dxa"/>
          <w:right w:w="0" w:type="dxa"/>
        </w:tblCellMar>
      </w:tblPr>
      <w:tblGrid>
        <w:gridCol w:w="38"/>
        <w:gridCol w:w="110"/>
        <w:gridCol w:w="8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0"/>
              <w:jc w:val="left"/>
              <w:rPr/>
            </w:pPr>
            <w:r>
              <w:rPr/>
              <w:t>the timing of acceptance, third-party reimbursement and sales of BIVIGAM and ASCENIV;</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announcements about us or about our competitors, including clinical trial results, regulatory approvals or new product introductions;</w:t>
            </w:r>
          </w:p>
        </w:tc>
      </w:tr>
    </w:tbl>
    <w:p>
      <w:pPr>
        <w:pStyle w:val="TextBody"/>
        <w:bidi w:val="0"/>
        <w:spacing w:before="0" w:after="0"/>
        <w:ind w:left="540" w:right="0" w:hanging="540"/>
        <w:jc w:val="left"/>
        <w:rPr/>
      </w:pPr>
      <w:r>
        <w:rPr/>
      </w:r>
    </w:p>
    <w:tbl>
      <w:tblPr>
        <w:tblW w:w="6033" w:type="dxa"/>
        <w:jc w:val="left"/>
        <w:tblInd w:w="0" w:type="dxa"/>
        <w:tblLayout w:type="fixed"/>
        <w:tblCellMar>
          <w:top w:w="0" w:type="dxa"/>
          <w:left w:w="0" w:type="dxa"/>
          <w:bottom w:w="0" w:type="dxa"/>
          <w:right w:w="0" w:type="dxa"/>
        </w:tblCellMar>
      </w:tblPr>
      <w:tblGrid>
        <w:gridCol w:w="38"/>
        <w:gridCol w:w="110"/>
        <w:gridCol w:w="58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0"/>
              <w:jc w:val="left"/>
              <w:rPr/>
            </w:pPr>
            <w:r>
              <w:rPr/>
              <w:t>developments concerning our licensors or third-party vendors;</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litigation and other developments relating to our patents or other proprietary rights or those of our competitors;</w:t>
            </w:r>
          </w:p>
        </w:tc>
      </w:tr>
    </w:tbl>
    <w:p>
      <w:pPr>
        <w:pStyle w:val="TextBody"/>
        <w:bidi w:val="0"/>
        <w:spacing w:before="0" w:after="0"/>
        <w:ind w:left="540" w:right="0" w:hanging="540"/>
        <w:jc w:val="left"/>
        <w:rPr/>
      </w:pPr>
      <w:r>
        <w:rPr/>
      </w:r>
    </w:p>
    <w:tbl>
      <w:tblPr>
        <w:tblW w:w="5913" w:type="dxa"/>
        <w:jc w:val="left"/>
        <w:tblInd w:w="0" w:type="dxa"/>
        <w:tblLayout w:type="fixed"/>
        <w:tblCellMar>
          <w:top w:w="0" w:type="dxa"/>
          <w:left w:w="0" w:type="dxa"/>
          <w:bottom w:w="0" w:type="dxa"/>
          <w:right w:w="0" w:type="dxa"/>
        </w:tblCellMar>
      </w:tblPr>
      <w:tblGrid>
        <w:gridCol w:w="38"/>
        <w:gridCol w:w="110"/>
        <w:gridCol w:w="57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0"/>
              <w:jc w:val="left"/>
              <w:rPr/>
            </w:pPr>
            <w:r>
              <w:rPr/>
              <w:t>conditions in the pharmaceutical or biotechnology industries;</w:t>
            </w:r>
          </w:p>
        </w:tc>
      </w:tr>
    </w:tbl>
    <w:p>
      <w:pPr>
        <w:pStyle w:val="TextBody"/>
        <w:bidi w:val="0"/>
        <w:spacing w:before="0" w:after="0"/>
        <w:ind w:left="540" w:right="0" w:hanging="540"/>
        <w:jc w:val="left"/>
        <w:rPr/>
      </w:pPr>
      <w:r>
        <w:rPr/>
      </w:r>
    </w:p>
    <w:tbl>
      <w:tblPr>
        <w:tblW w:w="3963" w:type="dxa"/>
        <w:jc w:val="left"/>
        <w:tblInd w:w="0" w:type="dxa"/>
        <w:tblLayout w:type="fixed"/>
        <w:tblCellMar>
          <w:top w:w="0" w:type="dxa"/>
          <w:left w:w="0" w:type="dxa"/>
          <w:bottom w:w="0" w:type="dxa"/>
          <w:right w:w="0" w:type="dxa"/>
        </w:tblCellMar>
      </w:tblPr>
      <w:tblGrid>
        <w:gridCol w:w="38"/>
        <w:gridCol w:w="110"/>
        <w:gridCol w:w="38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0"/>
              <w:jc w:val="left"/>
              <w:rPr/>
            </w:pPr>
            <w:r>
              <w:rPr/>
              <w:t>governmental regulation and legislation;</w:t>
            </w:r>
          </w:p>
        </w:tc>
      </w:tr>
    </w:tbl>
    <w:p>
      <w:pPr>
        <w:pStyle w:val="TextBody"/>
        <w:bidi w:val="0"/>
        <w:spacing w:before="0" w:after="0"/>
        <w:jc w:val="left"/>
        <w:rPr/>
      </w:pPr>
      <w:r>
        <w:rPr/>
      </w:r>
    </w:p>
    <w:tbl>
      <w:tblPr>
        <w:tblW w:w="2478" w:type="dxa"/>
        <w:jc w:val="left"/>
        <w:tblInd w:w="0" w:type="dxa"/>
        <w:tblLayout w:type="fixed"/>
        <w:tblCellMar>
          <w:top w:w="0" w:type="dxa"/>
          <w:left w:w="0" w:type="dxa"/>
          <w:bottom w:w="0" w:type="dxa"/>
          <w:right w:w="0" w:type="dxa"/>
        </w:tblCellMar>
      </w:tblPr>
      <w:tblGrid>
        <w:gridCol w:w="38"/>
        <w:gridCol w:w="110"/>
        <w:gridCol w:w="23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0"/>
              <w:jc w:val="left"/>
              <w:rPr/>
            </w:pPr>
            <w:r>
              <w:rPr/>
              <w:t>overall market volatility;</w:t>
            </w:r>
          </w:p>
        </w:tc>
      </w:tr>
    </w:tbl>
    <w:p>
      <w:pPr>
        <w:pStyle w:val="TextBody"/>
        <w:bidi w:val="0"/>
        <w:spacing w:before="0" w:after="0"/>
        <w:jc w:val="left"/>
        <w:rPr/>
      </w:pPr>
      <w:r>
        <w:rPr/>
      </w:r>
    </w:p>
    <w:tbl>
      <w:tblPr>
        <w:tblW w:w="3318" w:type="dxa"/>
        <w:jc w:val="left"/>
        <w:tblInd w:w="0" w:type="dxa"/>
        <w:tblLayout w:type="fixed"/>
        <w:tblCellMar>
          <w:top w:w="0" w:type="dxa"/>
          <w:left w:w="0" w:type="dxa"/>
          <w:bottom w:w="0" w:type="dxa"/>
          <w:right w:w="0" w:type="dxa"/>
        </w:tblCellMar>
      </w:tblPr>
      <w:tblGrid>
        <w:gridCol w:w="38"/>
        <w:gridCol w:w="110"/>
        <w:gridCol w:w="31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0"/>
              <w:jc w:val="left"/>
              <w:rPr/>
            </w:pPr>
            <w:r>
              <w:rPr/>
              <w:t>global and economic uncertainty;</w:t>
            </w:r>
          </w:p>
        </w:tc>
      </w:tr>
    </w:tbl>
    <w:p>
      <w:pPr>
        <w:pStyle w:val="TextBody"/>
        <w:bidi w:val="0"/>
        <w:spacing w:before="0" w:after="0"/>
        <w:ind w:left="540" w:right="0" w:hanging="540"/>
        <w:jc w:val="left"/>
        <w:rPr/>
      </w:pPr>
      <w:r>
        <w:rPr/>
      </w:r>
    </w:p>
    <w:tbl>
      <w:tblPr>
        <w:tblW w:w="5733" w:type="dxa"/>
        <w:jc w:val="left"/>
        <w:tblInd w:w="0" w:type="dxa"/>
        <w:tblLayout w:type="fixed"/>
        <w:tblCellMar>
          <w:top w:w="0" w:type="dxa"/>
          <w:left w:w="0" w:type="dxa"/>
          <w:bottom w:w="0" w:type="dxa"/>
          <w:right w:w="0" w:type="dxa"/>
        </w:tblCellMar>
      </w:tblPr>
      <w:tblGrid>
        <w:gridCol w:w="38"/>
        <w:gridCol w:w="110"/>
        <w:gridCol w:w="5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0"/>
              <w:jc w:val="left"/>
              <w:rPr/>
            </w:pPr>
            <w:r>
              <w:rPr/>
              <w:t>variations in our anticipated or actual operating results; and</w:t>
            </w:r>
          </w:p>
        </w:tc>
      </w:tr>
    </w:tbl>
    <w:p>
      <w:pPr>
        <w:pStyle w:val="TextBody"/>
        <w:bidi w:val="0"/>
        <w:spacing w:before="0" w:after="0"/>
        <w:ind w:left="540" w:right="0" w:hanging="540"/>
        <w:jc w:val="left"/>
        <w:rPr/>
      </w:pPr>
      <w:r>
        <w:rPr/>
      </w:r>
    </w:p>
    <w:tbl>
      <w:tblPr>
        <w:tblW w:w="9978" w:type="dxa"/>
        <w:jc w:val="left"/>
        <w:tblInd w:w="0" w:type="dxa"/>
        <w:tblLayout w:type="fixed"/>
        <w:tblCellMar>
          <w:top w:w="0" w:type="dxa"/>
          <w:left w:w="0" w:type="dxa"/>
          <w:bottom w:w="0" w:type="dxa"/>
          <w:right w:w="0" w:type="dxa"/>
        </w:tblCellMar>
      </w:tblPr>
      <w:tblGrid>
        <w:gridCol w:w="38"/>
        <w:gridCol w:w="110"/>
        <w:gridCol w:w="98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0"/>
              <w:jc w:val="left"/>
              <w:rPr/>
            </w:pPr>
            <w:r>
              <w:rPr/>
              <w:t>change in securities analysts’ estimates of our performance, or our failure to meet analysts’ expectations.</w:t>
            </w:r>
          </w:p>
        </w:tc>
      </w:tr>
    </w:tbl>
    <w:p>
      <w:pPr>
        <w:pStyle w:val="TextBody"/>
        <w:bidi w:val="0"/>
        <w:spacing w:before="0" w:after="0"/>
        <w:ind w:left="540" w:right="0" w:hanging="54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Sales of a substantial number of shares of our common stock, or the perception that such sales may occur, may adversely affect the market price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February 23, 2024, most of our 228,220,236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BlackRock Inc., Vanguard Group and our directors and executive officers and their affiliates owned approximately 16%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pStyle w:val="TextBody"/>
        <w:bidi w:val="0"/>
        <w:spacing w:before="0" w:after="0"/>
        <w:jc w:val="left"/>
        <w:rPr/>
      </w:pPr>
      <w:r>
        <w:rPr/>
      </w:r>
    </w:p>
    <w:tbl>
      <w:tblPr>
        <w:tblW w:w="5088" w:type="dxa"/>
        <w:jc w:val="left"/>
        <w:tblInd w:w="0" w:type="dxa"/>
        <w:tblLayout w:type="fixed"/>
        <w:tblCellMar>
          <w:top w:w="0" w:type="dxa"/>
          <w:left w:w="0" w:type="dxa"/>
          <w:bottom w:w="0" w:type="dxa"/>
          <w:right w:w="0" w:type="dxa"/>
        </w:tblCellMar>
      </w:tblPr>
      <w:tblGrid>
        <w:gridCol w:w="38"/>
        <w:gridCol w:w="110"/>
        <w:gridCol w:w="49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0"/>
              <w:jc w:val="left"/>
              <w:rPr/>
            </w:pPr>
            <w:r>
              <w:rPr/>
              <w:t>the inability of stockholders to call special meetings;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classification of our Board and limitation on filling of vacancies could make it more difficult for a third party to acquire, or discourage a third party from seeking to acquire, control of our Company; and</w:t>
            </w:r>
          </w:p>
        </w:tc>
      </w:tr>
    </w:tbl>
    <w:p>
      <w:pPr>
        <w:pStyle w:val="TextBody"/>
        <w:bidi w:val="0"/>
        <w:spacing w:before="0" w:after="0"/>
        <w:ind w:left="540" w:right="0" w:hanging="54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authorization of the issuance of “blank check” preferred stock, with such designation rights and preferences as may be determined from time to time by the Board, without any need for action by stockholders.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We have never paid and do not intend to pay cash dividends in the foreseeable future. As a result, capital appreciation, if any, will be your sole source of gain.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Ares Credit Agreement prohibits us from paying dividends. As a result, capital appreciation, if any, of our common stock will be your sole source of gain for the foreseeable future.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Board may, without stockholder approval, issue and fix the terms of shares of preferred stock and issue additional shares of common stock adversely affecting the rights of holders of our common stock.</w:t>
      </w:r>
    </w:p>
    <w:p>
      <w:pPr>
        <w:pStyle w:val="TextBody"/>
        <w:bidi w:val="0"/>
        <w:spacing w:before="0" w:after="0"/>
        <w:jc w:val="both"/>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December 31, 2023, there were 31,033,333 shares remaining available for issuance, after giving effect to 23,066,387 shares of our common stock that were subject to outstanding stock options, RSUs and warrants as of December 31, 2023 that may be issued by us without stockholder approval, as well as an additional 19,837,248 shares reserved for the future issuance of awards under our equity compensation plans.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 w:name="Item1B."/>
      <w:bookmarkStart w:id="6" w:name="Item1B."/>
      <w:bookmarkEnd w:id="6"/>
    </w:p>
    <w:tbl>
      <w:tblPr>
        <w:tblW w:w="3790" w:type="dxa"/>
        <w:jc w:val="left"/>
        <w:tblInd w:w="0" w:type="dxa"/>
        <w:tblLayout w:type="fixed"/>
        <w:tblCellMar>
          <w:top w:w="0" w:type="dxa"/>
          <w:left w:w="0" w:type="dxa"/>
          <w:bottom w:w="0" w:type="dxa"/>
          <w:right w:w="0" w:type="dxa"/>
        </w:tblCellMar>
      </w:tblPr>
      <w:tblGrid>
        <w:gridCol w:w="905"/>
        <w:gridCol w:w="2885"/>
      </w:tblGrid>
      <w:tr>
        <w:trPr/>
        <w:tc>
          <w:tcPr>
            <w:tcW w:w="905" w:type="dxa"/>
            <w:tcBorders/>
            <w:vAlign w:val="center"/>
          </w:tcPr>
          <w:p>
            <w:pPr>
              <w:pStyle w:val="TableContents"/>
              <w:bidi w:val="0"/>
              <w:spacing w:before="0" w:after="283"/>
              <w:jc w:val="left"/>
              <w:rPr>
                <w:b/>
              </w:rPr>
            </w:pPr>
            <w:r>
              <w:rPr>
                <w:b/>
              </w:rPr>
              <w:t>Item 1B.</w:t>
            </w:r>
          </w:p>
        </w:tc>
        <w:tc>
          <w:tcPr>
            <w:tcW w:w="2885" w:type="dxa"/>
            <w:tcBorders/>
            <w:vAlign w:val="center"/>
          </w:tcPr>
          <w:p>
            <w:pPr>
              <w:pStyle w:val="TableContents"/>
              <w:bidi w:val="0"/>
              <w:spacing w:before="0" w:after="0"/>
              <w:jc w:val="left"/>
              <w:rPr>
                <w:b/>
              </w:rPr>
            </w:pPr>
            <w:r>
              <w:rPr>
                <w:b/>
              </w:rPr>
              <w:t>Unresolved Staff Comments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ind w:left="0" w:right="0" w:firstLine="720"/>
        <w:jc w:val="left"/>
        <w:rPr/>
      </w:pPr>
      <w:r>
        <w:rPr/>
      </w:r>
    </w:p>
    <w:p>
      <w:pPr>
        <w:pStyle w:val="Normal"/>
        <w:bidi w:val="0"/>
        <w:spacing w:before="0" w:after="0"/>
        <w:jc w:val="left"/>
        <w:rPr>
          <w:sz w:val="4"/>
          <w:szCs w:val="4"/>
        </w:rPr>
      </w:pPr>
      <w:r>
        <w:rPr>
          <w:sz w:val="4"/>
          <w:szCs w:val="4"/>
        </w:rPr>
      </w:r>
      <w:bookmarkStart w:id="7" w:name="Item1C."/>
      <w:bookmarkStart w:id="8" w:name="Item1C."/>
      <w:bookmarkEnd w:id="8"/>
    </w:p>
    <w:tbl>
      <w:tblPr>
        <w:tblW w:w="2395" w:type="dxa"/>
        <w:jc w:val="left"/>
        <w:tblInd w:w="0" w:type="dxa"/>
        <w:tblLayout w:type="fixed"/>
        <w:tblCellMar>
          <w:top w:w="0" w:type="dxa"/>
          <w:left w:w="0" w:type="dxa"/>
          <w:bottom w:w="0" w:type="dxa"/>
          <w:right w:w="0" w:type="dxa"/>
        </w:tblCellMar>
      </w:tblPr>
      <w:tblGrid>
        <w:gridCol w:w="920"/>
        <w:gridCol w:w="1475"/>
      </w:tblGrid>
      <w:tr>
        <w:trPr/>
        <w:tc>
          <w:tcPr>
            <w:tcW w:w="920" w:type="dxa"/>
            <w:tcBorders/>
            <w:vAlign w:val="center"/>
          </w:tcPr>
          <w:p>
            <w:pPr>
              <w:pStyle w:val="TableContents"/>
              <w:bidi w:val="0"/>
              <w:spacing w:before="0" w:after="283"/>
              <w:jc w:val="left"/>
              <w:rPr>
                <w:b/>
              </w:rPr>
            </w:pPr>
            <w:r>
              <w:rPr>
                <w:b/>
              </w:rPr>
              <w:t>Item 1C.</w:t>
            </w:r>
          </w:p>
        </w:tc>
        <w:tc>
          <w:tcPr>
            <w:tcW w:w="1475" w:type="dxa"/>
            <w:tcBorders/>
            <w:vAlign w:val="center"/>
          </w:tcPr>
          <w:p>
            <w:pPr>
              <w:pStyle w:val="TableContents"/>
              <w:bidi w:val="0"/>
              <w:spacing w:before="0" w:after="0"/>
              <w:jc w:val="left"/>
              <w:rPr>
                <w:b/>
              </w:rPr>
            </w:pPr>
            <w:r>
              <w:rPr>
                <w:b/>
              </w:rPr>
              <w:t>Cybersecurity</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Risk Management and Strategy</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recognize the importance of managing the material risks of cybersecurity threats, and we have implemented processes for identifying and assessing cybersecurity risks and incidents. We have also integrated these processes into our overall risk management system, including senior management’s periodic reviews of cybersecurity risks or threats. Senior management oversees and works closely with our IT department to continuously review and evaluate cybersecurity risks in alignment with our business goals and needs.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With respect to cybersecurity risks and threats, we utilize various third-party consultants and advisors to assist us with regular reviews, internal audits and best practices, including threat prevention and detection, security reviews and enhancements, penetration testing and full scope IT audits. ADMA also has strict processes in place for the review of third-party service providers engaged, including thorough security assessments before engagement and annual monitoring of their IT environments and controls.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During the year ended December 31, 2023, as initially disclosed in our Quarterly Report on Form 10-Q for the period ending June 30, 2023 and updated elsewhere in our subsequent filings with the SEC, including this Annual Report on Form 10-K, we experienced an IT Systems Disruption, which did result in a non-recurring charge to our results of operations. There was no original financial systems data loss or any evidence of data exfiltrated due to this disruption. Normal course operations have resumed across the Company’s business units.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Governance</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Chief Executive Officer and Chief Financial Officer are primarily responsible for timely updating the Board and Audit Committee about any material cybersecurity incidents or threats or any cybersecurity related issues worthy of their attention.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Board has designated the Audit Committee as the primary committee responsible for reviewing and managing cybersecurity risks and threats at ADMA. The Audit Committee is comprised of Board members with diverse experience in healthcare, finance and information technology, enabling them to effectively oversee cybersecurity risks and threats. Our management team, with assistance from third-party consultants or advisors as appropriate, provides quarterly updates regarding cybersecurity risks and threats to the Audit Committee and ad hoc updates or communications are provided to the entire Board as needed.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Data Integrity and IT Operations team are primarily responsible for the timely identification, review, severity assessment and management of cybersecurity incidents. In the event of a cybersecurity incident, the IT Department leadership follows the procedures outlined in our Cybersecurity Incident Response Policy and works closely with management to form a Security Incident Response Team comprised of members from the appropriate functional teams. In accordance with this policy, senior management will also communicate the occurrence of any significant cybersecurity incidents to our Board, Audit Committee and auditors on a timely basis and will keep them informed of the remediation plans and progress.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 w:name="Item2."/>
      <w:bookmarkStart w:id="10" w:name="Item2."/>
      <w:bookmarkEnd w:id="10"/>
    </w:p>
    <w:tbl>
      <w:tblPr>
        <w:tblW w:w="1825" w:type="dxa"/>
        <w:jc w:val="left"/>
        <w:tblInd w:w="0" w:type="dxa"/>
        <w:tblLayout w:type="fixed"/>
        <w:tblCellMar>
          <w:top w:w="0" w:type="dxa"/>
          <w:left w:w="0" w:type="dxa"/>
          <w:bottom w:w="0" w:type="dxa"/>
          <w:right w:w="0" w:type="dxa"/>
        </w:tblCellMar>
      </w:tblPr>
      <w:tblGrid>
        <w:gridCol w:w="740"/>
        <w:gridCol w:w="1085"/>
      </w:tblGrid>
      <w:tr>
        <w:trPr/>
        <w:tc>
          <w:tcPr>
            <w:tcW w:w="740" w:type="dxa"/>
            <w:tcBorders/>
            <w:vAlign w:val="center"/>
          </w:tcPr>
          <w:p>
            <w:pPr>
              <w:pStyle w:val="TableContents"/>
              <w:bidi w:val="0"/>
              <w:spacing w:before="0" w:after="283"/>
              <w:jc w:val="left"/>
              <w:rPr>
                <w:b/>
              </w:rPr>
            </w:pPr>
            <w:r>
              <w:rPr>
                <w:b/>
              </w:rPr>
              <w:t>Item 2.</w:t>
            </w:r>
          </w:p>
        </w:tc>
        <w:tc>
          <w:tcPr>
            <w:tcW w:w="1085" w:type="dxa"/>
            <w:tcBorders/>
            <w:vAlign w:val="center"/>
          </w:tcPr>
          <w:p>
            <w:pPr>
              <w:pStyle w:val="TableContents"/>
              <w:bidi w:val="0"/>
              <w:spacing w:before="0" w:after="0"/>
              <w:jc w:val="left"/>
              <w:rPr>
                <w:b/>
              </w:rPr>
            </w:pPr>
            <w:r>
              <w:rPr>
                <w:b/>
              </w:rPr>
              <w:t>Properties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table below describes our principal facilities as of December 31, 2023:</w:t>
      </w:r>
    </w:p>
    <w:tbl>
      <w:tblPr>
        <w:tblW w:w="8405" w:type="dxa"/>
        <w:jc w:val="left"/>
        <w:tblInd w:w="0" w:type="dxa"/>
        <w:tblLayout w:type="fixed"/>
        <w:tblCellMar>
          <w:top w:w="0" w:type="dxa"/>
          <w:left w:w="0" w:type="dxa"/>
          <w:bottom w:w="0" w:type="dxa"/>
          <w:right w:w="0" w:type="dxa"/>
        </w:tblCellMar>
      </w:tblPr>
      <w:tblGrid>
        <w:gridCol w:w="1550"/>
        <w:gridCol w:w="3290"/>
        <w:gridCol w:w="1370"/>
        <w:gridCol w:w="2195"/>
      </w:tblGrid>
      <w:tr>
        <w:trPr/>
        <w:tc>
          <w:tcPr>
            <w:tcW w:w="1550" w:type="dxa"/>
            <w:tcBorders/>
            <w:vAlign w:val="center"/>
          </w:tcPr>
          <w:p>
            <w:pPr>
              <w:pStyle w:val="TableContents"/>
              <w:bidi w:val="0"/>
              <w:spacing w:before="0" w:after="0"/>
              <w:jc w:val="left"/>
              <w:rPr>
                <w:b/>
              </w:rPr>
            </w:pPr>
            <w:r>
              <w:rPr>
                <w:b/>
              </w:rPr>
              <w:t>Location</w:t>
            </w:r>
          </w:p>
        </w:tc>
        <w:tc>
          <w:tcPr>
            <w:tcW w:w="3290" w:type="dxa"/>
            <w:tcBorders/>
            <w:vAlign w:val="center"/>
          </w:tcPr>
          <w:p>
            <w:pPr>
              <w:pStyle w:val="TableContents"/>
              <w:bidi w:val="0"/>
              <w:spacing w:before="0" w:after="0"/>
              <w:jc w:val="left"/>
              <w:rPr>
                <w:b/>
              </w:rPr>
            </w:pPr>
            <w:r>
              <w:rPr>
                <w:b/>
              </w:rPr>
              <w:t>Principal Business Activity</w:t>
            </w:r>
          </w:p>
        </w:tc>
        <w:tc>
          <w:tcPr>
            <w:tcW w:w="1370" w:type="dxa"/>
            <w:tcBorders/>
            <w:vAlign w:val="center"/>
          </w:tcPr>
          <w:p>
            <w:pPr>
              <w:pStyle w:val="TableContents"/>
              <w:bidi w:val="0"/>
              <w:spacing w:before="0" w:after="0"/>
              <w:jc w:val="left"/>
              <w:rPr>
                <w:b/>
              </w:rPr>
            </w:pPr>
            <w:r>
              <w:rPr>
                <w:b/>
              </w:rPr>
              <w:t>Approximate</w:t>
            </w:r>
          </w:p>
          <w:p>
            <w:pPr>
              <w:pStyle w:val="TableContents"/>
              <w:bidi w:val="0"/>
              <w:spacing w:before="0" w:after="0"/>
              <w:jc w:val="left"/>
              <w:rPr>
                <w:b/>
              </w:rPr>
            </w:pPr>
            <w:r>
              <w:rPr>
                <w:b/>
              </w:rPr>
              <w:t>Square Feet</w:t>
            </w:r>
          </w:p>
        </w:tc>
        <w:tc>
          <w:tcPr>
            <w:tcW w:w="2195" w:type="dxa"/>
            <w:tcBorders/>
            <w:vAlign w:val="center"/>
          </w:tcPr>
          <w:p>
            <w:pPr>
              <w:pStyle w:val="TableContents"/>
              <w:bidi w:val="0"/>
              <w:spacing w:before="0" w:after="0"/>
              <w:jc w:val="center"/>
              <w:rPr>
                <w:b/>
              </w:rPr>
            </w:pPr>
            <w:r>
              <w:rPr>
                <w:b/>
              </w:rPr>
              <w:t xml:space="preserve">Owned or expiration </w:t>
            </w:r>
          </w:p>
          <w:p>
            <w:pPr>
              <w:pStyle w:val="TableContents"/>
              <w:bidi w:val="0"/>
              <w:spacing w:before="0" w:after="0"/>
              <w:jc w:val="center"/>
              <w:rPr>
                <w:b/>
              </w:rPr>
            </w:pPr>
            <w:r>
              <w:rPr>
                <w:b/>
              </w:rPr>
              <w:t>date of lease</w:t>
            </w:r>
          </w:p>
        </w:tc>
      </w:tr>
      <w:tr>
        <w:trPr/>
        <w:tc>
          <w:tcPr>
            <w:tcW w:w="1550" w:type="dxa"/>
            <w:tcBorders/>
            <w:shd w:fill="CCEEFF" w:val="clear"/>
            <w:vAlign w:val="center"/>
          </w:tcPr>
          <w:p>
            <w:pPr>
              <w:pStyle w:val="TableContents"/>
              <w:bidi w:val="0"/>
              <w:spacing w:before="0" w:after="0"/>
              <w:jc w:val="left"/>
              <w:rPr/>
            </w:pPr>
            <w:r>
              <w:rPr/>
              <w:t>Ramsey, NJ</w:t>
            </w:r>
          </w:p>
        </w:tc>
        <w:tc>
          <w:tcPr>
            <w:tcW w:w="3290" w:type="dxa"/>
            <w:tcBorders/>
            <w:shd w:fill="CCEEFF" w:val="clear"/>
            <w:vAlign w:val="center"/>
          </w:tcPr>
          <w:p>
            <w:pPr>
              <w:pStyle w:val="TableContents"/>
              <w:bidi w:val="0"/>
              <w:spacing w:before="0" w:after="0"/>
              <w:jc w:val="left"/>
              <w:rPr/>
            </w:pPr>
            <w:r>
              <w:rPr/>
              <w:t>Corporate Headquarters</w:t>
            </w:r>
          </w:p>
        </w:tc>
        <w:tc>
          <w:tcPr>
            <w:tcW w:w="1370" w:type="dxa"/>
            <w:tcBorders/>
            <w:shd w:fill="CCEEFF" w:val="clear"/>
            <w:vAlign w:val="center"/>
          </w:tcPr>
          <w:p>
            <w:pPr>
              <w:pStyle w:val="TableContents"/>
              <w:bidi w:val="0"/>
              <w:spacing w:before="0" w:after="0"/>
              <w:jc w:val="left"/>
              <w:rPr/>
            </w:pPr>
            <w:r>
              <w:rPr/>
              <w:t>4,200</w:t>
            </w:r>
          </w:p>
        </w:tc>
        <w:tc>
          <w:tcPr>
            <w:tcW w:w="2195" w:type="dxa"/>
            <w:tcBorders/>
            <w:shd w:fill="CCEEFF" w:val="clear"/>
            <w:vAlign w:val="center"/>
          </w:tcPr>
          <w:p>
            <w:pPr>
              <w:pStyle w:val="TableContents"/>
              <w:bidi w:val="0"/>
              <w:spacing w:before="0" w:after="0"/>
              <w:jc w:val="center"/>
              <w:rPr/>
            </w:pPr>
            <w:r>
              <w:rPr/>
              <w:t>December 31, 2026 *</w:t>
            </w:r>
          </w:p>
        </w:tc>
      </w:tr>
      <w:tr>
        <w:trPr/>
        <w:tc>
          <w:tcPr>
            <w:tcW w:w="1550" w:type="dxa"/>
            <w:tcBorders/>
            <w:vAlign w:val="center"/>
          </w:tcPr>
          <w:p>
            <w:pPr>
              <w:pStyle w:val="TableContents"/>
              <w:bidi w:val="0"/>
              <w:spacing w:before="0" w:after="0"/>
              <w:jc w:val="left"/>
              <w:rPr/>
            </w:pPr>
            <w:r>
              <w:rPr/>
              <w:t>Boca Raton, FL</w:t>
            </w:r>
          </w:p>
        </w:tc>
        <w:tc>
          <w:tcPr>
            <w:tcW w:w="3290" w:type="dxa"/>
            <w:tcBorders/>
            <w:vAlign w:val="center"/>
          </w:tcPr>
          <w:p>
            <w:pPr>
              <w:pStyle w:val="TableContents"/>
              <w:bidi w:val="0"/>
              <w:spacing w:before="0" w:after="0"/>
              <w:jc w:val="left"/>
              <w:rPr/>
            </w:pPr>
            <w:r>
              <w:rPr/>
              <w:t>Manufacturing and Administration</w:t>
            </w:r>
          </w:p>
        </w:tc>
        <w:tc>
          <w:tcPr>
            <w:tcW w:w="1370" w:type="dxa"/>
            <w:tcBorders/>
            <w:vAlign w:val="center"/>
          </w:tcPr>
          <w:p>
            <w:pPr>
              <w:pStyle w:val="TableContents"/>
              <w:bidi w:val="0"/>
              <w:spacing w:before="0" w:after="0"/>
              <w:jc w:val="left"/>
              <w:rPr/>
            </w:pPr>
            <w:r>
              <w:rPr/>
              <w:t>84,462</w:t>
            </w:r>
          </w:p>
        </w:tc>
        <w:tc>
          <w:tcPr>
            <w:tcW w:w="2195" w:type="dxa"/>
            <w:tcBorders/>
            <w:vAlign w:val="center"/>
          </w:tcPr>
          <w:p>
            <w:pPr>
              <w:pStyle w:val="TableContents"/>
              <w:bidi w:val="0"/>
              <w:spacing w:before="0" w:after="0"/>
              <w:jc w:val="center"/>
              <w:rPr/>
            </w:pPr>
            <w:r>
              <w:rPr/>
              <w:t>Owned</w:t>
            </w:r>
          </w:p>
        </w:tc>
      </w:tr>
      <w:tr>
        <w:trPr/>
        <w:tc>
          <w:tcPr>
            <w:tcW w:w="1550" w:type="dxa"/>
            <w:tcBorders/>
            <w:shd w:fill="CCEEFF" w:val="clear"/>
            <w:vAlign w:val="center"/>
          </w:tcPr>
          <w:p>
            <w:pPr>
              <w:pStyle w:val="TableContents"/>
              <w:bidi w:val="0"/>
              <w:spacing w:before="0" w:after="0"/>
              <w:jc w:val="left"/>
              <w:rPr/>
            </w:pPr>
            <w:r>
              <w:rPr/>
              <w:t>Boca Raton, FL</w:t>
            </w:r>
          </w:p>
        </w:tc>
        <w:tc>
          <w:tcPr>
            <w:tcW w:w="3290" w:type="dxa"/>
            <w:tcBorders/>
            <w:shd w:fill="CCEEFF" w:val="clear"/>
            <w:vAlign w:val="center"/>
          </w:tcPr>
          <w:p>
            <w:pPr>
              <w:pStyle w:val="TableContents"/>
              <w:bidi w:val="0"/>
              <w:spacing w:before="0" w:after="0"/>
              <w:jc w:val="left"/>
              <w:rPr/>
            </w:pPr>
            <w:r>
              <w:rPr/>
              <w:t>Laboratory and Administration</w:t>
            </w:r>
          </w:p>
        </w:tc>
        <w:tc>
          <w:tcPr>
            <w:tcW w:w="1370" w:type="dxa"/>
            <w:tcBorders/>
            <w:shd w:fill="CCEEFF" w:val="clear"/>
            <w:vAlign w:val="center"/>
          </w:tcPr>
          <w:p>
            <w:pPr>
              <w:pStyle w:val="TableContents"/>
              <w:bidi w:val="0"/>
              <w:spacing w:before="0" w:after="0"/>
              <w:jc w:val="left"/>
              <w:rPr/>
            </w:pPr>
            <w:r>
              <w:rPr/>
              <w:t>44,495</w:t>
            </w:r>
          </w:p>
        </w:tc>
        <w:tc>
          <w:tcPr>
            <w:tcW w:w="2195" w:type="dxa"/>
            <w:tcBorders/>
            <w:shd w:fill="CCEEFF" w:val="clear"/>
            <w:vAlign w:val="center"/>
          </w:tcPr>
          <w:p>
            <w:pPr>
              <w:pStyle w:val="TableContents"/>
              <w:bidi w:val="0"/>
              <w:spacing w:before="0" w:after="0"/>
              <w:jc w:val="center"/>
              <w:rPr/>
            </w:pPr>
            <w:r>
              <w:rPr/>
              <w:t>Owned</w:t>
            </w:r>
          </w:p>
        </w:tc>
      </w:tr>
    </w:tbl>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Pursuant to a shared services agreement, as amended, with Areth, LLC ("Areth") for office, warehouse space and related services pursuant to which the Company pays Areth monthly lease payments of $10,000. Areth is a company controlled by Dr. Jerrold B. Grossman, our Vice Chairman of the Board of Directors, and Adam S. Grossman, our President and Chief Executive Officer.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also have ten plasma collection centers in leased facilities mainly in the southeastern part of the U.S., which require lease payments through the respective lease terms that expire at various dates through 2033 (see Note 12 to the consolidated financial statements appearing elsewhere in this report).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believe that our leased and owned properties are adequate to meet our current and future needs.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 w:name="Item3."/>
      <w:bookmarkStart w:id="12" w:name="Item3."/>
      <w:bookmarkEnd w:id="12"/>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jc w:val="left"/>
              <w:rPr>
                <w:b/>
              </w:rPr>
            </w:pPr>
            <w:r>
              <w:rPr>
                <w:b/>
              </w:rPr>
              <w:t>Item 3.</w:t>
            </w:r>
          </w:p>
        </w:tc>
        <w:tc>
          <w:tcPr>
            <w:tcW w:w="1895" w:type="dxa"/>
            <w:tcBorders/>
            <w:vAlign w:val="center"/>
          </w:tcPr>
          <w:p>
            <w:pPr>
              <w:pStyle w:val="TableContents"/>
              <w:bidi w:val="0"/>
              <w:spacing w:before="0" w:after="0"/>
              <w:jc w:val="left"/>
              <w:rPr>
                <w:b/>
              </w:rPr>
            </w:pPr>
            <w:r>
              <w:rPr>
                <w:b/>
              </w:rPr>
              <w:t>Legal Proceedings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and may become subject to certain legal proceedings and claims arising in connection with the normal course of our business. Neither the Company nor any of its subsidiaries are a party to any material pending legal proceedings, other than ordinary routine litigation incidental to our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Item4."/>
      <w:bookmarkStart w:id="14" w:name="Item4."/>
      <w:bookmarkEnd w:id="14"/>
    </w:p>
    <w:tbl>
      <w:tblPr>
        <w:tblW w:w="3190" w:type="dxa"/>
        <w:jc w:val="left"/>
        <w:tblInd w:w="0" w:type="dxa"/>
        <w:tblLayout w:type="fixed"/>
        <w:tblCellMar>
          <w:top w:w="0" w:type="dxa"/>
          <w:left w:w="0" w:type="dxa"/>
          <w:bottom w:w="0" w:type="dxa"/>
          <w:right w:w="0" w:type="dxa"/>
        </w:tblCellMar>
      </w:tblPr>
      <w:tblGrid>
        <w:gridCol w:w="740"/>
        <w:gridCol w:w="2450"/>
      </w:tblGrid>
      <w:tr>
        <w:trPr/>
        <w:tc>
          <w:tcPr>
            <w:tcW w:w="740" w:type="dxa"/>
            <w:tcBorders/>
            <w:vAlign w:val="center"/>
          </w:tcPr>
          <w:p>
            <w:pPr>
              <w:pStyle w:val="TableContents"/>
              <w:bidi w:val="0"/>
              <w:spacing w:before="0" w:after="283"/>
              <w:jc w:val="left"/>
              <w:rPr>
                <w:b/>
              </w:rPr>
            </w:pPr>
            <w:r>
              <w:rPr>
                <w:b/>
              </w:rPr>
              <w:t>Item 4.</w:t>
            </w:r>
          </w:p>
        </w:tc>
        <w:tc>
          <w:tcPr>
            <w:tcW w:w="2450" w:type="dxa"/>
            <w:tcBorders/>
            <w:vAlign w:val="center"/>
          </w:tcPr>
          <w:p>
            <w:pPr>
              <w:pStyle w:val="TableContents"/>
              <w:bidi w:val="0"/>
              <w:spacing w:before="0" w:after="0"/>
              <w:jc w:val="left"/>
              <w:rPr>
                <w:b/>
              </w:rPr>
            </w:pPr>
            <w:r>
              <w:rPr>
                <w:b/>
              </w:rPr>
              <w:t>Mine Safety Disclosures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w:t>
      </w:r>
    </w:p>
    <w:p>
      <w:pPr>
        <w:pStyle w:val="Normal"/>
        <w:bidi w:val="0"/>
        <w:spacing w:before="0" w:after="0"/>
        <w:jc w:val="left"/>
        <w:rPr>
          <w:sz w:val="4"/>
          <w:szCs w:val="4"/>
        </w:rPr>
      </w:pPr>
      <w:r>
        <w:rPr>
          <w:sz w:val="4"/>
          <w:szCs w:val="4"/>
        </w:rPr>
      </w:r>
      <w:bookmarkStart w:id="15" w:name="Item5."/>
      <w:bookmarkStart w:id="16" w:name="Item5."/>
      <w:bookmarkEnd w:id="16"/>
    </w:p>
    <w:tbl>
      <w:tblPr>
        <w:tblW w:w="10205" w:type="dxa"/>
        <w:jc w:val="left"/>
        <w:tblInd w:w="0" w:type="dxa"/>
        <w:tblLayout w:type="fixed"/>
        <w:tblCellMar>
          <w:top w:w="0" w:type="dxa"/>
          <w:left w:w="0" w:type="dxa"/>
          <w:bottom w:w="0" w:type="dxa"/>
          <w:right w:w="0" w:type="dxa"/>
        </w:tblCellMar>
      </w:tblPr>
      <w:tblGrid>
        <w:gridCol w:w="693"/>
        <w:gridCol w:w="9512"/>
      </w:tblGrid>
      <w:tr>
        <w:trPr/>
        <w:tc>
          <w:tcPr>
            <w:tcW w:w="693" w:type="dxa"/>
            <w:tcBorders/>
            <w:vAlign w:val="center"/>
          </w:tcPr>
          <w:p>
            <w:pPr>
              <w:pStyle w:val="TableContents"/>
              <w:bidi w:val="0"/>
              <w:spacing w:before="0" w:after="283"/>
              <w:jc w:val="left"/>
              <w:rPr>
                <w:b/>
              </w:rPr>
            </w:pPr>
            <w:r>
              <w:rPr>
                <w:b/>
              </w:rPr>
              <w:t>Item 5.</w:t>
            </w:r>
          </w:p>
        </w:tc>
        <w:tc>
          <w:tcPr>
            <w:tcW w:w="9512" w:type="dxa"/>
            <w:tcBorders/>
            <w:vAlign w:val="center"/>
          </w:tcPr>
          <w:p>
            <w:pPr>
              <w:pStyle w:val="TableContents"/>
              <w:bidi w:val="0"/>
              <w:spacing w:before="0" w:after="0"/>
              <w:jc w:val="left"/>
              <w:rPr>
                <w:b/>
              </w:rPr>
            </w:pPr>
            <w:r>
              <w:rPr>
                <w:b/>
              </w:rPr>
              <w:t>Market for Registrant’s Common Equity, Related Stockholder Matters and Issuer Purchases of Equity Securities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Market Information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Common Stock had been listed on the Nasdaq Capital Market (“Nasdaq”) under the symbol “ADMA” since November 10, 2014. Since October 22, 2019, our Common Stock has been listed on the Nasdaq Global Market.</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Holders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2023, there were five record holders of our Common Stock, based upon information received from our transfer agent. However, this number does not include beneficial owners whose shares were held of record by nominees or broker dealers. As of February 1, 2024, we estimate that there are more than 30,000 beneficial owners of our Common Stock.</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Dividend Policy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never paid any cash dividends on our capital stock. We anticipate that we will retain earnings, if any, to support operations and to finance the growth and development of our business. In addition, the terms of our Credit Agreement with Ares preclude us from paying cash dividends without their consent. Therefore, we do not expect to pay any cash dividends for the foreseeable future.</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Stock Performance Graph</w:t>
      </w:r>
    </w:p>
    <w:p>
      <w:pPr>
        <w:pStyle w:val="TextBody"/>
        <w:bidi w:val="0"/>
        <w:spacing w:before="0" w:after="0"/>
        <w:jc w:val="left"/>
        <w:rPr>
          <w:b/>
        </w:rPr>
      </w:pPr>
      <w:r>
        <w:rPr>
          <w:b/>
        </w:rPr>
      </w:r>
    </w:p>
    <w:p>
      <w:pPr>
        <w:pStyle w:val="TextBody"/>
        <w:bidi w:val="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graph assumes a $100 investment on December 31, 2018 in each of the Company’s Common Stock, the XBI Biotech Index of biotechnology companies and the Russell 2000 Index.</w:t>
      </w:r>
    </w:p>
    <w:p>
      <w:pPr>
        <w:pStyle w:val="TextBody"/>
        <w:bidi w:val="0"/>
        <w:jc w:val="center"/>
        <w:rPr>
          <w:color w:val="000000"/>
          <w:shd w:fill="FFFFFF" w:val="clear"/>
        </w:rPr>
      </w:pPr>
      <w:r>
        <w:rPr>
          <w:color w:val="000000"/>
          <w:shd w:fill="FFFFFF" w:val="clear"/>
        </w:rPr>
        <w:drawing>
          <wp:inline distT="0" distB="0" distL="0" distR="0">
            <wp:extent cx="6105525" cy="3619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05525" cy="3619500"/>
                    </a:xfrm>
                    <a:prstGeom prst="rect">
                      <a:avLst/>
                    </a:prstGeom>
                  </pic:spPr>
                </pic:pic>
              </a:graphicData>
            </a:graphic>
          </wp:inline>
        </w:drawing>
      </w:r>
      <w:r>
        <w:rPr>
          <w:color w:val="000000"/>
          <w:shd w:fill="FFFFFF" w:val="clear"/>
        </w:rPr>
        <w:t xml:space="preserve"> </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Sale of Unregistered Securities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During the year ended December 31, 2023, we had no sales of unregistered securities that have not been previously disclosed in a Current Report on Form 8-K or Quarterly Report on Form 10-Q.</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Purchases of Equity Securities by the Issuer and Affiliated Purchasers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did not repurchase any of our securities during the three months ended December 31, 2023.</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directors and executive officers may from time to time enter into plans or other arrangements for the purchase or sale of our common stock that are intended to satisfy the affirmative defense conditions of Rule 10b5-1(c) or may represent a non-Rule 10b5-1 trading arrangement under the Exchange Act. During the quarter ended December 31, 2023, none of our directors or executive officers adopted or terminated any such contract, instruction or written plans.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Item6."/>
      <w:bookmarkStart w:id="18" w:name="Item6."/>
      <w:bookmarkEnd w:id="18"/>
    </w:p>
    <w:tbl>
      <w:tblPr>
        <w:tblW w:w="1720" w:type="dxa"/>
        <w:jc w:val="left"/>
        <w:tblInd w:w="0" w:type="dxa"/>
        <w:tblLayout w:type="fixed"/>
        <w:tblCellMar>
          <w:top w:w="0" w:type="dxa"/>
          <w:left w:w="0" w:type="dxa"/>
          <w:bottom w:w="0" w:type="dxa"/>
          <w:right w:w="0" w:type="dxa"/>
        </w:tblCellMar>
      </w:tblPr>
      <w:tblGrid>
        <w:gridCol w:w="740"/>
        <w:gridCol w:w="980"/>
      </w:tblGrid>
      <w:tr>
        <w:trPr/>
        <w:tc>
          <w:tcPr>
            <w:tcW w:w="740" w:type="dxa"/>
            <w:tcBorders/>
            <w:vAlign w:val="center"/>
          </w:tcPr>
          <w:p>
            <w:pPr>
              <w:pStyle w:val="TableContents"/>
              <w:bidi w:val="0"/>
              <w:spacing w:before="0" w:after="0"/>
              <w:jc w:val="left"/>
              <w:rPr>
                <w:b/>
              </w:rPr>
            </w:pPr>
            <w:r>
              <w:rPr>
                <w:b/>
              </w:rPr>
              <w:t>Item 6.</w:t>
            </w:r>
          </w:p>
        </w:tc>
        <w:tc>
          <w:tcPr>
            <w:tcW w:w="980" w:type="dxa"/>
            <w:tcBorders/>
            <w:vAlign w:val="center"/>
          </w:tcPr>
          <w:p>
            <w:pPr>
              <w:pStyle w:val="TableContents"/>
              <w:bidi w:val="0"/>
              <w:spacing w:before="0" w:after="0"/>
              <w:jc w:val="left"/>
              <w:rPr>
                <w:b/>
              </w:rPr>
            </w:pPr>
            <w:r>
              <w:rPr>
                <w:b/>
              </w:rPr>
              <w:t>Reserved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9" w:name="Item7."/>
      <w:bookmarkStart w:id="20" w:name="Item7."/>
      <w:bookmarkEnd w:id="20"/>
    </w:p>
    <w:tbl>
      <w:tblPr>
        <w:tblW w:w="9790" w:type="dxa"/>
        <w:jc w:val="left"/>
        <w:tblInd w:w="0" w:type="dxa"/>
        <w:tblLayout w:type="fixed"/>
        <w:tblCellMar>
          <w:top w:w="0" w:type="dxa"/>
          <w:left w:w="0" w:type="dxa"/>
          <w:bottom w:w="0" w:type="dxa"/>
          <w:right w:w="0" w:type="dxa"/>
        </w:tblCellMar>
      </w:tblPr>
      <w:tblGrid>
        <w:gridCol w:w="740"/>
        <w:gridCol w:w="9050"/>
      </w:tblGrid>
      <w:tr>
        <w:trPr/>
        <w:tc>
          <w:tcPr>
            <w:tcW w:w="740" w:type="dxa"/>
            <w:tcBorders/>
            <w:vAlign w:val="center"/>
          </w:tcPr>
          <w:p>
            <w:pPr>
              <w:pStyle w:val="TableContents"/>
              <w:bidi w:val="0"/>
              <w:spacing w:before="0" w:after="283"/>
              <w:jc w:val="left"/>
              <w:rPr>
                <w:b/>
              </w:rPr>
            </w:pPr>
            <w:r>
              <w:rPr>
                <w:b/>
              </w:rPr>
              <w:t>Item 7.</w:t>
            </w:r>
          </w:p>
        </w:tc>
        <w:tc>
          <w:tcPr>
            <w:tcW w:w="9050"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The following discussion of our financial condition and results of operations should be read in conjunction with the consolidated financial statements and notes thereto included elsewhere in this Annual Report on Form 10-K. The various sections of this discussion contain a number of forward-looking statements, all of which are based on our current expectations and could be materially affected by the uncertainties and risk factors described throughout this Annual Report. See “Special Note Regarding Forward-Looking Statements.” Our actual results may differ materially.</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OVERVIEW</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ADMA Biologics, Inc. (the “Company,” “ADMA,” “we,” “us” or “our”) is an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on April 1, 2019 and commenced first commercial sales in October 2019; (ii) BIVIGAM (Immune Globulin Intravenous, Human), an IVIG product indicated for the treatment of PI, and for which we received FDA approval on May 9,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Times New Roman" w:hAnsi="Times New Roman"/>
          <w:i/>
          <w:color w:val="000000"/>
          <w:sz w:val="20"/>
          <w:shd w:fill="FFFFFF" w:val="clear"/>
        </w:rPr>
        <w:t>S. pneumonia</w:t>
      </w:r>
      <w:r>
        <w:rPr>
          <w:rFonts w:ascii="Times New Roman" w:hAnsi="Times New Roman"/>
          <w:color w:val="000000"/>
          <w:sz w:val="20"/>
          <w:shd w:fill="FFFFFF" w:val="clear"/>
        </w:rPr>
        <w:t xml:space="preserve"> infection for an immunoglobulin manufactured to contain standardized antibodies to numerous serotypes of </w:t>
      </w:r>
      <w:r>
        <w:rPr>
          <w:rFonts w:ascii="Times New Roman" w:hAnsi="Times New Roman"/>
          <w:i/>
          <w:color w:val="000000"/>
          <w:sz w:val="20"/>
          <w:shd w:fill="FFFFFF" w:val="clear"/>
        </w:rPr>
        <w:t>S. pneumoniae</w:t>
      </w:r>
      <w:r>
        <w:rPr>
          <w:rFonts w:ascii="Times New Roman" w:hAnsi="Times New Roman"/>
          <w:color w:val="000000"/>
          <w:sz w:val="20"/>
          <w:shd w:fill="FFFFFF" w:val="clear"/>
        </w:rPr>
        <w:t>. Our products and product candidates are intended to be used by physician specialists focused on caring for immune-compromised patients with or at risk for certain infectious diseases.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manufacture these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 representing annual revenues of approximately $330 million in 2024 and potentially $380 million in 2025. At these revenue levels, we forecast achieving consolidated gross margins in the range of 40-50% and net income margins in the range of 20-30%. These assumptions translate to potential fiscal year 2024 and 2025 net income of $65 million and $115 million or more and adjusted EBITDA of $90 million and $140 million or more, respectively.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we had a net loss of loss of $28.2 million and achieved adjusted net income of $0.7 million which, as further described under “Non-GAAP Financial Measures”, excludes charges related to the refinancing of our senior debt of $26.2 million and an IT systems disruption of $2.7 million (see Management’s Discussion and Analysis of Financial Condition and Results of Operations). We also achieved positive cash flow from operations for the year ended December 31, 2023 for the first time in the Company’s history, primarily as a result of our significant revenue growth and continued physician, patient and payer acceptance of ASCENIV and BIVIGAM that we have experienced over the past several years.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Through our ADMA BioCenters subsidiary, we currently operate ten source plasma collection facilities in the U.S.,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sell plasma-derived intermediate fractions to certain customers, which are generated as part of our FDA-approved manufacturing process for IG and IVIG products, through a five-year manufacturing and supply agreement we entered into in January 2020. These intermediate by-products are used as the starting raw material to produce other plasma-derived biologics. In addition, from time to time we provide contract manufacturing services for certain third-party clients. We also provide laboratory contracting services to certain customers and anticipate providing contract filling, labeling and packing services utilizing our FDA-approved in-house fill-finish capabilities.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Products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ASCENIV</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ASCENIV is approved for the treatment of PIDD or PI, a class of inherited genetic disorders that causes a deficient or absent immune system in adults and adolescents (12 to 17 years of age). Our pivotal Phase 3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 school and 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Due to the COVID-19 pandemic, our plans have been delayed. In the future however, we may elect to work with the FDA and the immunology and infectious disease community to design an appropriate clinical trial to evaluate the use of ASCENIV in this patient population. Following FDA approval in April 2019, commercial sales of ASCENIV commenced in October of 2019 and in 2023 ADMA commenced manufacturing ASCENIV at the 4,400 Liter production scale for the first time in the Company’s history. We expect that this expansion should meaningfully improve the product’s margin profile and increase plant production capacity as fewer batches will be needed to support our revenue goals. ASCENIV’s prescriber and patient base continued to expand during 2023, which drove record utilization and pull-through for this product. These elevated demand trends have sustained into 2024, and ADMA currently expects that this product’s rapid growth will continue throughout 2024 and beyond.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BIVIGAM</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May 9, 2019, the FDA approved the Prior Approval Supplement (the “PAS”) for the use of our IVIG manufacturing process, thereby enabling us to re-launch and commercialize this product in the U.S.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December 12, 2023, we announced that the FDA approved the expansion of BIVIGAM’s label in the U.S. to now include the pediatric setting for those two years of age and older.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Nabi-HB</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IT SYSTEMS DISRUPTION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June 19, 2023, we experienced an IT systems disruption, which rendered certain of our IT systems inaccessible for less than one week. Our investigation of the disruption has been completed with the assistance of third-party consultants. While no definitive root cause was identified, as previously disclosed we believe that this IT systems disruption may have been caused by a third-party who may have gained access to the system. There was no original financial systems or other data loss or any evidence of files exfiltrated due to this disruption. Normal operations have resumed across our business units. At the time of the disruption, we were in production of two batches of BIVIGAM, and after a prolonged hold time, it was deemed to be a prudent GMP quality decision to discard these two in-process production batches as these batches were no longer viable for further production or had any alternative use. As a result, we recorded a one-time, non-recurring charge of $2.1 million for this inventory in the second quarter of 2023, which is reflected in Cost of product revenue in the accompanying consolidated statements of operations for the year ended December 31, 2023. In addition, the Company’s Plasma center operating expenses were adversely impacted by approximately $0.7 million due to the temporary closing of our plasma collection centers while their IT systems were restored.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carry appropriate insurance for these types of instances, and while there can be no assurances ADMA will be reimbursed for the insurance claims made pertaining to these charges, we are actively working with our insurance broker and carriers.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RESULTS OF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certain other deductions from gross revenues, impairment of long-lived assets, valuation of inventory,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Some of the estimates and assumptions we have to make under U.S. GAAP require difficult, subjective 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elsewhere in this Annual Report on Form 10-K. Estimates and assumptions used in projecting future liquidity and capital requirements are described in Note 1 to the Consolidated Financial Statements.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Historically, adjustments to these estimates to reflect actual results or updated expectations have not been material to our overall business. While we have some historical sales and rebate experience from our two primary immunoglobulin products, ASCENIV and BIVIGAM, since their FDA approvals in 2019, it is not extensive.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payor and channel mixes. While our results of operations to date have not required any material adjustment due to this risk, the delay between when this obligation is initially recorded and ultimately settled could potentially materially impact our revenues and our results of operations in the future.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Valuation of Inventory</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Estimates related to the valuation of inventory include net realizable value of inventory in determining whether the cost of inventory exceeds its net realizable value which, if this were the case, would require a charge against earnings to write down the value of the inventory to its net realizable value. Net realizable value of inventory is based on our management’s estimate of the future net selling price of the inventory, which is subject to market conditions and the estimation processes we use for revenues as discussed above. With respect to raw materials inventory, we are required to estimate the level and timing of usage of these materials prior to their expiration dates in determining whether it is appropriate to carry these materials on our balance sheet as a valid asset of the Company. Changes in either of these estimates could potentially materially impact our cost of product revenue and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Stock-Based Compensation and Valuation of Warrants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officers, we use the Black-Scholes option pricing model. The Black-Scholes option pricing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Any changes in the foregoing Black-Scholes assumptions, or an election by us to utilize an alternative method for valuing stock options granted to employees, directors and officers, could potentially impact our stock-based compensation expense and our results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also use the Black-Scholes option pricing model for the purpose of estimating the fair value of warrants we issue from time to time in connection with the issuance of notes payable. Changes in our Black-Scholes assumptions, or an election by us to utilize an alternative method for valuing warrants issued to our lenders, could impact our interest expense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Impairment of Long-Lived Assets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assess the recoverability of our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2023 and 2022, we determined that there was no impairment of our long-lived assets. Examples of events or circumstances that may be indicative of impairment that would require the use of significant judgment by management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significant adverse change in legal factors or in the business climate that could affect the value of the asset.</w:t>
            </w:r>
          </w:p>
        </w:tc>
      </w:tr>
    </w:tbl>
    <w:tbl>
      <w:tblPr>
        <w:tblW w:w="4248" w:type="dxa"/>
        <w:jc w:val="left"/>
        <w:tblInd w:w="0" w:type="dxa"/>
        <w:tblLayout w:type="fixed"/>
        <w:tblCellMar>
          <w:top w:w="0" w:type="dxa"/>
          <w:left w:w="0" w:type="dxa"/>
          <w:bottom w:w="0" w:type="dxa"/>
          <w:right w:w="0" w:type="dxa"/>
        </w:tblCellMar>
      </w:tblPr>
      <w:tblGrid>
        <w:gridCol w:w="38"/>
        <w:gridCol w:w="110"/>
        <w:gridCol w:w="41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0"/>
              <w:jc w:val="left"/>
              <w:rPr/>
            </w:pPr>
            <w:r>
              <w:rPr/>
              <w:t>Significant and continued cash flow losses.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 significant adverse change in the extent or manner in which an asset is used, such as a restriction imposed by the FDA or other regulatory authorities that could affect our ability to manufacture our products using a particular asset.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years ended December 31, 2023, 2022 and 2021.</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Deferred Tax Assets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have historically maintained a full valuation allowance against all of our net deferred tax assets, and as a result have recorded no income tax benefit in the accompanying consolidated financial statements.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and based on our history of losses, at this time we have not included future projected taxable income as a source of income to recognize our deferred tax assets.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Year Ended December 31, 2023 Compared to Year Ended December 31, 2022</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a summary of the changes in our results of operations for the year ended December 31, 2023, compared to the year ended December 31, 2022:</w:t>
      </w:r>
    </w:p>
    <w:p>
      <w:pPr>
        <w:pStyle w:val="TextBody"/>
        <w:bidi w:val="0"/>
        <w:spacing w:before="0" w:after="0"/>
        <w:jc w:val="left"/>
        <w:rPr/>
      </w:pPr>
      <w:r>
        <w:rPr/>
      </w:r>
    </w:p>
    <w:tbl>
      <w:tblPr>
        <w:tblW w:w="8423" w:type="dxa"/>
        <w:jc w:val="left"/>
        <w:tblInd w:w="0" w:type="dxa"/>
        <w:tblLayout w:type="fixed"/>
        <w:tblCellMar>
          <w:top w:w="0" w:type="dxa"/>
          <w:left w:w="0" w:type="dxa"/>
          <w:bottom w:w="0" w:type="dxa"/>
          <w:right w:w="0" w:type="dxa"/>
        </w:tblCellMar>
      </w:tblPr>
      <w:tblGrid>
        <w:gridCol w:w="4190"/>
        <w:gridCol w:w="23"/>
        <w:gridCol w:w="140"/>
        <w:gridCol w:w="800"/>
        <w:gridCol w:w="95"/>
        <w:gridCol w:w="23"/>
        <w:gridCol w:w="140"/>
        <w:gridCol w:w="800"/>
        <w:gridCol w:w="95"/>
        <w:gridCol w:w="23"/>
        <w:gridCol w:w="297"/>
        <w:gridCol w:w="1702"/>
        <w:gridCol w:w="95"/>
      </w:tblGrid>
      <w:tr>
        <w:trPr/>
        <w:tc>
          <w:tcPr>
            <w:tcW w:w="4190"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4115"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95" w:type="dxa"/>
            <w:tcBorders/>
            <w:vAlign w:val="bottom"/>
          </w:tcPr>
          <w:p>
            <w:pPr>
              <w:pStyle w:val="TableContents"/>
              <w:bidi w:val="0"/>
              <w:spacing w:before="0" w:after="283"/>
              <w:jc w:val="left"/>
              <w:rPr/>
            </w:pPr>
            <w:r>
              <w:rPr/>
            </w:r>
          </w:p>
        </w:tc>
      </w:tr>
      <w:tr>
        <w:trPr/>
        <w:tc>
          <w:tcPr>
            <w:tcW w:w="4190" w:type="dxa"/>
            <w:tcBorders/>
            <w:vAlign w:val="bottom"/>
          </w:tcPr>
          <w:p>
            <w:pPr>
              <w:pStyle w:val="TableContents"/>
              <w:bidi w:val="0"/>
              <w:spacing w:before="0" w:after="0"/>
              <w:ind w:left="144" w:right="0" w:hanging="144"/>
              <w:jc w:val="center"/>
              <w:rPr>
                <w:i/>
              </w:rPr>
            </w:pPr>
            <w:r>
              <w:rPr>
                <w:i/>
              </w:rPr>
              <w:t>(in thousands)</w:t>
            </w:r>
          </w:p>
        </w:tc>
        <w:tc>
          <w:tcPr>
            <w:tcW w:w="23" w:type="dxa"/>
            <w:tcBorders/>
            <w:vAlign w:val="bottom"/>
          </w:tcPr>
          <w:p>
            <w:pPr>
              <w:pStyle w:val="TableContents"/>
              <w:bidi w:val="0"/>
              <w:spacing w:before="0" w:after="283"/>
              <w:jc w:val="left"/>
              <w:rPr/>
            </w:pPr>
            <w:r>
              <w:rPr/>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999"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Increase (Decrease)</w:t>
            </w:r>
          </w:p>
        </w:tc>
        <w:tc>
          <w:tcPr>
            <w:tcW w:w="95" w:type="dxa"/>
            <w:tcBorders/>
            <w:vAlign w:val="bottom"/>
          </w:tcPr>
          <w:p>
            <w:pPr>
              <w:pStyle w:val="TableContents"/>
              <w:bidi w:val="0"/>
              <w:spacing w:before="0" w:after="283"/>
              <w:jc w:val="left"/>
              <w:rPr/>
            </w:pPr>
            <w:r>
              <w:rPr/>
            </w:r>
          </w:p>
        </w:tc>
      </w:tr>
      <w:tr>
        <w:trPr/>
        <w:tc>
          <w:tcPr>
            <w:tcW w:w="4190" w:type="dxa"/>
            <w:tcBorders/>
            <w:shd w:fill="CCEEFF" w:val="clear"/>
            <w:vAlign w:val="bottom"/>
          </w:tcPr>
          <w:p>
            <w:pPr>
              <w:pStyle w:val="TableContents"/>
              <w:bidi w:val="0"/>
              <w:spacing w:before="0" w:after="0"/>
              <w:ind w:left="144" w:right="0" w:hanging="144"/>
              <w:jc w:val="left"/>
              <w:rPr/>
            </w:pPr>
            <w:r>
              <w:rPr/>
              <w:t>Revenues</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258,215</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154,080</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297" w:type="dxa"/>
            <w:tcBorders/>
            <w:shd w:fill="CCEEFF" w:val="clear"/>
            <w:vAlign w:val="bottom"/>
          </w:tcPr>
          <w:p>
            <w:pPr>
              <w:pStyle w:val="TableContents"/>
              <w:bidi w:val="0"/>
              <w:spacing w:before="0" w:after="0"/>
              <w:jc w:val="left"/>
              <w:rPr/>
            </w:pPr>
            <w:r>
              <w:rPr/>
              <w:t>$</w:t>
            </w:r>
          </w:p>
        </w:tc>
        <w:tc>
          <w:tcPr>
            <w:tcW w:w="1702" w:type="dxa"/>
            <w:tcBorders/>
            <w:shd w:fill="CCEEFF" w:val="clear"/>
            <w:vAlign w:val="bottom"/>
          </w:tcPr>
          <w:p>
            <w:pPr>
              <w:pStyle w:val="TableContents"/>
              <w:bidi w:val="0"/>
              <w:spacing w:before="0" w:after="0"/>
              <w:jc w:val="right"/>
              <w:rPr/>
            </w:pPr>
            <w:r>
              <w:rPr/>
              <w:t>104,135</w:t>
            </w:r>
          </w:p>
        </w:tc>
        <w:tc>
          <w:tcPr>
            <w:tcW w:w="95" w:type="dxa"/>
            <w:tcBorders/>
            <w:shd w:fill="CCEEFF" w:val="clear"/>
            <w:vAlign w:val="bottom"/>
          </w:tcPr>
          <w:p>
            <w:pPr>
              <w:pStyle w:val="TableContents"/>
              <w:bidi w:val="0"/>
              <w:spacing w:before="0" w:after="283"/>
              <w:jc w:val="left"/>
              <w:rPr/>
            </w:pPr>
            <w:r>
              <w:rPr/>
            </w:r>
          </w:p>
        </w:tc>
      </w:tr>
      <w:tr>
        <w:trPr/>
        <w:tc>
          <w:tcPr>
            <w:tcW w:w="4190" w:type="dxa"/>
            <w:tcBorders/>
            <w:vAlign w:val="bottom"/>
          </w:tcPr>
          <w:p>
            <w:pPr>
              <w:pStyle w:val="TableContents"/>
              <w:bidi w:val="0"/>
              <w:spacing w:before="0" w:after="0"/>
              <w:ind w:left="144" w:right="0" w:hanging="144"/>
              <w:jc w:val="left"/>
              <w:rPr/>
            </w:pPr>
            <w:r>
              <w:rPr/>
              <w:t>Cost of product revenue</w:t>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800" w:type="dxa"/>
            <w:tcBorders>
              <w:bottom w:val="single" w:sz="12" w:space="0" w:color="000000"/>
            </w:tcBorders>
            <w:tcMar>
              <w:bottom w:w="28" w:type="dxa"/>
            </w:tcMar>
            <w:vAlign w:val="bottom"/>
          </w:tcPr>
          <w:p>
            <w:pPr>
              <w:pStyle w:val="TableContents"/>
              <w:bidi w:val="0"/>
              <w:spacing w:before="0" w:after="0"/>
              <w:jc w:val="right"/>
              <w:rPr/>
            </w:pPr>
            <w:r>
              <w:rPr/>
              <w:t>169,273</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800" w:type="dxa"/>
            <w:tcBorders>
              <w:bottom w:val="single" w:sz="12" w:space="0" w:color="000000"/>
            </w:tcBorders>
            <w:tcMar>
              <w:bottom w:w="28" w:type="dxa"/>
            </w:tcMar>
            <w:vAlign w:val="bottom"/>
          </w:tcPr>
          <w:p>
            <w:pPr>
              <w:pStyle w:val="TableContents"/>
              <w:bidi w:val="0"/>
              <w:spacing w:before="0" w:after="0"/>
              <w:jc w:val="right"/>
              <w:rPr/>
            </w:pPr>
            <w:r>
              <w:rPr/>
              <w:t>118,815</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297" w:type="dxa"/>
            <w:tcBorders>
              <w:bottom w:val="single" w:sz="12" w:space="0" w:color="000000"/>
            </w:tcBorders>
            <w:tcMar>
              <w:bottom w:w="28" w:type="dxa"/>
            </w:tcMar>
            <w:vAlign w:val="bottom"/>
          </w:tcPr>
          <w:p>
            <w:pPr>
              <w:pStyle w:val="TableContents"/>
              <w:bidi w:val="0"/>
              <w:spacing w:before="0" w:after="283"/>
              <w:jc w:val="left"/>
              <w:rPr/>
            </w:pPr>
            <w:r>
              <w:rPr/>
            </w:r>
          </w:p>
        </w:tc>
        <w:tc>
          <w:tcPr>
            <w:tcW w:w="1702" w:type="dxa"/>
            <w:tcBorders>
              <w:bottom w:val="single" w:sz="12" w:space="0" w:color="000000"/>
            </w:tcBorders>
            <w:tcMar>
              <w:bottom w:w="28" w:type="dxa"/>
            </w:tcMar>
            <w:vAlign w:val="bottom"/>
          </w:tcPr>
          <w:p>
            <w:pPr>
              <w:pStyle w:val="TableContents"/>
              <w:bidi w:val="0"/>
              <w:spacing w:before="0" w:after="0"/>
              <w:jc w:val="right"/>
              <w:rPr/>
            </w:pPr>
            <w:r>
              <w:rPr/>
              <w:t>50,458</w:t>
            </w:r>
          </w:p>
        </w:tc>
        <w:tc>
          <w:tcPr>
            <w:tcW w:w="95" w:type="dxa"/>
            <w:tcBorders/>
            <w:vAlign w:val="bottom"/>
          </w:tcPr>
          <w:p>
            <w:pPr>
              <w:pStyle w:val="TableContents"/>
              <w:bidi w:val="0"/>
              <w:spacing w:before="0" w:after="283"/>
              <w:jc w:val="left"/>
              <w:rPr/>
            </w:pPr>
            <w:r>
              <w:rPr/>
            </w:r>
          </w:p>
        </w:tc>
      </w:tr>
      <w:tr>
        <w:trPr/>
        <w:tc>
          <w:tcPr>
            <w:tcW w:w="4190" w:type="dxa"/>
            <w:tcBorders/>
            <w:shd w:fill="CCEEFF" w:val="clear"/>
            <w:vAlign w:val="bottom"/>
          </w:tcPr>
          <w:p>
            <w:pPr>
              <w:pStyle w:val="TableContents"/>
              <w:bidi w:val="0"/>
              <w:spacing w:before="0" w:after="0"/>
              <w:ind w:left="144" w:right="0" w:hanging="144"/>
              <w:jc w:val="left"/>
              <w:rPr/>
            </w:pPr>
            <w:r>
              <w:rPr/>
              <w:t>Gross profit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0"/>
              <w:jc w:val="right"/>
              <w:rPr/>
            </w:pPr>
            <w:r>
              <w:rPr/>
              <w:t>88,942</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0"/>
              <w:jc w:val="right"/>
              <w:rPr/>
            </w:pPr>
            <w:r>
              <w:rPr/>
              <w:t>35,265</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297" w:type="dxa"/>
            <w:tcBorders/>
            <w:shd w:fill="CCEEFF" w:val="clear"/>
            <w:vAlign w:val="bottom"/>
          </w:tcPr>
          <w:p>
            <w:pPr>
              <w:pStyle w:val="TableContents"/>
              <w:bidi w:val="0"/>
              <w:spacing w:before="0" w:after="283"/>
              <w:jc w:val="left"/>
              <w:rPr/>
            </w:pPr>
            <w:r>
              <w:rPr/>
            </w:r>
          </w:p>
        </w:tc>
        <w:tc>
          <w:tcPr>
            <w:tcW w:w="1702" w:type="dxa"/>
            <w:tcBorders/>
            <w:shd w:fill="CCEEFF" w:val="clear"/>
            <w:vAlign w:val="bottom"/>
          </w:tcPr>
          <w:p>
            <w:pPr>
              <w:pStyle w:val="TableContents"/>
              <w:bidi w:val="0"/>
              <w:spacing w:before="0" w:after="0"/>
              <w:jc w:val="right"/>
              <w:rPr/>
            </w:pPr>
            <w:r>
              <w:rPr/>
              <w:t>53,677</w:t>
            </w:r>
          </w:p>
        </w:tc>
        <w:tc>
          <w:tcPr>
            <w:tcW w:w="95" w:type="dxa"/>
            <w:tcBorders/>
            <w:shd w:fill="CCEEFF" w:val="clear"/>
            <w:vAlign w:val="bottom"/>
          </w:tcPr>
          <w:p>
            <w:pPr>
              <w:pStyle w:val="TableContents"/>
              <w:bidi w:val="0"/>
              <w:spacing w:before="0" w:after="283"/>
              <w:jc w:val="left"/>
              <w:rPr/>
            </w:pPr>
            <w:r>
              <w:rPr/>
            </w:r>
          </w:p>
        </w:tc>
      </w:tr>
      <w:tr>
        <w:trPr/>
        <w:tc>
          <w:tcPr>
            <w:tcW w:w="4190" w:type="dxa"/>
            <w:tcBorders/>
            <w:vAlign w:val="bottom"/>
          </w:tcPr>
          <w:p>
            <w:pPr>
              <w:pStyle w:val="TableContents"/>
              <w:bidi w:val="0"/>
              <w:spacing w:before="0" w:after="0"/>
              <w:ind w:left="144" w:right="0" w:hanging="144"/>
              <w:jc w:val="left"/>
              <w:rPr/>
            </w:pPr>
            <w:r>
              <w:rPr/>
              <w:t>Research and development expenses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3,300</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3,614</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297" w:type="dxa"/>
            <w:tcBorders/>
            <w:vAlign w:val="bottom"/>
          </w:tcPr>
          <w:p>
            <w:pPr>
              <w:pStyle w:val="TableContents"/>
              <w:bidi w:val="0"/>
              <w:spacing w:before="0" w:after="283"/>
              <w:jc w:val="left"/>
              <w:rPr/>
            </w:pPr>
            <w:r>
              <w:rPr/>
            </w:r>
          </w:p>
        </w:tc>
        <w:tc>
          <w:tcPr>
            <w:tcW w:w="1702" w:type="dxa"/>
            <w:tcBorders/>
            <w:vAlign w:val="bottom"/>
          </w:tcPr>
          <w:p>
            <w:pPr>
              <w:pStyle w:val="TableContents"/>
              <w:bidi w:val="0"/>
              <w:spacing w:before="0" w:after="0"/>
              <w:jc w:val="right"/>
              <w:rPr/>
            </w:pPr>
            <w:r>
              <w:rPr/>
              <w:t>(314</w:t>
            </w:r>
          </w:p>
        </w:tc>
        <w:tc>
          <w:tcPr>
            <w:tcW w:w="95" w:type="dxa"/>
            <w:tcBorders/>
            <w:vAlign w:val="bottom"/>
          </w:tcPr>
          <w:p>
            <w:pPr>
              <w:pStyle w:val="TableContents"/>
              <w:bidi w:val="0"/>
              <w:spacing w:before="0" w:after="0"/>
              <w:jc w:val="left"/>
              <w:rPr/>
            </w:pPr>
            <w:r>
              <w:rPr/>
              <w:t>)</w:t>
            </w:r>
          </w:p>
        </w:tc>
      </w:tr>
      <w:tr>
        <w:trPr/>
        <w:tc>
          <w:tcPr>
            <w:tcW w:w="4190" w:type="dxa"/>
            <w:tcBorders/>
            <w:shd w:fill="CCEEFF" w:val="clear"/>
            <w:vAlign w:val="bottom"/>
          </w:tcPr>
          <w:p>
            <w:pPr>
              <w:pStyle w:val="TableContents"/>
              <w:bidi w:val="0"/>
              <w:spacing w:before="0" w:after="0"/>
              <w:ind w:left="144" w:right="0" w:hanging="144"/>
              <w:jc w:val="left"/>
              <w:rPr/>
            </w:pPr>
            <w:r>
              <w:rPr/>
              <w:t>Plasma center operating expenses</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0"/>
              <w:jc w:val="right"/>
              <w:rPr/>
            </w:pPr>
            <w:r>
              <w:rPr/>
              <w:t>4,266</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0"/>
              <w:jc w:val="right"/>
              <w:rPr/>
            </w:pPr>
            <w:r>
              <w:rPr/>
              <w:t>17,843</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297" w:type="dxa"/>
            <w:tcBorders/>
            <w:shd w:fill="CCEEFF" w:val="clear"/>
            <w:vAlign w:val="bottom"/>
          </w:tcPr>
          <w:p>
            <w:pPr>
              <w:pStyle w:val="TableContents"/>
              <w:bidi w:val="0"/>
              <w:spacing w:before="0" w:after="283"/>
              <w:jc w:val="left"/>
              <w:rPr/>
            </w:pPr>
            <w:r>
              <w:rPr/>
            </w:r>
          </w:p>
        </w:tc>
        <w:tc>
          <w:tcPr>
            <w:tcW w:w="1702" w:type="dxa"/>
            <w:tcBorders/>
            <w:shd w:fill="CCEEFF" w:val="clear"/>
            <w:vAlign w:val="bottom"/>
          </w:tcPr>
          <w:p>
            <w:pPr>
              <w:pStyle w:val="TableContents"/>
              <w:bidi w:val="0"/>
              <w:spacing w:before="0" w:after="0"/>
              <w:jc w:val="right"/>
              <w:rPr/>
            </w:pPr>
            <w:r>
              <w:rPr/>
              <w:t>(13,577</w:t>
            </w:r>
          </w:p>
        </w:tc>
        <w:tc>
          <w:tcPr>
            <w:tcW w:w="95" w:type="dxa"/>
            <w:tcBorders/>
            <w:shd w:fill="CCEEFF" w:val="clear"/>
            <w:vAlign w:val="bottom"/>
          </w:tcPr>
          <w:p>
            <w:pPr>
              <w:pStyle w:val="TableContents"/>
              <w:bidi w:val="0"/>
              <w:spacing w:before="0" w:after="0"/>
              <w:jc w:val="left"/>
              <w:rPr/>
            </w:pPr>
            <w:r>
              <w:rPr/>
              <w:t>)</w:t>
            </w:r>
          </w:p>
        </w:tc>
      </w:tr>
      <w:tr>
        <w:trPr/>
        <w:tc>
          <w:tcPr>
            <w:tcW w:w="4190" w:type="dxa"/>
            <w:tcBorders/>
            <w:vAlign w:val="bottom"/>
          </w:tcPr>
          <w:p>
            <w:pPr>
              <w:pStyle w:val="TableContents"/>
              <w:bidi w:val="0"/>
              <w:spacing w:before="0" w:after="0"/>
              <w:ind w:left="144" w:right="0" w:hanging="144"/>
              <w:jc w:val="left"/>
              <w:rPr/>
            </w:pPr>
            <w:r>
              <w:rPr/>
              <w:t>Amortization of intangibles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724</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715</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297" w:type="dxa"/>
            <w:tcBorders/>
            <w:vAlign w:val="bottom"/>
          </w:tcPr>
          <w:p>
            <w:pPr>
              <w:pStyle w:val="TableContents"/>
              <w:bidi w:val="0"/>
              <w:spacing w:before="0" w:after="283"/>
              <w:jc w:val="left"/>
              <w:rPr/>
            </w:pPr>
            <w:r>
              <w:rPr/>
            </w:r>
          </w:p>
        </w:tc>
        <w:tc>
          <w:tcPr>
            <w:tcW w:w="1702" w:type="dxa"/>
            <w:tcBorders/>
            <w:vAlign w:val="bottom"/>
          </w:tcPr>
          <w:p>
            <w:pPr>
              <w:pStyle w:val="TableContents"/>
              <w:bidi w:val="0"/>
              <w:spacing w:before="0" w:after="0"/>
              <w:jc w:val="right"/>
              <w:rPr/>
            </w:pPr>
            <w:r>
              <w:rPr/>
              <w:t>9</w:t>
            </w:r>
          </w:p>
        </w:tc>
        <w:tc>
          <w:tcPr>
            <w:tcW w:w="95" w:type="dxa"/>
            <w:tcBorders/>
            <w:vAlign w:val="bottom"/>
          </w:tcPr>
          <w:p>
            <w:pPr>
              <w:pStyle w:val="TableContents"/>
              <w:bidi w:val="0"/>
              <w:spacing w:before="0" w:after="283"/>
              <w:jc w:val="left"/>
              <w:rPr/>
            </w:pPr>
            <w:r>
              <w:rPr/>
            </w:r>
          </w:p>
        </w:tc>
      </w:tr>
      <w:tr>
        <w:trPr/>
        <w:tc>
          <w:tcPr>
            <w:tcW w:w="4190" w:type="dxa"/>
            <w:tcBorders/>
            <w:shd w:fill="CCEEFF" w:val="clear"/>
            <w:vAlign w:val="bottom"/>
          </w:tcPr>
          <w:p>
            <w:pPr>
              <w:pStyle w:val="TableContents"/>
              <w:bidi w:val="0"/>
              <w:spacing w:before="0" w:after="0"/>
              <w:ind w:left="144" w:right="0" w:hanging="144"/>
              <w:jc w:val="left"/>
              <w:rPr/>
            </w:pPr>
            <w:r>
              <w:rPr/>
              <w:t>Selling, general and administrative expenses</w:t>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59,020</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52,458</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297"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1702" w:type="dxa"/>
            <w:tcBorders>
              <w:bottom w:val="single" w:sz="12" w:space="0" w:color="000000"/>
            </w:tcBorders>
            <w:shd w:fill="CCEEFF" w:val="clear"/>
            <w:tcMar>
              <w:bottom w:w="28" w:type="dxa"/>
            </w:tcMar>
            <w:vAlign w:val="bottom"/>
          </w:tcPr>
          <w:p>
            <w:pPr>
              <w:pStyle w:val="TableContents"/>
              <w:bidi w:val="0"/>
              <w:spacing w:before="0" w:after="0"/>
              <w:jc w:val="right"/>
              <w:rPr/>
            </w:pPr>
            <w:r>
              <w:rPr/>
              <w:t>6,562</w:t>
            </w:r>
          </w:p>
        </w:tc>
        <w:tc>
          <w:tcPr>
            <w:tcW w:w="95" w:type="dxa"/>
            <w:tcBorders/>
            <w:shd w:fill="CCEEFF" w:val="clear"/>
            <w:vAlign w:val="bottom"/>
          </w:tcPr>
          <w:p>
            <w:pPr>
              <w:pStyle w:val="TableContents"/>
              <w:bidi w:val="0"/>
              <w:spacing w:before="0" w:after="283"/>
              <w:jc w:val="left"/>
              <w:rPr/>
            </w:pPr>
            <w:r>
              <w:rPr/>
            </w:r>
          </w:p>
        </w:tc>
      </w:tr>
      <w:tr>
        <w:trPr/>
        <w:tc>
          <w:tcPr>
            <w:tcW w:w="4190" w:type="dxa"/>
            <w:tcBorders/>
            <w:vAlign w:val="bottom"/>
          </w:tcPr>
          <w:p>
            <w:pPr>
              <w:pStyle w:val="TableContents"/>
              <w:bidi w:val="0"/>
              <w:spacing w:before="0" w:after="0"/>
              <w:ind w:left="144" w:right="0" w:hanging="144"/>
              <w:jc w:val="left"/>
              <w:rPr/>
            </w:pPr>
            <w:r>
              <w:rPr/>
              <w:t>Income (loss) from operations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21,632</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(39,365</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297" w:type="dxa"/>
            <w:tcBorders/>
            <w:vAlign w:val="bottom"/>
          </w:tcPr>
          <w:p>
            <w:pPr>
              <w:pStyle w:val="TableContents"/>
              <w:bidi w:val="0"/>
              <w:spacing w:before="0" w:after="283"/>
              <w:jc w:val="left"/>
              <w:rPr/>
            </w:pPr>
            <w:r>
              <w:rPr/>
            </w:r>
          </w:p>
        </w:tc>
        <w:tc>
          <w:tcPr>
            <w:tcW w:w="1702" w:type="dxa"/>
            <w:tcBorders/>
            <w:vAlign w:val="bottom"/>
          </w:tcPr>
          <w:p>
            <w:pPr>
              <w:pStyle w:val="TableContents"/>
              <w:bidi w:val="0"/>
              <w:spacing w:before="0" w:after="0"/>
              <w:jc w:val="right"/>
              <w:rPr/>
            </w:pPr>
            <w:r>
              <w:rPr/>
              <w:t>60,997</w:t>
            </w:r>
          </w:p>
        </w:tc>
        <w:tc>
          <w:tcPr>
            <w:tcW w:w="95" w:type="dxa"/>
            <w:tcBorders/>
            <w:vAlign w:val="bottom"/>
          </w:tcPr>
          <w:p>
            <w:pPr>
              <w:pStyle w:val="TableContents"/>
              <w:bidi w:val="0"/>
              <w:spacing w:before="0" w:after="283"/>
              <w:jc w:val="left"/>
              <w:rPr/>
            </w:pPr>
            <w:r>
              <w:rPr/>
            </w:r>
          </w:p>
        </w:tc>
      </w:tr>
      <w:tr>
        <w:trPr/>
        <w:tc>
          <w:tcPr>
            <w:tcW w:w="4190" w:type="dxa"/>
            <w:tcBorders/>
            <w:shd w:fill="CCEEFF" w:val="clear"/>
            <w:vAlign w:val="bottom"/>
          </w:tcPr>
          <w:p>
            <w:pPr>
              <w:pStyle w:val="TableContents"/>
              <w:bidi w:val="0"/>
              <w:spacing w:before="0" w:after="0"/>
              <w:ind w:left="144" w:right="0" w:hanging="144"/>
              <w:jc w:val="left"/>
              <w:rPr/>
            </w:pPr>
            <w:r>
              <w:rPr/>
              <w:t>Interest expense</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0"/>
              <w:jc w:val="right"/>
              <w:rPr/>
            </w:pPr>
            <w:r>
              <w:rPr/>
              <w:t>(25,027</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0"/>
              <w:jc w:val="right"/>
              <w:rPr/>
            </w:pPr>
            <w:r>
              <w:rPr/>
              <w:t>(19,279</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297" w:type="dxa"/>
            <w:tcBorders/>
            <w:shd w:fill="CCEEFF" w:val="clear"/>
            <w:vAlign w:val="bottom"/>
          </w:tcPr>
          <w:p>
            <w:pPr>
              <w:pStyle w:val="TableContents"/>
              <w:bidi w:val="0"/>
              <w:spacing w:before="0" w:after="283"/>
              <w:jc w:val="left"/>
              <w:rPr/>
            </w:pPr>
            <w:r>
              <w:rPr/>
            </w:r>
          </w:p>
        </w:tc>
        <w:tc>
          <w:tcPr>
            <w:tcW w:w="1702" w:type="dxa"/>
            <w:tcBorders/>
            <w:shd w:fill="CCEEFF" w:val="clear"/>
            <w:vAlign w:val="bottom"/>
          </w:tcPr>
          <w:p>
            <w:pPr>
              <w:pStyle w:val="TableContents"/>
              <w:bidi w:val="0"/>
              <w:spacing w:before="0" w:after="0"/>
              <w:jc w:val="right"/>
              <w:rPr/>
            </w:pPr>
            <w:r>
              <w:rPr/>
              <w:t>(5,748</w:t>
            </w:r>
          </w:p>
        </w:tc>
        <w:tc>
          <w:tcPr>
            <w:tcW w:w="95" w:type="dxa"/>
            <w:tcBorders/>
            <w:shd w:fill="CCEEFF" w:val="clear"/>
            <w:vAlign w:val="bottom"/>
          </w:tcPr>
          <w:p>
            <w:pPr>
              <w:pStyle w:val="TableContents"/>
              <w:bidi w:val="0"/>
              <w:spacing w:before="0" w:after="0"/>
              <w:jc w:val="left"/>
              <w:rPr/>
            </w:pPr>
            <w:r>
              <w:rPr/>
              <w:t>)</w:t>
            </w:r>
          </w:p>
        </w:tc>
      </w:tr>
      <w:tr>
        <w:trPr/>
        <w:tc>
          <w:tcPr>
            <w:tcW w:w="4190" w:type="dxa"/>
            <w:tcBorders/>
            <w:vAlign w:val="bottom"/>
          </w:tcPr>
          <w:p>
            <w:pPr>
              <w:pStyle w:val="TableContents"/>
              <w:bidi w:val="0"/>
              <w:spacing w:before="0" w:after="0"/>
              <w:ind w:left="144" w:right="0" w:hanging="144"/>
              <w:jc w:val="left"/>
              <w:rPr/>
            </w:pPr>
            <w:r>
              <w:rPr/>
              <w:t>Loss on extinguishment of debt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(26,174</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(6,670</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297" w:type="dxa"/>
            <w:tcBorders/>
            <w:vAlign w:val="bottom"/>
          </w:tcPr>
          <w:p>
            <w:pPr>
              <w:pStyle w:val="TableContents"/>
              <w:bidi w:val="0"/>
              <w:spacing w:before="0" w:after="283"/>
              <w:jc w:val="left"/>
              <w:rPr/>
            </w:pPr>
            <w:r>
              <w:rPr/>
            </w:r>
          </w:p>
        </w:tc>
        <w:tc>
          <w:tcPr>
            <w:tcW w:w="1702" w:type="dxa"/>
            <w:tcBorders/>
            <w:vAlign w:val="bottom"/>
          </w:tcPr>
          <w:p>
            <w:pPr>
              <w:pStyle w:val="TableContents"/>
              <w:bidi w:val="0"/>
              <w:spacing w:before="0" w:after="0"/>
              <w:jc w:val="right"/>
              <w:rPr/>
            </w:pPr>
            <w:r>
              <w:rPr/>
              <w:t>(19,504</w:t>
            </w:r>
          </w:p>
        </w:tc>
        <w:tc>
          <w:tcPr>
            <w:tcW w:w="95" w:type="dxa"/>
            <w:tcBorders/>
            <w:vAlign w:val="bottom"/>
          </w:tcPr>
          <w:p>
            <w:pPr>
              <w:pStyle w:val="TableContents"/>
              <w:bidi w:val="0"/>
              <w:spacing w:before="0" w:after="0"/>
              <w:jc w:val="left"/>
              <w:rPr/>
            </w:pPr>
            <w:r>
              <w:rPr/>
              <w:t>)</w:t>
            </w:r>
          </w:p>
        </w:tc>
      </w:tr>
      <w:tr>
        <w:trPr/>
        <w:tc>
          <w:tcPr>
            <w:tcW w:w="4190" w:type="dxa"/>
            <w:tcBorders/>
            <w:shd w:fill="CCEEFF" w:val="clear"/>
            <w:vAlign w:val="bottom"/>
          </w:tcPr>
          <w:p>
            <w:pPr>
              <w:pStyle w:val="TableContents"/>
              <w:bidi w:val="0"/>
              <w:spacing w:before="0" w:after="0"/>
              <w:ind w:left="144" w:right="0" w:hanging="144"/>
              <w:jc w:val="left"/>
              <w:rPr/>
            </w:pPr>
            <w:r>
              <w:rPr/>
              <w:t>Other income (expense), net</w:t>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1,330</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(590</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297"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1702" w:type="dxa"/>
            <w:tcBorders>
              <w:bottom w:val="single" w:sz="12" w:space="0" w:color="000000"/>
            </w:tcBorders>
            <w:shd w:fill="CCEEFF" w:val="clear"/>
            <w:tcMar>
              <w:bottom w:w="28" w:type="dxa"/>
            </w:tcMar>
            <w:vAlign w:val="bottom"/>
          </w:tcPr>
          <w:p>
            <w:pPr>
              <w:pStyle w:val="TableContents"/>
              <w:bidi w:val="0"/>
              <w:spacing w:before="0" w:after="0"/>
              <w:jc w:val="right"/>
              <w:rPr/>
            </w:pPr>
            <w:r>
              <w:rPr/>
              <w:t>1,920</w:t>
            </w:r>
          </w:p>
        </w:tc>
        <w:tc>
          <w:tcPr>
            <w:tcW w:w="95" w:type="dxa"/>
            <w:tcBorders/>
            <w:shd w:fill="CCEEFF" w:val="clear"/>
            <w:vAlign w:val="bottom"/>
          </w:tcPr>
          <w:p>
            <w:pPr>
              <w:pStyle w:val="TableContents"/>
              <w:bidi w:val="0"/>
              <w:spacing w:before="0" w:after="283"/>
              <w:jc w:val="left"/>
              <w:rPr/>
            </w:pPr>
            <w:r>
              <w:rPr/>
            </w:r>
          </w:p>
        </w:tc>
      </w:tr>
      <w:tr>
        <w:trPr/>
        <w:tc>
          <w:tcPr>
            <w:tcW w:w="4190" w:type="dxa"/>
            <w:tcBorders/>
            <w:vAlign w:val="bottom"/>
          </w:tcPr>
          <w:p>
            <w:pPr>
              <w:pStyle w:val="TableContents"/>
              <w:bidi w:val="0"/>
              <w:spacing w:before="0" w:after="0"/>
              <w:ind w:left="144" w:right="0" w:hanging="144"/>
              <w:jc w:val="left"/>
              <w:rPr/>
            </w:pPr>
            <w:r>
              <w:rPr/>
              <w:t>Net loss</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(28,239</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(65,904</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297" w:type="dxa"/>
            <w:tcBorders>
              <w:bottom w:val="double" w:sz="8" w:space="0" w:color="000000"/>
            </w:tcBorders>
            <w:tcMar>
              <w:bottom w:w="28" w:type="dxa"/>
            </w:tcMar>
            <w:vAlign w:val="bottom"/>
          </w:tcPr>
          <w:p>
            <w:pPr>
              <w:pStyle w:val="TableContents"/>
              <w:bidi w:val="0"/>
              <w:spacing w:before="0" w:after="0"/>
              <w:jc w:val="left"/>
              <w:rPr/>
            </w:pPr>
            <w:r>
              <w:rPr/>
              <w:t>$</w:t>
            </w:r>
          </w:p>
        </w:tc>
        <w:tc>
          <w:tcPr>
            <w:tcW w:w="1702" w:type="dxa"/>
            <w:tcBorders>
              <w:bottom w:val="double" w:sz="8" w:space="0" w:color="000000"/>
            </w:tcBorders>
            <w:tcMar>
              <w:bottom w:w="28" w:type="dxa"/>
            </w:tcMar>
            <w:vAlign w:val="bottom"/>
          </w:tcPr>
          <w:p>
            <w:pPr>
              <w:pStyle w:val="TableContents"/>
              <w:bidi w:val="0"/>
              <w:spacing w:before="0" w:after="0"/>
              <w:jc w:val="right"/>
              <w:rPr/>
            </w:pPr>
            <w:r>
              <w:rPr/>
              <w:t>37,665</w:t>
            </w:r>
          </w:p>
        </w:tc>
        <w:tc>
          <w:tcPr>
            <w:tcW w:w="95" w:type="dxa"/>
            <w:tcBorders/>
            <w:vAlign w:val="bottom"/>
          </w:tcPr>
          <w:p>
            <w:pPr>
              <w:pStyle w:val="TableContents"/>
              <w:bidi w:val="0"/>
              <w:spacing w:before="0" w:after="283"/>
              <w:jc w:val="left"/>
              <w:rPr/>
            </w:pPr>
            <w:r>
              <w:rPr/>
            </w:r>
          </w:p>
        </w:tc>
      </w:tr>
      <w:tr>
        <w:trPr/>
        <w:tc>
          <w:tcPr>
            <w:tcW w:w="4190"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297" w:type="dxa"/>
            <w:tcBorders/>
            <w:shd w:fill="CCEEFF" w:val="clear"/>
            <w:vAlign w:val="bottom"/>
          </w:tcPr>
          <w:p>
            <w:pPr>
              <w:pStyle w:val="TableContents"/>
              <w:bidi w:val="0"/>
              <w:spacing w:before="0" w:after="283"/>
              <w:jc w:val="left"/>
              <w:rPr/>
            </w:pPr>
            <w:r>
              <w:rPr/>
            </w:r>
          </w:p>
        </w:tc>
        <w:tc>
          <w:tcPr>
            <w:tcW w:w="1702"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r>
      <w:tr>
        <w:trPr/>
        <w:tc>
          <w:tcPr>
            <w:tcW w:w="4190" w:type="dxa"/>
            <w:tcBorders/>
            <w:vAlign w:val="bottom"/>
          </w:tcPr>
          <w:p>
            <w:pPr>
              <w:pStyle w:val="TableContents"/>
              <w:bidi w:val="0"/>
              <w:spacing w:before="0" w:after="0"/>
              <w:ind w:left="144" w:right="0" w:hanging="144"/>
              <w:jc w:val="left"/>
              <w:rPr/>
            </w:pPr>
            <w:r>
              <w:rPr/>
              <w:t>Adjusted EBITDA *</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40,251</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(27,627</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297" w:type="dxa"/>
            <w:tcBorders>
              <w:bottom w:val="double" w:sz="8" w:space="0" w:color="000000"/>
            </w:tcBorders>
            <w:tcMar>
              <w:bottom w:w="28" w:type="dxa"/>
            </w:tcMar>
            <w:vAlign w:val="bottom"/>
          </w:tcPr>
          <w:p>
            <w:pPr>
              <w:pStyle w:val="TableContents"/>
              <w:bidi w:val="0"/>
              <w:spacing w:before="0" w:after="0"/>
              <w:jc w:val="left"/>
              <w:rPr/>
            </w:pPr>
            <w:r>
              <w:rPr/>
              <w:t>$</w:t>
            </w:r>
          </w:p>
        </w:tc>
        <w:tc>
          <w:tcPr>
            <w:tcW w:w="1702" w:type="dxa"/>
            <w:tcBorders>
              <w:bottom w:val="double" w:sz="8" w:space="0" w:color="000000"/>
            </w:tcBorders>
            <w:tcMar>
              <w:bottom w:w="28" w:type="dxa"/>
            </w:tcMar>
            <w:vAlign w:val="bottom"/>
          </w:tcPr>
          <w:p>
            <w:pPr>
              <w:pStyle w:val="TableContents"/>
              <w:bidi w:val="0"/>
              <w:spacing w:before="0" w:after="0"/>
              <w:jc w:val="right"/>
              <w:rPr/>
            </w:pPr>
            <w:r>
              <w:rPr/>
              <w:t>67,878</w:t>
            </w:r>
          </w:p>
        </w:tc>
        <w:tc>
          <w:tcPr>
            <w:tcW w:w="95" w:type="dxa"/>
            <w:tcBorders/>
            <w:vAlign w:val="bottom"/>
          </w:tcPr>
          <w:p>
            <w:pPr>
              <w:pStyle w:val="TableContents"/>
              <w:bidi w:val="0"/>
              <w:spacing w:before="0" w:after="283"/>
              <w:jc w:val="left"/>
              <w:rPr/>
            </w:pPr>
            <w:r>
              <w:rPr/>
            </w:r>
          </w:p>
        </w:tc>
      </w:tr>
      <w:tr>
        <w:trPr/>
        <w:tc>
          <w:tcPr>
            <w:tcW w:w="4190" w:type="dxa"/>
            <w:tcBorders/>
            <w:shd w:fill="CCEEFF" w:val="clear"/>
            <w:vAlign w:val="bottom"/>
          </w:tcPr>
          <w:p>
            <w:pPr>
              <w:pStyle w:val="TableContents"/>
              <w:bidi w:val="0"/>
              <w:spacing w:before="0" w:after="0"/>
              <w:ind w:left="144" w:right="0" w:hanging="144"/>
              <w:jc w:val="left"/>
              <w:rPr/>
            </w:pPr>
            <w:r>
              <w:rPr/>
              <w:t>Adjusted net income (loss) *</w:t>
            </w:r>
          </w:p>
        </w:tc>
        <w:tc>
          <w:tcPr>
            <w:tcW w:w="23" w:type="dxa"/>
            <w:tcBorders/>
            <w:shd w:fill="CCEEFF" w:val="clear"/>
            <w:vAlign w:val="bottom"/>
          </w:tcPr>
          <w:p>
            <w:pPr>
              <w:pStyle w:val="TableContents"/>
              <w:bidi w:val="0"/>
              <w:spacing w:before="0" w:after="283"/>
              <w:jc w:val="left"/>
              <w:rPr/>
            </w:pPr>
            <w:r>
              <w:rPr/>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705</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(59,234</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297"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702" w:type="dxa"/>
            <w:tcBorders>
              <w:bottom w:val="double" w:sz="8" w:space="0" w:color="000000"/>
            </w:tcBorders>
            <w:shd w:fill="CCEEFF" w:val="clear"/>
            <w:tcMar>
              <w:bottom w:w="28" w:type="dxa"/>
            </w:tcMar>
            <w:vAlign w:val="bottom"/>
          </w:tcPr>
          <w:p>
            <w:pPr>
              <w:pStyle w:val="TableContents"/>
              <w:bidi w:val="0"/>
              <w:spacing w:before="0" w:after="0"/>
              <w:jc w:val="right"/>
              <w:rPr/>
            </w:pPr>
            <w:r>
              <w:rPr/>
              <w:t>59,939</w:t>
            </w:r>
          </w:p>
        </w:tc>
        <w:tc>
          <w:tcPr>
            <w:tcW w:w="95" w:type="dxa"/>
            <w:tcBorders/>
            <w:shd w:fill="CCEEFF" w:val="clear"/>
            <w:vAlign w:val="bottom"/>
          </w:tcPr>
          <w:p>
            <w:pPr>
              <w:pStyle w:val="TableContents"/>
              <w:bidi w:val="0"/>
              <w:spacing w:before="0" w:after="283"/>
              <w:jc w:val="left"/>
              <w:rPr/>
            </w:pPr>
            <w:r>
              <w:rPr/>
            </w:r>
          </w:p>
        </w:tc>
      </w:tr>
    </w:tbl>
    <w:p>
      <w:pPr>
        <w:pStyle w:val="TextBody"/>
        <w:bidi w:val="0"/>
        <w:spacing w:before="0" w:after="0"/>
        <w:jc w:val="left"/>
        <w:rPr/>
      </w:pPr>
      <w:r>
        <w:rPr/>
      </w:r>
    </w:p>
    <w:tbl>
      <w:tblPr>
        <w:tblW w:w="7435" w:type="dxa"/>
        <w:jc w:val="left"/>
        <w:tblInd w:w="0" w:type="dxa"/>
        <w:tblLayout w:type="fixed"/>
        <w:tblCellMar>
          <w:top w:w="0" w:type="dxa"/>
          <w:left w:w="0" w:type="dxa"/>
          <w:bottom w:w="0" w:type="dxa"/>
          <w:right w:w="0" w:type="dxa"/>
        </w:tblCellMar>
      </w:tblPr>
      <w:tblGrid>
        <w:gridCol w:w="155"/>
        <w:gridCol w:w="7280"/>
      </w:tblGrid>
      <w:tr>
        <w:trPr/>
        <w:tc>
          <w:tcPr>
            <w:tcW w:w="155" w:type="dxa"/>
            <w:tcBorders/>
            <w:vAlign w:val="center"/>
          </w:tcPr>
          <w:p>
            <w:pPr>
              <w:pStyle w:val="TableContents"/>
              <w:bidi w:val="0"/>
              <w:spacing w:before="0" w:after="0"/>
              <w:jc w:val="left"/>
              <w:rPr/>
            </w:pPr>
            <w:r>
              <w:rPr/>
              <w:t>*</w:t>
            </w:r>
          </w:p>
        </w:tc>
        <w:tc>
          <w:tcPr>
            <w:tcW w:w="7280" w:type="dxa"/>
            <w:tcBorders/>
            <w:vAlign w:val="center"/>
          </w:tcPr>
          <w:p>
            <w:pPr>
              <w:pStyle w:val="TableContents"/>
              <w:bidi w:val="0"/>
              <w:spacing w:before="0" w:after="0"/>
              <w:jc w:val="left"/>
              <w:rPr/>
            </w:pPr>
            <w:r>
              <w:rPr/>
              <w:t>- See Non-GAAP Financial Measures appearing at the end of this discussion</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recorded total revenues of $258.2 million for the year ended December 31, 2023, as compared to $154.1 million for the year ended December 31, 2022, an increase of $104.1 million, or approximately 68%. The increase is primarily related to increased sales of our immunoglobulin products, mainly ASCENIV and BIVIGAM, generated by our Boca Facility manufacturing operations in 2023 of $105.8 million, as we continue to experience increased physician, payer and patient acceptance and utilization of ASCENIV and expand our customer base for BIVIGAM, partially offset by a decrease in sales of plasma in our Plasma Collection Centers business segment of $1.5 million. During 2023, we began utilizing a substantial majority of the plasma collected at our plasma collection facilities for our IVIG production, with significantly less emphasis on plasma sales to third-party customers.</w:t>
      </w:r>
    </w:p>
    <w:p>
      <w:pPr>
        <w:pStyle w:val="TextBody"/>
        <w:bidi w:val="0"/>
        <w:spacing w:before="0" w:after="0"/>
        <w:ind w:left="0" w:right="0" w:firstLine="72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Cost of Product Revenue and Gross Profit</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Cost of product revenue was $169.3 million for the year ended December 31, 2023, as compared to $118.8 million for the year ended December 31, 2022. This increase is primarily attributable to volume-driven increases in product revenue costs related to the increased sales of our immunoglobulin products of $54.9 million. Cost of product revenue was also impacted by the inventory losses of $2.1 million related to the June 2023 IT disruption, partially offset by a decrease in other manufacturing expenses of approximately $6.2 million in 2023, mainly due to a shorter planned shutdown of the Boca Facility in 2023 as compared to 2022.</w:t>
      </w:r>
    </w:p>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we had gross profit of $88.9 million, as compared to $35.3 million for the same period of a year ago. This gross profit increase of $53.7 million was primarily due to the revenue increases and the supply chain and manufacturing enhancements at the Boca Facility which include producing at the increased 4,400 liter scale, along with the reduction in other manufacturing costs discussed above as we elected to extend our otherwise-routine plant shutdown in the first quarter of 2022 in order to complete certain projects. We also experienced a more favorable sales mix in 2023 toward our higher margin products and benefitted from price increases for ASCENIV and BIVIGAM that were implemented late in 2022. As a result, we achieved a gross margin of 34.4% for the year ended December 31, 2023 as compared to 22.9% for the year ended December 31, 2022.</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 Expenses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Research and development (“R&amp;D”) expenses totaled $3.3 million for the year ended December 31, 2023, as compared to $3.6 million for the year ended December 31, 2022. The decrease is primarily due to lower expenditures attributable to a third-party service provider in connection with an R&amp;D project that was completed in early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Plasma Center Operating Expenses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Plasma Center Operating Expenses decreased from $17.8 million in the year ended December 31, 2022 to $4.3 million in the year ended December 31, 2023. As a result of our now having ten plasma centers in operation, we were able to more than double the number of liters of plasma collected, with a corresponding reduction in the cost per liter, in 2023 as compared to 2022, coupled with the changes in the market price of normal source plasma and its impact on the net realizable value of our plasma inventory, the amount of plasma center costs we capitalized into inventory increased by approximately $43.2 million in 2023. This amount was largely offset by increases in donor fees of $12.8 million, compensation, benefits and temporary labor of $3.9 million, softgoods and supplies of $5.0 million, donor testing expenses of $4.8 million, depreciation of $0.8 million, software maintenance expense of $0.9 million, janitorial, security and utilities expense of $0.5 million, travel expenses of $0.1 million, advertising expense of $0.2 million, repairs and maintenance expense of $0.2 million and rent of $0.2 million. In addition, our plasma center collections and operating costs were unfavorably impacted by approximately $0.7 million due to the temporary closing of our plasma collection centers attributable to an IT disruption occurring in June 2023, of which all systems have since been fully restored.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Amortization of Intangibles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Amortization expense mainly pertains to the amortization of intangible assets acquired in a 2017 acquisition transaction and was $0.7 million for the years ended December 31, 2023 and 2022.</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Selling, general and administrative (“SG&amp;A”) expenses were $59.0 million for the year ended December 31, 2023, an increase of $6.6 million from the year ended December 31, 2022. The increase reflects higher expenses for employee-related costs including salaries, benefits, stock-based compensation, travel, relocation and recruiting of $2.4 million, data services and market intelligence fees in support of the continued ASCENIV and BIVIGAM commercialization efforts in the amount of $1.8 million, marketing and advertising expenses of $1.0 million, insurance expense of $0.6 million, software maintenance expense of $0.6 million and state and local taxes of $0.2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Income/Loss from Operations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we had operating income of $21.6 million, as compared to an operating loss of $39.4 million for the year ended December 31, 2022. The $61.0 million improvement in operating results was mainly due to the improved gross profit of $53.7 million and the lower total operating expenses of $7.3 million.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Expense</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Interest expense for the year ended December 31, 2023 was $25.0 million, as compared to $19.3 million for the year ended December 31, 2022. The increase is mainly due to approximately $51.8 million of additional debt principal resulting from the refinancing of our senior credit facility on March 23, 2022, additional debt principal resulting from interest payments made “in kind” in the form of additional indebtedness of approximately $6.8 million, as well as an increase in the stated interest rate on our senior debt from 10.75% in 2022 to as high as 14.4% at certain points in fiscal 2023 as a result increases in the Secured Overnight Financing Rate (“SOFR”). We expect our interest expense to decrease in 2024 as a result of the refinancing transaction we completed in December of 2023 (see “Liquidity and Capital Resources”), which resulted in a lower debt principal balance and a reduction in the interest rate.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Loss on Extinguishment of Debt</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foregoing refinancing of our senior debt in December of 2023, we incurred a loss on extinguishment of debt in the amount of $26.2 million, which is comprised of a prepayment penalty paid to our previous lender in the amount of $11.1 million, and the write-off of unamortized discount related to the retired indebtedness in the approximate amount of $15.1 million (see “Liquidity and Capital Resources”).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refinancing of our senior credit facility on March 23, 2022, we incurred a loss on the extinguishment of debt in the amount of $6.7 million as a result of the redemption premium we paid to retire our previously existing credit facility in the amount of $2.0 million, and the write-off of unamortized debt discount of $4.7 million related to that facility (see Note 7 to the Consolidated Financial Statements).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Other Income (Expense), Net</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Other income, net, for the year ended December 31, 2023 was $1.3 million, as compared to other expense, net, of $0.6 million for the year ended December 31, 2022. The increase is mainly due to an increase in interest income of approximately $1.6 million in 2023 due to higher interest earned on our cash balances in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Loss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net loss was $28.2 million for the year ended December 31, 2023, as compared to $65.9 million for the year ended December 31, 2022. The $37.7 million decrease in net loss was mainly due to the improvement in operating income/loss of $61.0 million and the $1.9 million increase in other income/expense, partially offset by a higher loss on extinguishment of debt of $19.5 million and higher interest expense of $5.7 million.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Year Ended December 31, 2022 Compared to December 31, 2021</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a summary of the changes in our results of operations for the year ended December 31, 2022 compared to the year ended December 31, 2021:</w:t>
      </w:r>
    </w:p>
    <w:p>
      <w:pPr>
        <w:pStyle w:val="TextBody"/>
        <w:bidi w:val="0"/>
        <w:spacing w:before="0" w:after="0"/>
        <w:jc w:val="both"/>
        <w:rPr/>
      </w:pPr>
      <w:r>
        <w:rPr/>
      </w:r>
    </w:p>
    <w:tbl>
      <w:tblPr>
        <w:tblW w:w="8408" w:type="dxa"/>
        <w:jc w:val="left"/>
        <w:tblInd w:w="0" w:type="dxa"/>
        <w:tblLayout w:type="fixed"/>
        <w:tblCellMar>
          <w:top w:w="0" w:type="dxa"/>
          <w:left w:w="0" w:type="dxa"/>
          <w:bottom w:w="0" w:type="dxa"/>
          <w:right w:w="0" w:type="dxa"/>
        </w:tblCellMar>
      </w:tblPr>
      <w:tblGrid>
        <w:gridCol w:w="4205"/>
        <w:gridCol w:w="23"/>
        <w:gridCol w:w="140"/>
        <w:gridCol w:w="800"/>
        <w:gridCol w:w="95"/>
        <w:gridCol w:w="23"/>
        <w:gridCol w:w="140"/>
        <w:gridCol w:w="755"/>
        <w:gridCol w:w="95"/>
        <w:gridCol w:w="23"/>
        <w:gridCol w:w="340"/>
        <w:gridCol w:w="1659"/>
        <w:gridCol w:w="110"/>
      </w:tblGrid>
      <w:tr>
        <w:trPr/>
        <w:tc>
          <w:tcPr>
            <w:tcW w:w="420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407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10" w:type="dxa"/>
            <w:tcBorders/>
            <w:vAlign w:val="bottom"/>
          </w:tcPr>
          <w:p>
            <w:pPr>
              <w:pStyle w:val="TableContents"/>
              <w:bidi w:val="0"/>
              <w:spacing w:before="0" w:after="283"/>
              <w:jc w:val="left"/>
              <w:rPr/>
            </w:pPr>
            <w:r>
              <w:rPr/>
            </w:r>
          </w:p>
        </w:tc>
      </w:tr>
      <w:tr>
        <w:trPr/>
        <w:tc>
          <w:tcPr>
            <w:tcW w:w="4205" w:type="dxa"/>
            <w:tcBorders/>
            <w:vAlign w:val="bottom"/>
          </w:tcPr>
          <w:p>
            <w:pPr>
              <w:pStyle w:val="TableContents"/>
              <w:bidi w:val="0"/>
              <w:spacing w:before="0" w:after="0"/>
              <w:ind w:left="144" w:right="0" w:hanging="144"/>
              <w:jc w:val="center"/>
              <w:rPr>
                <w:i/>
              </w:rPr>
            </w:pPr>
            <w:r>
              <w:rPr>
                <w:i/>
              </w:rPr>
              <w:t>(in thousands)</w:t>
            </w:r>
          </w:p>
        </w:tc>
        <w:tc>
          <w:tcPr>
            <w:tcW w:w="23" w:type="dxa"/>
            <w:tcBorders/>
            <w:vAlign w:val="bottom"/>
          </w:tcPr>
          <w:p>
            <w:pPr>
              <w:pStyle w:val="TableContents"/>
              <w:bidi w:val="0"/>
              <w:spacing w:before="0" w:after="283"/>
              <w:jc w:val="left"/>
              <w:rPr/>
            </w:pPr>
            <w:r>
              <w:rPr/>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999"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Increase (Decrease)</w:t>
            </w:r>
          </w:p>
        </w:tc>
        <w:tc>
          <w:tcPr>
            <w:tcW w:w="110" w:type="dxa"/>
            <w:tcBorders/>
            <w:vAlign w:val="bottom"/>
          </w:tcPr>
          <w:p>
            <w:pPr>
              <w:pStyle w:val="TableContents"/>
              <w:bidi w:val="0"/>
              <w:spacing w:before="0" w:after="283"/>
              <w:jc w:val="left"/>
              <w:rPr/>
            </w:pPr>
            <w:r>
              <w:rPr/>
            </w:r>
          </w:p>
        </w:tc>
      </w:tr>
      <w:tr>
        <w:trPr/>
        <w:tc>
          <w:tcPr>
            <w:tcW w:w="4205" w:type="dxa"/>
            <w:tcBorders/>
            <w:shd w:fill="CCEEFF" w:val="clear"/>
            <w:vAlign w:val="bottom"/>
          </w:tcPr>
          <w:p>
            <w:pPr>
              <w:pStyle w:val="TableContents"/>
              <w:bidi w:val="0"/>
              <w:spacing w:before="0" w:after="0"/>
              <w:ind w:left="144" w:right="0" w:hanging="144"/>
              <w:jc w:val="left"/>
              <w:rPr/>
            </w:pPr>
            <w:r>
              <w:rPr/>
              <w:t>Revenues</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154,080</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80,943</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340" w:type="dxa"/>
            <w:tcBorders/>
            <w:shd w:fill="CCEEFF" w:val="clear"/>
            <w:vAlign w:val="bottom"/>
          </w:tcPr>
          <w:p>
            <w:pPr>
              <w:pStyle w:val="TableContents"/>
              <w:bidi w:val="0"/>
              <w:spacing w:before="0" w:after="0"/>
              <w:jc w:val="left"/>
              <w:rPr/>
            </w:pPr>
            <w:r>
              <w:rPr/>
              <w:t>$</w:t>
            </w:r>
          </w:p>
        </w:tc>
        <w:tc>
          <w:tcPr>
            <w:tcW w:w="1659" w:type="dxa"/>
            <w:tcBorders/>
            <w:shd w:fill="CCEEFF" w:val="clear"/>
            <w:vAlign w:val="bottom"/>
          </w:tcPr>
          <w:p>
            <w:pPr>
              <w:pStyle w:val="TableContents"/>
              <w:bidi w:val="0"/>
              <w:spacing w:before="0" w:after="0"/>
              <w:jc w:val="right"/>
              <w:rPr/>
            </w:pPr>
            <w:r>
              <w:rPr/>
              <w:t>73,137</w:t>
            </w:r>
          </w:p>
        </w:tc>
        <w:tc>
          <w:tcPr>
            <w:tcW w:w="110" w:type="dxa"/>
            <w:tcBorders/>
            <w:shd w:fill="CCEEFF" w:val="clear"/>
            <w:vAlign w:val="bottom"/>
          </w:tcPr>
          <w:p>
            <w:pPr>
              <w:pStyle w:val="TableContents"/>
              <w:bidi w:val="0"/>
              <w:spacing w:before="0" w:after="283"/>
              <w:jc w:val="left"/>
              <w:rPr/>
            </w:pPr>
            <w:r>
              <w:rPr/>
            </w:r>
          </w:p>
        </w:tc>
      </w:tr>
      <w:tr>
        <w:trPr/>
        <w:tc>
          <w:tcPr>
            <w:tcW w:w="4205" w:type="dxa"/>
            <w:tcBorders/>
            <w:vAlign w:val="bottom"/>
          </w:tcPr>
          <w:p>
            <w:pPr>
              <w:pStyle w:val="TableContents"/>
              <w:bidi w:val="0"/>
              <w:spacing w:before="0" w:after="0"/>
              <w:ind w:left="144" w:right="0" w:hanging="144"/>
              <w:jc w:val="left"/>
              <w:rPr/>
            </w:pPr>
            <w:r>
              <w:rPr/>
              <w:t>Cost of product revenue</w:t>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800" w:type="dxa"/>
            <w:tcBorders>
              <w:bottom w:val="single" w:sz="12" w:space="0" w:color="000000"/>
            </w:tcBorders>
            <w:tcMar>
              <w:bottom w:w="28" w:type="dxa"/>
            </w:tcMar>
            <w:vAlign w:val="bottom"/>
          </w:tcPr>
          <w:p>
            <w:pPr>
              <w:pStyle w:val="TableContents"/>
              <w:bidi w:val="0"/>
              <w:spacing w:before="0" w:after="0"/>
              <w:jc w:val="right"/>
              <w:rPr/>
            </w:pPr>
            <w:r>
              <w:rPr/>
              <w:t>118,815</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755" w:type="dxa"/>
            <w:tcBorders>
              <w:bottom w:val="single" w:sz="12" w:space="0" w:color="000000"/>
            </w:tcBorders>
            <w:tcMar>
              <w:bottom w:w="28" w:type="dxa"/>
            </w:tcMar>
            <w:vAlign w:val="bottom"/>
          </w:tcPr>
          <w:p>
            <w:pPr>
              <w:pStyle w:val="TableContents"/>
              <w:bidi w:val="0"/>
              <w:spacing w:before="0" w:after="0"/>
              <w:jc w:val="right"/>
              <w:rPr/>
            </w:pPr>
            <w:r>
              <w:rPr/>
              <w:t>79,770</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340" w:type="dxa"/>
            <w:tcBorders>
              <w:bottom w:val="single" w:sz="12" w:space="0" w:color="000000"/>
            </w:tcBorders>
            <w:tcMar>
              <w:bottom w:w="28" w:type="dxa"/>
            </w:tcMar>
            <w:vAlign w:val="bottom"/>
          </w:tcPr>
          <w:p>
            <w:pPr>
              <w:pStyle w:val="TableContents"/>
              <w:bidi w:val="0"/>
              <w:spacing w:before="0" w:after="283"/>
              <w:jc w:val="left"/>
              <w:rPr/>
            </w:pPr>
            <w:r>
              <w:rPr/>
            </w:r>
          </w:p>
        </w:tc>
        <w:tc>
          <w:tcPr>
            <w:tcW w:w="1659" w:type="dxa"/>
            <w:tcBorders>
              <w:bottom w:val="single" w:sz="12" w:space="0" w:color="000000"/>
            </w:tcBorders>
            <w:tcMar>
              <w:bottom w:w="28" w:type="dxa"/>
            </w:tcMar>
            <w:vAlign w:val="bottom"/>
          </w:tcPr>
          <w:p>
            <w:pPr>
              <w:pStyle w:val="TableContents"/>
              <w:bidi w:val="0"/>
              <w:spacing w:before="0" w:after="0"/>
              <w:jc w:val="right"/>
              <w:rPr/>
            </w:pPr>
            <w:r>
              <w:rPr/>
              <w:t>39,045</w:t>
            </w:r>
          </w:p>
        </w:tc>
        <w:tc>
          <w:tcPr>
            <w:tcW w:w="110" w:type="dxa"/>
            <w:tcBorders/>
            <w:vAlign w:val="bottom"/>
          </w:tcPr>
          <w:p>
            <w:pPr>
              <w:pStyle w:val="TableContents"/>
              <w:bidi w:val="0"/>
              <w:spacing w:before="0" w:after="283"/>
              <w:jc w:val="left"/>
              <w:rPr/>
            </w:pPr>
            <w:r>
              <w:rPr/>
            </w:r>
          </w:p>
        </w:tc>
      </w:tr>
      <w:tr>
        <w:trPr/>
        <w:tc>
          <w:tcPr>
            <w:tcW w:w="4205" w:type="dxa"/>
            <w:tcBorders/>
            <w:shd w:fill="CCEEFF" w:val="clear"/>
            <w:vAlign w:val="bottom"/>
          </w:tcPr>
          <w:p>
            <w:pPr>
              <w:pStyle w:val="TableContents"/>
              <w:bidi w:val="0"/>
              <w:spacing w:before="0" w:after="0"/>
              <w:ind w:left="144" w:right="0" w:hanging="144"/>
              <w:jc w:val="left"/>
              <w:rPr/>
            </w:pPr>
            <w:r>
              <w:rPr/>
              <w:t>Gross profit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0"/>
              <w:jc w:val="right"/>
              <w:rPr/>
            </w:pPr>
            <w:r>
              <w:rPr/>
              <w:t>35,265</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1,173</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340" w:type="dxa"/>
            <w:tcBorders/>
            <w:shd w:fill="CCEEFF" w:val="clear"/>
            <w:vAlign w:val="bottom"/>
          </w:tcPr>
          <w:p>
            <w:pPr>
              <w:pStyle w:val="TableContents"/>
              <w:bidi w:val="0"/>
              <w:spacing w:before="0" w:after="283"/>
              <w:jc w:val="left"/>
              <w:rPr/>
            </w:pPr>
            <w:r>
              <w:rPr/>
            </w:r>
          </w:p>
        </w:tc>
        <w:tc>
          <w:tcPr>
            <w:tcW w:w="1659" w:type="dxa"/>
            <w:tcBorders/>
            <w:shd w:fill="CCEEFF" w:val="clear"/>
            <w:vAlign w:val="bottom"/>
          </w:tcPr>
          <w:p>
            <w:pPr>
              <w:pStyle w:val="TableContents"/>
              <w:bidi w:val="0"/>
              <w:spacing w:before="0" w:after="0"/>
              <w:jc w:val="right"/>
              <w:rPr/>
            </w:pPr>
            <w:r>
              <w:rPr/>
              <w:t>34,092</w:t>
            </w:r>
          </w:p>
        </w:tc>
        <w:tc>
          <w:tcPr>
            <w:tcW w:w="110" w:type="dxa"/>
            <w:tcBorders/>
            <w:shd w:fill="CCEEFF" w:val="clear"/>
            <w:vAlign w:val="bottom"/>
          </w:tcPr>
          <w:p>
            <w:pPr>
              <w:pStyle w:val="TableContents"/>
              <w:bidi w:val="0"/>
              <w:spacing w:before="0" w:after="283"/>
              <w:jc w:val="left"/>
              <w:rPr/>
            </w:pPr>
            <w:r>
              <w:rPr/>
            </w:r>
          </w:p>
        </w:tc>
      </w:tr>
      <w:tr>
        <w:trPr/>
        <w:tc>
          <w:tcPr>
            <w:tcW w:w="4205" w:type="dxa"/>
            <w:tcBorders/>
            <w:vAlign w:val="bottom"/>
          </w:tcPr>
          <w:p>
            <w:pPr>
              <w:pStyle w:val="TableContents"/>
              <w:bidi w:val="0"/>
              <w:spacing w:before="0" w:after="0"/>
              <w:ind w:left="144" w:right="0" w:hanging="144"/>
              <w:jc w:val="left"/>
              <w:rPr/>
            </w:pPr>
            <w:r>
              <w:rPr/>
              <w:t>Research and development expenses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3,614</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3,646</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340" w:type="dxa"/>
            <w:tcBorders/>
            <w:vAlign w:val="bottom"/>
          </w:tcPr>
          <w:p>
            <w:pPr>
              <w:pStyle w:val="TableContents"/>
              <w:bidi w:val="0"/>
              <w:spacing w:before="0" w:after="283"/>
              <w:jc w:val="left"/>
              <w:rPr/>
            </w:pPr>
            <w:r>
              <w:rPr/>
            </w:r>
          </w:p>
        </w:tc>
        <w:tc>
          <w:tcPr>
            <w:tcW w:w="1659" w:type="dxa"/>
            <w:tcBorders/>
            <w:vAlign w:val="bottom"/>
          </w:tcPr>
          <w:p>
            <w:pPr>
              <w:pStyle w:val="TableContents"/>
              <w:bidi w:val="0"/>
              <w:spacing w:before="0" w:after="0"/>
              <w:jc w:val="right"/>
              <w:rPr/>
            </w:pPr>
            <w:r>
              <w:rPr/>
              <w:t>(32</w:t>
            </w:r>
          </w:p>
        </w:tc>
        <w:tc>
          <w:tcPr>
            <w:tcW w:w="110" w:type="dxa"/>
            <w:tcBorders/>
            <w:vAlign w:val="bottom"/>
          </w:tcPr>
          <w:p>
            <w:pPr>
              <w:pStyle w:val="TableContents"/>
              <w:bidi w:val="0"/>
              <w:spacing w:before="0" w:after="0"/>
              <w:jc w:val="left"/>
              <w:rPr/>
            </w:pPr>
            <w:r>
              <w:rPr/>
              <w:t>)</w:t>
            </w:r>
          </w:p>
        </w:tc>
      </w:tr>
      <w:tr>
        <w:trPr/>
        <w:tc>
          <w:tcPr>
            <w:tcW w:w="4205" w:type="dxa"/>
            <w:tcBorders/>
            <w:shd w:fill="CCEEFF" w:val="clear"/>
            <w:vAlign w:val="bottom"/>
          </w:tcPr>
          <w:p>
            <w:pPr>
              <w:pStyle w:val="TableContents"/>
              <w:bidi w:val="0"/>
              <w:spacing w:before="0" w:after="0"/>
              <w:ind w:left="144" w:right="0" w:hanging="144"/>
              <w:jc w:val="left"/>
              <w:rPr/>
            </w:pPr>
            <w:r>
              <w:rPr/>
              <w:t>Plasma center operating expenses</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0"/>
              <w:jc w:val="right"/>
              <w:rPr/>
            </w:pPr>
            <w:r>
              <w:rPr/>
              <w:t>17,843</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12,289</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340" w:type="dxa"/>
            <w:tcBorders/>
            <w:shd w:fill="CCEEFF" w:val="clear"/>
            <w:vAlign w:val="bottom"/>
          </w:tcPr>
          <w:p>
            <w:pPr>
              <w:pStyle w:val="TableContents"/>
              <w:bidi w:val="0"/>
              <w:spacing w:before="0" w:after="283"/>
              <w:jc w:val="left"/>
              <w:rPr/>
            </w:pPr>
            <w:r>
              <w:rPr/>
            </w:r>
          </w:p>
        </w:tc>
        <w:tc>
          <w:tcPr>
            <w:tcW w:w="1659" w:type="dxa"/>
            <w:tcBorders/>
            <w:shd w:fill="CCEEFF" w:val="clear"/>
            <w:vAlign w:val="bottom"/>
          </w:tcPr>
          <w:p>
            <w:pPr>
              <w:pStyle w:val="TableContents"/>
              <w:bidi w:val="0"/>
              <w:spacing w:before="0" w:after="0"/>
              <w:jc w:val="right"/>
              <w:rPr/>
            </w:pPr>
            <w:r>
              <w:rPr/>
              <w:t>5,554</w:t>
            </w:r>
          </w:p>
        </w:tc>
        <w:tc>
          <w:tcPr>
            <w:tcW w:w="110" w:type="dxa"/>
            <w:tcBorders/>
            <w:shd w:fill="CCEEFF" w:val="clear"/>
            <w:vAlign w:val="bottom"/>
          </w:tcPr>
          <w:p>
            <w:pPr>
              <w:pStyle w:val="TableContents"/>
              <w:bidi w:val="0"/>
              <w:spacing w:before="0" w:after="283"/>
              <w:jc w:val="left"/>
              <w:rPr/>
            </w:pPr>
            <w:r>
              <w:rPr/>
            </w:r>
          </w:p>
        </w:tc>
      </w:tr>
      <w:tr>
        <w:trPr/>
        <w:tc>
          <w:tcPr>
            <w:tcW w:w="4205" w:type="dxa"/>
            <w:tcBorders/>
            <w:vAlign w:val="bottom"/>
          </w:tcPr>
          <w:p>
            <w:pPr>
              <w:pStyle w:val="TableContents"/>
              <w:bidi w:val="0"/>
              <w:spacing w:before="0" w:after="0"/>
              <w:ind w:left="144" w:right="0" w:hanging="144"/>
              <w:jc w:val="left"/>
              <w:rPr/>
            </w:pPr>
            <w:r>
              <w:rPr/>
              <w:t>Amortization of intangibles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715</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715</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340" w:type="dxa"/>
            <w:tcBorders/>
            <w:vAlign w:val="bottom"/>
          </w:tcPr>
          <w:p>
            <w:pPr>
              <w:pStyle w:val="TableContents"/>
              <w:bidi w:val="0"/>
              <w:spacing w:before="0" w:after="283"/>
              <w:jc w:val="left"/>
              <w:rPr/>
            </w:pPr>
            <w:r>
              <w:rPr/>
            </w:r>
          </w:p>
        </w:tc>
        <w:tc>
          <w:tcPr>
            <w:tcW w:w="1659" w:type="dxa"/>
            <w:tcBorders/>
            <w:vAlign w:val="bottom"/>
          </w:tcPr>
          <w:p>
            <w:pPr>
              <w:pStyle w:val="TableContents"/>
              <w:bidi w:val="0"/>
              <w:spacing w:before="0" w:after="0"/>
              <w:jc w:val="right"/>
              <w:rPr/>
            </w:pPr>
            <w:r>
              <w:rPr/>
              <w:t>-</w:t>
            </w:r>
          </w:p>
        </w:tc>
        <w:tc>
          <w:tcPr>
            <w:tcW w:w="110" w:type="dxa"/>
            <w:tcBorders/>
            <w:vAlign w:val="bottom"/>
          </w:tcPr>
          <w:p>
            <w:pPr>
              <w:pStyle w:val="TableContents"/>
              <w:bidi w:val="0"/>
              <w:spacing w:before="0" w:after="283"/>
              <w:jc w:val="left"/>
              <w:rPr/>
            </w:pPr>
            <w:r>
              <w:rPr/>
            </w:r>
          </w:p>
        </w:tc>
      </w:tr>
      <w:tr>
        <w:trPr/>
        <w:tc>
          <w:tcPr>
            <w:tcW w:w="4205" w:type="dxa"/>
            <w:tcBorders/>
            <w:shd w:fill="CCEEFF" w:val="clear"/>
            <w:vAlign w:val="bottom"/>
          </w:tcPr>
          <w:p>
            <w:pPr>
              <w:pStyle w:val="TableContents"/>
              <w:bidi w:val="0"/>
              <w:spacing w:before="0" w:after="0"/>
              <w:ind w:left="144" w:right="0" w:hanging="144"/>
              <w:jc w:val="left"/>
              <w:rPr/>
            </w:pPr>
            <w:r>
              <w:rPr/>
              <w:t>Selling, general and administrative expenses</w:t>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52,458</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42,897</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1659" w:type="dxa"/>
            <w:tcBorders>
              <w:bottom w:val="single" w:sz="12" w:space="0" w:color="000000"/>
            </w:tcBorders>
            <w:shd w:fill="CCEEFF" w:val="clear"/>
            <w:tcMar>
              <w:bottom w:w="28" w:type="dxa"/>
            </w:tcMar>
            <w:vAlign w:val="bottom"/>
          </w:tcPr>
          <w:p>
            <w:pPr>
              <w:pStyle w:val="TableContents"/>
              <w:bidi w:val="0"/>
              <w:spacing w:before="0" w:after="0"/>
              <w:jc w:val="right"/>
              <w:rPr/>
            </w:pPr>
            <w:r>
              <w:rPr/>
              <w:t>9,561</w:t>
            </w:r>
          </w:p>
        </w:tc>
        <w:tc>
          <w:tcPr>
            <w:tcW w:w="110" w:type="dxa"/>
            <w:tcBorders/>
            <w:shd w:fill="CCEEFF" w:val="clear"/>
            <w:vAlign w:val="bottom"/>
          </w:tcPr>
          <w:p>
            <w:pPr>
              <w:pStyle w:val="TableContents"/>
              <w:bidi w:val="0"/>
              <w:spacing w:before="0" w:after="283"/>
              <w:jc w:val="left"/>
              <w:rPr/>
            </w:pPr>
            <w:r>
              <w:rPr/>
            </w:r>
          </w:p>
        </w:tc>
      </w:tr>
      <w:tr>
        <w:trPr/>
        <w:tc>
          <w:tcPr>
            <w:tcW w:w="4205" w:type="dxa"/>
            <w:tcBorders/>
            <w:vAlign w:val="bottom"/>
          </w:tcPr>
          <w:p>
            <w:pPr>
              <w:pStyle w:val="TableContents"/>
              <w:bidi w:val="0"/>
              <w:spacing w:before="0" w:after="0"/>
              <w:ind w:left="144" w:right="0" w:hanging="144"/>
              <w:jc w:val="left"/>
              <w:rPr/>
            </w:pPr>
            <w:r>
              <w:rPr/>
              <w:t>Loss from operations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(39,365</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(58,374</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340" w:type="dxa"/>
            <w:tcBorders/>
            <w:vAlign w:val="bottom"/>
          </w:tcPr>
          <w:p>
            <w:pPr>
              <w:pStyle w:val="TableContents"/>
              <w:bidi w:val="0"/>
              <w:spacing w:before="0" w:after="283"/>
              <w:jc w:val="left"/>
              <w:rPr/>
            </w:pPr>
            <w:r>
              <w:rPr/>
            </w:r>
          </w:p>
        </w:tc>
        <w:tc>
          <w:tcPr>
            <w:tcW w:w="1659" w:type="dxa"/>
            <w:tcBorders/>
            <w:vAlign w:val="bottom"/>
          </w:tcPr>
          <w:p>
            <w:pPr>
              <w:pStyle w:val="TableContents"/>
              <w:bidi w:val="0"/>
              <w:spacing w:before="0" w:after="0"/>
              <w:jc w:val="right"/>
              <w:rPr/>
            </w:pPr>
            <w:r>
              <w:rPr/>
              <w:t>19,009</w:t>
            </w:r>
          </w:p>
        </w:tc>
        <w:tc>
          <w:tcPr>
            <w:tcW w:w="110" w:type="dxa"/>
            <w:tcBorders/>
            <w:vAlign w:val="bottom"/>
          </w:tcPr>
          <w:p>
            <w:pPr>
              <w:pStyle w:val="TableContents"/>
              <w:bidi w:val="0"/>
              <w:spacing w:before="0" w:after="283"/>
              <w:jc w:val="left"/>
              <w:rPr/>
            </w:pPr>
            <w:r>
              <w:rPr/>
            </w:r>
          </w:p>
        </w:tc>
      </w:tr>
      <w:tr>
        <w:trPr/>
        <w:tc>
          <w:tcPr>
            <w:tcW w:w="4205" w:type="dxa"/>
            <w:tcBorders/>
            <w:shd w:fill="CCEEFF" w:val="clear"/>
            <w:vAlign w:val="bottom"/>
          </w:tcPr>
          <w:p>
            <w:pPr>
              <w:pStyle w:val="TableContents"/>
              <w:bidi w:val="0"/>
              <w:spacing w:before="0" w:after="0"/>
              <w:ind w:left="144" w:right="0" w:hanging="144"/>
              <w:jc w:val="left"/>
              <w:rPr/>
            </w:pPr>
            <w:r>
              <w:rPr/>
              <w:t>Interest expense</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0"/>
              <w:jc w:val="right"/>
              <w:rPr/>
            </w:pPr>
            <w:r>
              <w:rPr/>
              <w:t>(19,279</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(13,057</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340" w:type="dxa"/>
            <w:tcBorders/>
            <w:shd w:fill="CCEEFF" w:val="clear"/>
            <w:vAlign w:val="bottom"/>
          </w:tcPr>
          <w:p>
            <w:pPr>
              <w:pStyle w:val="TableContents"/>
              <w:bidi w:val="0"/>
              <w:spacing w:before="0" w:after="283"/>
              <w:jc w:val="left"/>
              <w:rPr/>
            </w:pPr>
            <w:r>
              <w:rPr/>
            </w:r>
          </w:p>
        </w:tc>
        <w:tc>
          <w:tcPr>
            <w:tcW w:w="1659" w:type="dxa"/>
            <w:tcBorders/>
            <w:shd w:fill="CCEEFF" w:val="clear"/>
            <w:vAlign w:val="bottom"/>
          </w:tcPr>
          <w:p>
            <w:pPr>
              <w:pStyle w:val="TableContents"/>
              <w:bidi w:val="0"/>
              <w:spacing w:before="0" w:after="0"/>
              <w:jc w:val="right"/>
              <w:rPr/>
            </w:pPr>
            <w:r>
              <w:rPr/>
              <w:t>(6,222</w:t>
            </w:r>
          </w:p>
        </w:tc>
        <w:tc>
          <w:tcPr>
            <w:tcW w:w="110" w:type="dxa"/>
            <w:tcBorders/>
            <w:shd w:fill="CCEEFF" w:val="clear"/>
            <w:vAlign w:val="bottom"/>
          </w:tcPr>
          <w:p>
            <w:pPr>
              <w:pStyle w:val="TableContents"/>
              <w:bidi w:val="0"/>
              <w:spacing w:before="0" w:after="0"/>
              <w:jc w:val="left"/>
              <w:rPr/>
            </w:pPr>
            <w:r>
              <w:rPr/>
              <w:t>)</w:t>
            </w:r>
          </w:p>
        </w:tc>
      </w:tr>
      <w:tr>
        <w:trPr/>
        <w:tc>
          <w:tcPr>
            <w:tcW w:w="4205" w:type="dxa"/>
            <w:tcBorders/>
            <w:vAlign w:val="bottom"/>
          </w:tcPr>
          <w:p>
            <w:pPr>
              <w:pStyle w:val="TableContents"/>
              <w:bidi w:val="0"/>
              <w:spacing w:before="0" w:after="0"/>
              <w:ind w:left="144" w:right="0" w:hanging="144"/>
              <w:jc w:val="left"/>
              <w:rPr/>
            </w:pPr>
            <w:r>
              <w:rPr/>
              <w:t>Loss on extinguishment of debt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(6,670</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340" w:type="dxa"/>
            <w:tcBorders/>
            <w:vAlign w:val="bottom"/>
          </w:tcPr>
          <w:p>
            <w:pPr>
              <w:pStyle w:val="TableContents"/>
              <w:bidi w:val="0"/>
              <w:spacing w:before="0" w:after="283"/>
              <w:jc w:val="left"/>
              <w:rPr/>
            </w:pPr>
            <w:r>
              <w:rPr/>
            </w:r>
          </w:p>
        </w:tc>
        <w:tc>
          <w:tcPr>
            <w:tcW w:w="1659" w:type="dxa"/>
            <w:tcBorders/>
            <w:vAlign w:val="bottom"/>
          </w:tcPr>
          <w:p>
            <w:pPr>
              <w:pStyle w:val="TableContents"/>
              <w:bidi w:val="0"/>
              <w:spacing w:before="0" w:after="0"/>
              <w:jc w:val="right"/>
              <w:rPr/>
            </w:pPr>
            <w:r>
              <w:rPr/>
              <w:t>(6,670</w:t>
            </w:r>
          </w:p>
        </w:tc>
        <w:tc>
          <w:tcPr>
            <w:tcW w:w="110" w:type="dxa"/>
            <w:tcBorders/>
            <w:vAlign w:val="bottom"/>
          </w:tcPr>
          <w:p>
            <w:pPr>
              <w:pStyle w:val="TableContents"/>
              <w:bidi w:val="0"/>
              <w:spacing w:before="0" w:after="0"/>
              <w:jc w:val="left"/>
              <w:rPr/>
            </w:pPr>
            <w:r>
              <w:rPr/>
              <w:t>)</w:t>
            </w:r>
          </w:p>
        </w:tc>
      </w:tr>
      <w:tr>
        <w:trPr/>
        <w:tc>
          <w:tcPr>
            <w:tcW w:w="4205" w:type="dxa"/>
            <w:tcBorders/>
            <w:shd w:fill="CCEEFF" w:val="clear"/>
            <w:vAlign w:val="bottom"/>
          </w:tcPr>
          <w:p>
            <w:pPr>
              <w:pStyle w:val="TableContents"/>
              <w:bidi w:val="0"/>
              <w:spacing w:before="0" w:after="0"/>
              <w:ind w:left="144" w:right="0" w:hanging="144"/>
              <w:jc w:val="left"/>
              <w:rPr/>
            </w:pPr>
            <w:r>
              <w:rPr/>
              <w:t>Other expense, net</w:t>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(590</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(217</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1659" w:type="dxa"/>
            <w:tcBorders>
              <w:bottom w:val="single" w:sz="12" w:space="0" w:color="000000"/>
            </w:tcBorders>
            <w:shd w:fill="CCEEFF" w:val="clear"/>
            <w:tcMar>
              <w:bottom w:w="28" w:type="dxa"/>
            </w:tcMar>
            <w:vAlign w:val="bottom"/>
          </w:tcPr>
          <w:p>
            <w:pPr>
              <w:pStyle w:val="TableContents"/>
              <w:bidi w:val="0"/>
              <w:spacing w:before="0" w:after="0"/>
              <w:jc w:val="right"/>
              <w:rPr/>
            </w:pPr>
            <w:r>
              <w:rPr/>
              <w:t>(373</w:t>
            </w:r>
          </w:p>
        </w:tc>
        <w:tc>
          <w:tcPr>
            <w:tcW w:w="110" w:type="dxa"/>
            <w:tcBorders/>
            <w:shd w:fill="CCEEFF" w:val="clear"/>
            <w:vAlign w:val="bottom"/>
          </w:tcPr>
          <w:p>
            <w:pPr>
              <w:pStyle w:val="TableContents"/>
              <w:bidi w:val="0"/>
              <w:spacing w:before="0" w:after="0"/>
              <w:jc w:val="left"/>
              <w:rPr/>
            </w:pPr>
            <w:r>
              <w:rPr/>
              <w:t>)</w:t>
            </w:r>
          </w:p>
        </w:tc>
      </w:tr>
      <w:tr>
        <w:trPr/>
        <w:tc>
          <w:tcPr>
            <w:tcW w:w="4205" w:type="dxa"/>
            <w:tcBorders/>
            <w:vAlign w:val="bottom"/>
          </w:tcPr>
          <w:p>
            <w:pPr>
              <w:pStyle w:val="TableContents"/>
              <w:bidi w:val="0"/>
              <w:spacing w:before="0" w:after="0"/>
              <w:ind w:left="144" w:right="0" w:hanging="144"/>
              <w:jc w:val="left"/>
              <w:rPr/>
            </w:pPr>
            <w:r>
              <w:rPr/>
              <w:t>Net loss</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(65,904</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(71,648</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340" w:type="dxa"/>
            <w:tcBorders>
              <w:bottom w:val="double" w:sz="8" w:space="0" w:color="000000"/>
            </w:tcBorders>
            <w:tcMar>
              <w:bottom w:w="28" w:type="dxa"/>
            </w:tcMar>
            <w:vAlign w:val="bottom"/>
          </w:tcPr>
          <w:p>
            <w:pPr>
              <w:pStyle w:val="TableContents"/>
              <w:bidi w:val="0"/>
              <w:spacing w:before="0" w:after="0"/>
              <w:jc w:val="left"/>
              <w:rPr/>
            </w:pPr>
            <w:r>
              <w:rPr/>
              <w:t>$</w:t>
            </w:r>
          </w:p>
        </w:tc>
        <w:tc>
          <w:tcPr>
            <w:tcW w:w="1659" w:type="dxa"/>
            <w:tcBorders>
              <w:bottom w:val="double" w:sz="8" w:space="0" w:color="000000"/>
            </w:tcBorders>
            <w:tcMar>
              <w:bottom w:w="28" w:type="dxa"/>
            </w:tcMar>
            <w:vAlign w:val="bottom"/>
          </w:tcPr>
          <w:p>
            <w:pPr>
              <w:pStyle w:val="TableContents"/>
              <w:bidi w:val="0"/>
              <w:spacing w:before="0" w:after="0"/>
              <w:jc w:val="right"/>
              <w:rPr/>
            </w:pPr>
            <w:r>
              <w:rPr/>
              <w:t>5,744</w:t>
            </w:r>
          </w:p>
        </w:tc>
        <w:tc>
          <w:tcPr>
            <w:tcW w:w="110" w:type="dxa"/>
            <w:tcBorders/>
            <w:vAlign w:val="bottom"/>
          </w:tcPr>
          <w:p>
            <w:pPr>
              <w:pStyle w:val="TableContents"/>
              <w:bidi w:val="0"/>
              <w:spacing w:before="0" w:after="283"/>
              <w:jc w:val="left"/>
              <w:rPr/>
            </w:pPr>
            <w:r>
              <w:rPr/>
            </w:r>
          </w:p>
        </w:tc>
      </w:tr>
      <w:tr>
        <w:trPr/>
        <w:tc>
          <w:tcPr>
            <w:tcW w:w="420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340" w:type="dxa"/>
            <w:tcBorders/>
            <w:shd w:fill="CCEEFF" w:val="clear"/>
            <w:vAlign w:val="bottom"/>
          </w:tcPr>
          <w:p>
            <w:pPr>
              <w:pStyle w:val="TableContents"/>
              <w:bidi w:val="0"/>
              <w:spacing w:before="0" w:after="283"/>
              <w:jc w:val="left"/>
              <w:rPr/>
            </w:pPr>
            <w:r>
              <w:rPr/>
            </w:r>
          </w:p>
        </w:tc>
        <w:tc>
          <w:tcPr>
            <w:tcW w:w="1659" w:type="dxa"/>
            <w:tcBorders/>
            <w:shd w:fill="CCEEFF" w:val="clear"/>
            <w:vAlign w:val="bottom"/>
          </w:tcPr>
          <w:p>
            <w:pPr>
              <w:pStyle w:val="TableContents"/>
              <w:bidi w:val="0"/>
              <w:spacing w:before="0" w:after="283"/>
              <w:jc w:val="left"/>
              <w:rPr/>
            </w:pPr>
            <w:r>
              <w:rPr/>
            </w:r>
          </w:p>
        </w:tc>
        <w:tc>
          <w:tcPr>
            <w:tcW w:w="110" w:type="dxa"/>
            <w:tcBorders/>
            <w:shd w:fill="CCEEFF" w:val="clear"/>
            <w:vAlign w:val="bottom"/>
          </w:tcPr>
          <w:p>
            <w:pPr>
              <w:pStyle w:val="TableContents"/>
              <w:bidi w:val="0"/>
              <w:spacing w:before="0" w:after="283"/>
              <w:jc w:val="left"/>
              <w:rPr/>
            </w:pPr>
            <w:r>
              <w:rPr/>
            </w:r>
          </w:p>
        </w:tc>
      </w:tr>
      <w:tr>
        <w:trPr/>
        <w:tc>
          <w:tcPr>
            <w:tcW w:w="4205" w:type="dxa"/>
            <w:tcBorders/>
            <w:vAlign w:val="bottom"/>
          </w:tcPr>
          <w:p>
            <w:pPr>
              <w:pStyle w:val="TableContents"/>
              <w:bidi w:val="0"/>
              <w:spacing w:before="0" w:after="0"/>
              <w:ind w:left="144" w:right="0" w:hanging="144"/>
              <w:jc w:val="left"/>
              <w:rPr/>
            </w:pPr>
            <w:r>
              <w:rPr/>
              <w:t>Adjusted EBITDA *</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00" w:type="dxa"/>
            <w:tcBorders>
              <w:bottom w:val="double" w:sz="8" w:space="0" w:color="000000"/>
            </w:tcBorders>
            <w:tcMar>
              <w:bottom w:w="28" w:type="dxa"/>
            </w:tcMar>
            <w:vAlign w:val="bottom"/>
          </w:tcPr>
          <w:p>
            <w:pPr>
              <w:pStyle w:val="TableContents"/>
              <w:bidi w:val="0"/>
              <w:spacing w:before="0" w:after="0"/>
              <w:jc w:val="right"/>
              <w:rPr/>
            </w:pPr>
            <w:r>
              <w:rPr/>
              <w:t>(27,627</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(49,608</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340" w:type="dxa"/>
            <w:tcBorders>
              <w:bottom w:val="double" w:sz="8" w:space="0" w:color="000000"/>
            </w:tcBorders>
            <w:tcMar>
              <w:bottom w:w="28" w:type="dxa"/>
            </w:tcMar>
            <w:vAlign w:val="bottom"/>
          </w:tcPr>
          <w:p>
            <w:pPr>
              <w:pStyle w:val="TableContents"/>
              <w:bidi w:val="0"/>
              <w:spacing w:before="0" w:after="0"/>
              <w:jc w:val="left"/>
              <w:rPr/>
            </w:pPr>
            <w:r>
              <w:rPr/>
              <w:t>$</w:t>
            </w:r>
          </w:p>
        </w:tc>
        <w:tc>
          <w:tcPr>
            <w:tcW w:w="1659" w:type="dxa"/>
            <w:tcBorders>
              <w:bottom w:val="double" w:sz="8" w:space="0" w:color="000000"/>
            </w:tcBorders>
            <w:tcMar>
              <w:bottom w:w="28" w:type="dxa"/>
            </w:tcMar>
            <w:vAlign w:val="bottom"/>
          </w:tcPr>
          <w:p>
            <w:pPr>
              <w:pStyle w:val="TableContents"/>
              <w:bidi w:val="0"/>
              <w:spacing w:before="0" w:after="0"/>
              <w:jc w:val="right"/>
              <w:rPr/>
            </w:pPr>
            <w:r>
              <w:rPr/>
              <w:t>21,981</w:t>
            </w:r>
          </w:p>
        </w:tc>
        <w:tc>
          <w:tcPr>
            <w:tcW w:w="110" w:type="dxa"/>
            <w:tcBorders/>
            <w:vAlign w:val="bottom"/>
          </w:tcPr>
          <w:p>
            <w:pPr>
              <w:pStyle w:val="TableContents"/>
              <w:bidi w:val="0"/>
              <w:spacing w:before="0" w:after="283"/>
              <w:jc w:val="left"/>
              <w:rPr/>
            </w:pPr>
            <w:r>
              <w:rPr/>
            </w:r>
          </w:p>
        </w:tc>
      </w:tr>
      <w:tr>
        <w:trPr/>
        <w:tc>
          <w:tcPr>
            <w:tcW w:w="4205" w:type="dxa"/>
            <w:tcBorders/>
            <w:shd w:fill="CCEEFF" w:val="clear"/>
            <w:vAlign w:val="bottom"/>
          </w:tcPr>
          <w:p>
            <w:pPr>
              <w:pStyle w:val="TableContents"/>
              <w:bidi w:val="0"/>
              <w:spacing w:before="0" w:after="0"/>
              <w:ind w:left="144" w:right="0" w:hanging="144"/>
              <w:jc w:val="left"/>
              <w:rPr/>
            </w:pPr>
            <w:r>
              <w:rPr/>
              <w:t>Adjusted net loss *</w:t>
            </w:r>
          </w:p>
        </w:tc>
        <w:tc>
          <w:tcPr>
            <w:tcW w:w="23" w:type="dxa"/>
            <w:tcBorders/>
            <w:shd w:fill="CCEEFF" w:val="clear"/>
            <w:vAlign w:val="bottom"/>
          </w:tcPr>
          <w:p>
            <w:pPr>
              <w:pStyle w:val="TableContents"/>
              <w:bidi w:val="0"/>
              <w:spacing w:before="0" w:after="283"/>
              <w:jc w:val="left"/>
              <w:rPr/>
            </w:pPr>
            <w:r>
              <w:rPr/>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(59,234</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(71,648</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659" w:type="dxa"/>
            <w:tcBorders>
              <w:bottom w:val="double" w:sz="8" w:space="0" w:color="000000"/>
            </w:tcBorders>
            <w:shd w:fill="CCEEFF" w:val="clear"/>
            <w:tcMar>
              <w:bottom w:w="28" w:type="dxa"/>
            </w:tcMar>
            <w:vAlign w:val="bottom"/>
          </w:tcPr>
          <w:p>
            <w:pPr>
              <w:pStyle w:val="TableContents"/>
              <w:bidi w:val="0"/>
              <w:spacing w:before="0" w:after="0"/>
              <w:jc w:val="right"/>
              <w:rPr/>
            </w:pPr>
            <w:r>
              <w:rPr/>
              <w:t>12,414</w:t>
            </w:r>
          </w:p>
        </w:tc>
        <w:tc>
          <w:tcPr>
            <w:tcW w:w="110" w:type="dxa"/>
            <w:tcBorders/>
            <w:shd w:fill="CCEEFF" w:val="clear"/>
            <w:vAlign w:val="bottom"/>
          </w:tcPr>
          <w:p>
            <w:pPr>
              <w:pStyle w:val="TableContents"/>
              <w:bidi w:val="0"/>
              <w:spacing w:before="0" w:after="283"/>
              <w:jc w:val="left"/>
              <w:rPr/>
            </w:pPr>
            <w:r>
              <w:rPr/>
            </w:r>
          </w:p>
        </w:tc>
      </w:tr>
    </w:tbl>
    <w:p>
      <w:pPr>
        <w:pStyle w:val="TextBody"/>
        <w:bidi w:val="0"/>
        <w:spacing w:before="0" w:after="0"/>
        <w:jc w:val="left"/>
        <w:rPr/>
      </w:pPr>
      <w:r>
        <w:rPr/>
      </w:r>
    </w:p>
    <w:tbl>
      <w:tblPr>
        <w:tblW w:w="7435" w:type="dxa"/>
        <w:jc w:val="left"/>
        <w:tblInd w:w="0" w:type="dxa"/>
        <w:tblLayout w:type="fixed"/>
        <w:tblCellMar>
          <w:top w:w="0" w:type="dxa"/>
          <w:left w:w="0" w:type="dxa"/>
          <w:bottom w:w="0" w:type="dxa"/>
          <w:right w:w="0" w:type="dxa"/>
        </w:tblCellMar>
      </w:tblPr>
      <w:tblGrid>
        <w:gridCol w:w="155"/>
        <w:gridCol w:w="7280"/>
      </w:tblGrid>
      <w:tr>
        <w:trPr/>
        <w:tc>
          <w:tcPr>
            <w:tcW w:w="155" w:type="dxa"/>
            <w:tcBorders/>
            <w:vAlign w:val="center"/>
          </w:tcPr>
          <w:p>
            <w:pPr>
              <w:pStyle w:val="TableContents"/>
              <w:bidi w:val="0"/>
              <w:spacing w:before="0" w:after="0"/>
              <w:ind w:left="144" w:right="0" w:hanging="144"/>
              <w:jc w:val="left"/>
              <w:rPr/>
            </w:pPr>
            <w:r>
              <w:rPr/>
              <w:t>*</w:t>
            </w:r>
          </w:p>
        </w:tc>
        <w:tc>
          <w:tcPr>
            <w:tcW w:w="7280" w:type="dxa"/>
            <w:tcBorders/>
            <w:vAlign w:val="center"/>
          </w:tcPr>
          <w:p>
            <w:pPr>
              <w:pStyle w:val="TableContents"/>
              <w:bidi w:val="0"/>
              <w:spacing w:before="0" w:after="0"/>
              <w:ind w:left="144" w:right="0" w:hanging="144"/>
              <w:jc w:val="left"/>
              <w:rPr/>
            </w:pPr>
            <w:r>
              <w:rPr/>
              <w:t>- See Non-GAAP Financial Measures appearing at the end of this discussion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recorded total revenues of $154.1 million during the year ended December 31, 2022, as compared to $80.9 million during the year ended December 31, 2021, an increase of $73.1 million, or approximately 90%. The increase is mainly due to increased sales of our immunoglobulin products and intermediate fractions generated by our Boca Facility manufacturing operations in 2022 totaling $69.2 million as we concluded our third full year of commercial sales of BIVIGAM and ASCENIV. We attribute this increase in revenue to the continued expansion of our customer base in 2022 and to increasing physician, payer and patient acceptance of both BIVIGAM and ASCENIV. We also experienced a $4.0 million increase in plasma revenues generated by our Plasma Collection Centers business segment due to increased sales of plasma through spot market opportunities beyond our long-term supply agreement.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Cost of Product Revenue and Gross Profit</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Cost of product revenue was $118.8 million for the year ended December 31, 2022, as compared to $79.8 million for the year ended December 31, 2021. This increase of $39.0 million is primarily attributable to volume-related increases in product revenue costs related to the sale of our immunoglobulin products of $30.4 million and increased product revenue costs related to our ADMA BioCenters business segment in the amount of $4.3 million. In addition, we also experienced an increase in other manufacturing expenses of approximately $4.4 million in fiscal 2022 as compared to fiscal 2021, which is indicative of certain inflationary pressures being experienced by our industry for labor, materials, freight, fuel surcharges and third-party services.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gross profit of $35.3 million for the year ended December 31, 2022 represents an improvement over the same period of a year ago of $34.1 million and is mainly due to the higher sales volume, the improved margins we are experiencing with BIVIGAM at the larger plasma pool production scale, and to the increased relative contribution of ASCENIV to our total revenues. As a result, we achieved a gross margin of 22.9% for the year ended December 31, 2022, as compared to a gross margin of 1.4% for the year ended December 31, 2021.</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Subsequent to the FDA approvals for BIVIGAM and ASCENIV received in 2019 through December 31, 2022, substantially all of the normal source plasma (“NSP”) used in our Boca Facility IG production was sourced under a supply agreement we had in place with Grifols Worldwide Operations Limited (“Grifols”). This agreement expired on December 31, 2022 and was not renewed. Although we have executed additional agreements with other third-party suppliers of NSP, we anticipate that the NSP used in IG production in 2023 and beyond will be sourced from our ADMA BioCenters plasma collection facilities. As a number of these facilities are still in their initial stages of operation, we expect that the cost of collecting NSP at many of these facilities will exceed the price per liter of NSP we were paying to Grifols and other third-party suppliers. As a result, we expect the production costs for our immune globulin products to increase in the near term, which could adversely impact our cost of product revenue and gross margins, without giving effect to other supply chain initiatives completed and anticipated manufacturing efficiencies expected in the future.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 Expenses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R&amp;D expenses of $3.6 million for the year ended December 31, 2022 was essentially unchanged from the year ended December 31, 2021, as the lower compensation costs (including stock-based compensation) in 2022 resulting from the 2021 resignation of our former Chief Medical and Chief Scientific Officer were offset by increased expenses associated with post-marketing commitment clinical studies for ASCENIV and BIVIGAM (see Note 10 to the Consolidated Financial Statements). </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Plasma Center Operating Expenses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Plasma center operating expenses increased by $5.6 million to $17.8 million for the year ended December 31, 2022, as compared to $12.3 million for the year ended December 31, 2021. Plasma center operating expenses consist of certain general and administrative plasma center costs, initial opening, marketing and start-up costs, rent expense, maintenance, utilities, compensation and benefits for center and administrative staff, advertising and promotion expenses and computer software fees related to donor collections. The majority of our plasma collection centers have been in a development or start-up stage in fiscal 2022 and 2021.</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During fiscal 2022, we opened three new plasma collection facilities, and an additional facility opened in March of 2023. In addition, for those plasma collection centers that were in construction or development but not yet operational, we still needed to incur staffing, training, travel and other costs during the build-out period so that these facilities can be operational on the day they open. The increase in plasma center operating expenses in 2022 is mainly attributable to increases in donor fees, some of which are specialty programs and promotions by the newly opened centers, of $10.7 million, employee compensation costs of $5.8 million, softgoods and supplies of $3.8 million, depreciation expense of $1.1 million, rent expense of $0.5 million, plasma testing expenses of $2.8 million, travel expense of $0.2 million, software maintenance expense of $0.4 million, janitorial and utilities expense of $0.5 million, professional services of $0.4 million, postage and freight of $0.3 million and advertising expenses of $0.3 million. These amounts were partially offset by a substantial increase in plasma collections which resulted in a reduction in our plasma center operating expenses by approximately $21.4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SG&amp;A expenses were $52.5 million for the year ended December 31, 2022, an increase of $9.6 million from the year ended December 31, 2021. As we continued to support the increase in the size and scope of our Boca Facility manufacturing and commercial operations in 2022, we experienced increases in employee compensation and related expenses, including travel, relocation and recruiting, of $4.6 million, $1.8 million of which is stock-based compensation. We also experienced increases in insurance expense of $1.4 million and utilities of $0.5 million in 2022, as well as an increase in data services and market intelligence fees in the amount of $1.5 million in support of the commercialization efforts for BIVIGAM and ASCENIV. In addition, we incurred professional fees in connection with the Morgan Stanley strategic alternatives process in the amount of $1.4 million, with no comparable amount in 2021.</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Amortization of Intangibles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Amortization expense for intangible assets acquired in an acquisition transaction was $0.7 million for the years ended December 31, 2022 and 2021.</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Loss from Operations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operating loss was $39.4 million for the year ended December 31, 2022, as compared to $58.4 million for the year ended December 31, 2021. The decrease in operating loss was mainly due to the improved gross profit for the year ended December 31, 2022 of $34.1 million, partially offset by the increases in plasma center operating expenses and SG&amp;A.</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Expense</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Interest expense was $19.3 million for the year ended December 31, 2022, as compared to $13.1 million for the year ended December 31, 2021. The increase reflects the additional indebtedness and increase in amortization of debt discount resulting from the refinancing of our senior credit facility on March 23, 2022. The refinancing transaction resulted in additional indebtedness at closing in the approximate amount of $51.8 million, and our debt principal increased by an additional $3.0 million subsequent to closing as the Hayfin Credit Agreement (see “Liquidity and Capital Resources”) allowed us to pay “in kind” a portion of our monthly interest obligation in the form of additional indebtedness to the lender. We expect to continue to pay a portion of our monthly interest obligation “in kind” during 2023. As a result, and given the expected continued rise in SOFR, we expect our principal debt balance and the associated interest expense to increase over the course of fiscal 2023 as compared to previous years.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Loss on Extinguishment of Debt</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refinancing of our senior credit facility on March 23, 2022, we incurred a loss on the extinguishment of debt in the amount of $6.7 million as a result of the redemption premium we paid to retire our previously existing credit facility in the amount of $2.0 million, and the write-off of unamortized debt discount of $4.7 million related to that facility (see Note 7 to the Consolidated Financial Statements).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Loss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net loss was $65.9 million for the year ended December 31, 2022, as compared to $71.6 million for the year ended December 31, 2021. The decrease in net loss of $5.7 million was mainly due to the decrease in operating loss, largely offset by the higher interest expense and loss on extinguishment of debt in 2022.</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Non-GAAP Financial Measures</w:t>
      </w:r>
    </w:p>
    <w:p>
      <w:pPr>
        <w:pStyle w:val="TextBody"/>
        <w:bidi w:val="0"/>
        <w:spacing w:before="0" w:after="0"/>
        <w:jc w:val="left"/>
        <w:rPr>
          <w:b/>
          <w:i/>
        </w:rPr>
      </w:pPr>
      <w:r>
        <w:rPr>
          <w:b/>
          <w:i/>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Earnings Before Interest, Taxes, Depreciation and Amortization (“EBITDA”), Adjusted EBITDA and Adjusted Net Income (Loss)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EBITDA, Adjusted EBITDA and Adjusted net income (loss) are important non-GAAP financial measures used by our management and Board of Directors to assess our operating performance. We use EBITDA, Adjusted EBITDA and Adjusted net income (loss) as key performance measures because we believe that they facilitate operating performance comparisons from period to period that exclude, in the case of Adjusted net income (loss), items that are expected to be non-recurring, and in the case of EBITDA and Adjusted EBITDA, potential differences driven by the impact of variations of non-cash items such as depreciation and amortization, as well as, in the case of Adjusted EBITDA, stock-based compensation or certain one-time and non-recurring items. In addition, we believe that EBITDA, Adjusted EBITDA and Adjusted net loss and similar measures are widely used by investors, securities analysts, ratings agencies and other parties in evaluating companies in our industry as a measure of financial performance and debt-service capabilities. See below for a reconciliation of our EBITDA, Adjusted EBITDA and Adjusted net income (loss) to net loss, the most directly comparable financial measure calculated and presented in accordance with U.S. GAAP.</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Because EBITDA, Adjusted EBITDA and Adjusted net income (loss) are measures not deemed to be in accordance with U.S. GAAP and are susceptible to varying calculations, our EBITDA, Adjusted EBITDA and Adjusted net income (loss) may not be comparable to similarly titled measures of other companies, including companies in our industry, because other companies may calculate EBITDA, Adjusted EBITDA and Adjusted net income (loss) in a different manner than we calculate these measurements. Although the Company uses Adjusted EBITDA as one of several financial measures to assess its operating performance, its use is limited as it excludes certain significant operating expenses. EBITDA, Adjusted EBITDA and Adjusted net income (loss) are not intended to represent cash flows for the periods presented, nor have they been presented as an alternative to operating income/loss, net income/loss or as an indicator of operating performance and should not be considered in isolation or as a substitute for measures of performance prepared in accordance with U.S. GAAP. The following table presents the reconciliation of net loss to EBITDA and Adjusted EBITDA for the years ended December 31, 2023, 2022 and 2021:</w:t>
      </w:r>
    </w:p>
    <w:p>
      <w:pPr>
        <w:pStyle w:val="TextBody"/>
        <w:bidi w:val="0"/>
        <w:spacing w:before="0" w:after="0"/>
        <w:jc w:val="left"/>
        <w:rPr/>
      </w:pPr>
      <w:r>
        <w:rPr/>
      </w:r>
    </w:p>
    <w:tbl>
      <w:tblPr>
        <w:tblW w:w="6059" w:type="dxa"/>
        <w:jc w:val="left"/>
        <w:tblInd w:w="0" w:type="dxa"/>
        <w:tblLayout w:type="fixed"/>
        <w:tblCellMar>
          <w:top w:w="0" w:type="dxa"/>
          <w:left w:w="0" w:type="dxa"/>
          <w:bottom w:w="0" w:type="dxa"/>
          <w:right w:w="0" w:type="dxa"/>
        </w:tblCellMar>
      </w:tblPr>
      <w:tblGrid>
        <w:gridCol w:w="3005"/>
        <w:gridCol w:w="23"/>
        <w:gridCol w:w="140"/>
        <w:gridCol w:w="755"/>
        <w:gridCol w:w="95"/>
        <w:gridCol w:w="23"/>
        <w:gridCol w:w="140"/>
        <w:gridCol w:w="755"/>
        <w:gridCol w:w="95"/>
        <w:gridCol w:w="23"/>
        <w:gridCol w:w="140"/>
        <w:gridCol w:w="755"/>
        <w:gridCol w:w="110"/>
      </w:tblGrid>
      <w:tr>
        <w:trPr/>
        <w:tc>
          <w:tcPr>
            <w:tcW w:w="300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2921"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Years Ended December 31,</w:t>
            </w:r>
          </w:p>
        </w:tc>
        <w:tc>
          <w:tcPr>
            <w:tcW w:w="110" w:type="dxa"/>
            <w:tcBorders/>
            <w:vAlign w:val="bottom"/>
          </w:tcPr>
          <w:p>
            <w:pPr>
              <w:pStyle w:val="TableContents"/>
              <w:bidi w:val="0"/>
              <w:spacing w:before="0" w:after="283"/>
              <w:jc w:val="left"/>
              <w:rPr/>
            </w:pPr>
            <w:r>
              <w:rPr/>
            </w:r>
          </w:p>
        </w:tc>
      </w:tr>
      <w:tr>
        <w:trPr/>
        <w:tc>
          <w:tcPr>
            <w:tcW w:w="3005" w:type="dxa"/>
            <w:tcBorders/>
            <w:vAlign w:val="bottom"/>
          </w:tcPr>
          <w:p>
            <w:pPr>
              <w:pStyle w:val="TableContents"/>
              <w:bidi w:val="0"/>
              <w:spacing w:before="0" w:after="0"/>
              <w:ind w:left="144" w:right="0" w:hanging="144"/>
              <w:jc w:val="center"/>
              <w:rPr>
                <w:i/>
              </w:rPr>
            </w:pPr>
            <w:r>
              <w:rPr>
                <w:i/>
              </w:rPr>
              <w:t>(in thousands)</w:t>
            </w:r>
          </w:p>
        </w:tc>
        <w:tc>
          <w:tcPr>
            <w:tcW w:w="23" w:type="dxa"/>
            <w:tcBorders/>
            <w:vAlign w:val="bottom"/>
          </w:tcPr>
          <w:p>
            <w:pPr>
              <w:pStyle w:val="TableContents"/>
              <w:bidi w:val="0"/>
              <w:spacing w:before="0" w:after="283"/>
              <w:jc w:val="left"/>
              <w:rPr/>
            </w:pPr>
            <w:r>
              <w:rPr/>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110" w:type="dxa"/>
            <w:tcBorders/>
            <w:vAlign w:val="bottom"/>
          </w:tcPr>
          <w:p>
            <w:pPr>
              <w:pStyle w:val="TableContents"/>
              <w:bidi w:val="0"/>
              <w:spacing w:before="0" w:after="283"/>
              <w:jc w:val="left"/>
              <w:rPr/>
            </w:pPr>
            <w:r>
              <w:rPr/>
            </w:r>
          </w:p>
        </w:tc>
      </w:tr>
      <w:tr>
        <w:trPr/>
        <w:tc>
          <w:tcPr>
            <w:tcW w:w="3005" w:type="dxa"/>
            <w:tcBorders/>
            <w:shd w:fill="CCEEFF" w:val="clear"/>
            <w:vAlign w:val="bottom"/>
          </w:tcPr>
          <w:p>
            <w:pPr>
              <w:pStyle w:val="TableContents"/>
              <w:bidi w:val="0"/>
              <w:spacing w:before="0" w:after="0"/>
              <w:ind w:left="144" w:right="0" w:hanging="144"/>
              <w:jc w:val="left"/>
              <w:rPr>
                <w:b/>
              </w:rPr>
            </w:pPr>
            <w:r>
              <w:rPr>
                <w:b/>
              </w:rPr>
              <w:t>Net loss</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(28,239</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(65,904</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(71,648</w:t>
            </w:r>
          </w:p>
        </w:tc>
        <w:tc>
          <w:tcPr>
            <w:tcW w:w="110" w:type="dxa"/>
            <w:tcBorders/>
            <w:shd w:fill="CCEEFF" w:val="clear"/>
            <w:vAlign w:val="bottom"/>
          </w:tcPr>
          <w:p>
            <w:pPr>
              <w:pStyle w:val="TableContents"/>
              <w:bidi w:val="0"/>
              <w:spacing w:before="0" w:after="0"/>
              <w:jc w:val="left"/>
              <w:rPr/>
            </w:pPr>
            <w:r>
              <w:rPr/>
              <w:t>)</w:t>
            </w:r>
          </w:p>
        </w:tc>
      </w:tr>
      <w:tr>
        <w:trPr/>
        <w:tc>
          <w:tcPr>
            <w:tcW w:w="3005" w:type="dxa"/>
            <w:tcBorders/>
            <w:vAlign w:val="bottom"/>
          </w:tcPr>
          <w:p>
            <w:pPr>
              <w:pStyle w:val="TableContents"/>
              <w:bidi w:val="0"/>
              <w:spacing w:before="0" w:after="0"/>
              <w:ind w:left="144" w:right="0" w:hanging="144"/>
              <w:jc w:val="left"/>
              <w:rPr/>
            </w:pPr>
            <w:r>
              <w:rPr/>
              <w:t>Depreciation</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7,608</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6,398</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4,780</w:t>
            </w:r>
          </w:p>
        </w:tc>
        <w:tc>
          <w:tcPr>
            <w:tcW w:w="110" w:type="dxa"/>
            <w:tcBorders/>
            <w:vAlign w:val="bottom"/>
          </w:tcPr>
          <w:p>
            <w:pPr>
              <w:pStyle w:val="TableContents"/>
              <w:bidi w:val="0"/>
              <w:spacing w:before="0" w:after="283"/>
              <w:jc w:val="left"/>
              <w:rPr/>
            </w:pPr>
            <w:r>
              <w:rPr/>
            </w:r>
          </w:p>
        </w:tc>
      </w:tr>
      <w:tr>
        <w:trPr/>
        <w:tc>
          <w:tcPr>
            <w:tcW w:w="3005" w:type="dxa"/>
            <w:tcBorders/>
            <w:shd w:fill="CCEEFF" w:val="clear"/>
            <w:vAlign w:val="bottom"/>
          </w:tcPr>
          <w:p>
            <w:pPr>
              <w:pStyle w:val="TableContents"/>
              <w:bidi w:val="0"/>
              <w:spacing w:before="0" w:after="0"/>
              <w:ind w:left="144" w:right="0" w:hanging="144"/>
              <w:jc w:val="left"/>
              <w:rPr/>
            </w:pPr>
            <w:r>
              <w:rPr/>
              <w:t>Amortization</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724</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715</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715</w:t>
            </w:r>
          </w:p>
        </w:tc>
        <w:tc>
          <w:tcPr>
            <w:tcW w:w="110" w:type="dxa"/>
            <w:tcBorders/>
            <w:shd w:fill="CCEEFF" w:val="clear"/>
            <w:vAlign w:val="bottom"/>
          </w:tcPr>
          <w:p>
            <w:pPr>
              <w:pStyle w:val="TableContents"/>
              <w:bidi w:val="0"/>
              <w:spacing w:before="0" w:after="283"/>
              <w:jc w:val="left"/>
              <w:rPr/>
            </w:pPr>
            <w:r>
              <w:rPr/>
            </w:r>
          </w:p>
        </w:tc>
      </w:tr>
      <w:tr>
        <w:trPr/>
        <w:tc>
          <w:tcPr>
            <w:tcW w:w="3005" w:type="dxa"/>
            <w:tcBorders/>
            <w:vAlign w:val="bottom"/>
          </w:tcPr>
          <w:p>
            <w:pPr>
              <w:pStyle w:val="TableContents"/>
              <w:bidi w:val="0"/>
              <w:spacing w:before="0" w:after="0"/>
              <w:ind w:left="144" w:right="0" w:hanging="144"/>
              <w:jc w:val="left"/>
              <w:rPr/>
            </w:pPr>
            <w:r>
              <w:rPr/>
              <w:t>Interest expense</w:t>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755" w:type="dxa"/>
            <w:tcBorders>
              <w:bottom w:val="single" w:sz="12" w:space="0" w:color="000000"/>
            </w:tcBorders>
            <w:tcMar>
              <w:bottom w:w="28" w:type="dxa"/>
            </w:tcMar>
            <w:vAlign w:val="bottom"/>
          </w:tcPr>
          <w:p>
            <w:pPr>
              <w:pStyle w:val="TableContents"/>
              <w:bidi w:val="0"/>
              <w:spacing w:before="0" w:after="0"/>
              <w:jc w:val="right"/>
              <w:rPr/>
            </w:pPr>
            <w:r>
              <w:rPr/>
              <w:t>25,027</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755" w:type="dxa"/>
            <w:tcBorders>
              <w:bottom w:val="single" w:sz="12" w:space="0" w:color="000000"/>
            </w:tcBorders>
            <w:tcMar>
              <w:bottom w:w="28" w:type="dxa"/>
            </w:tcMar>
            <w:vAlign w:val="bottom"/>
          </w:tcPr>
          <w:p>
            <w:pPr>
              <w:pStyle w:val="TableContents"/>
              <w:bidi w:val="0"/>
              <w:spacing w:before="0" w:after="0"/>
              <w:jc w:val="right"/>
              <w:rPr/>
            </w:pPr>
            <w:r>
              <w:rPr/>
              <w:t>19,279</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755" w:type="dxa"/>
            <w:tcBorders>
              <w:bottom w:val="single" w:sz="12" w:space="0" w:color="000000"/>
            </w:tcBorders>
            <w:tcMar>
              <w:bottom w:w="28" w:type="dxa"/>
            </w:tcMar>
            <w:vAlign w:val="bottom"/>
          </w:tcPr>
          <w:p>
            <w:pPr>
              <w:pStyle w:val="TableContents"/>
              <w:bidi w:val="0"/>
              <w:spacing w:before="0" w:after="0"/>
              <w:jc w:val="right"/>
              <w:rPr/>
            </w:pPr>
            <w:r>
              <w:rPr/>
              <w:t>13,057</w:t>
            </w:r>
          </w:p>
        </w:tc>
        <w:tc>
          <w:tcPr>
            <w:tcW w:w="110" w:type="dxa"/>
            <w:tcBorders/>
            <w:vAlign w:val="bottom"/>
          </w:tcPr>
          <w:p>
            <w:pPr>
              <w:pStyle w:val="TableContents"/>
              <w:bidi w:val="0"/>
              <w:spacing w:before="0" w:after="283"/>
              <w:jc w:val="left"/>
              <w:rPr/>
            </w:pPr>
            <w:r>
              <w:rPr/>
            </w:r>
          </w:p>
        </w:tc>
      </w:tr>
      <w:tr>
        <w:trPr/>
        <w:tc>
          <w:tcPr>
            <w:tcW w:w="3005" w:type="dxa"/>
            <w:tcBorders/>
            <w:shd w:fill="CCEEFF" w:val="clear"/>
            <w:vAlign w:val="bottom"/>
          </w:tcPr>
          <w:p>
            <w:pPr>
              <w:pStyle w:val="TableContents"/>
              <w:bidi w:val="0"/>
              <w:spacing w:before="0" w:after="0"/>
              <w:ind w:left="144" w:right="0" w:hanging="144"/>
              <w:jc w:val="left"/>
              <w:rPr>
                <w:b/>
              </w:rPr>
            </w:pPr>
            <w:r>
              <w:rPr>
                <w:b/>
              </w:rPr>
              <w:t>EBITDA</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5,120</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(39,512</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(53,096</w:t>
            </w:r>
          </w:p>
        </w:tc>
        <w:tc>
          <w:tcPr>
            <w:tcW w:w="110" w:type="dxa"/>
            <w:tcBorders/>
            <w:shd w:fill="CCEEFF" w:val="clear"/>
            <w:vAlign w:val="bottom"/>
          </w:tcPr>
          <w:p>
            <w:pPr>
              <w:pStyle w:val="TableContents"/>
              <w:bidi w:val="0"/>
              <w:spacing w:before="0" w:after="0"/>
              <w:jc w:val="left"/>
              <w:rPr/>
            </w:pPr>
            <w:r>
              <w:rPr/>
              <w:t>)</w:t>
            </w:r>
          </w:p>
        </w:tc>
      </w:tr>
      <w:tr>
        <w:trPr/>
        <w:tc>
          <w:tcPr>
            <w:tcW w:w="3005" w:type="dxa"/>
            <w:tcBorders/>
            <w:vAlign w:val="bottom"/>
          </w:tcPr>
          <w:p>
            <w:pPr>
              <w:pStyle w:val="TableContents"/>
              <w:bidi w:val="0"/>
              <w:spacing w:before="0" w:after="0"/>
              <w:ind w:left="144" w:right="0" w:hanging="144"/>
              <w:jc w:val="left"/>
              <w:rPr/>
            </w:pPr>
            <w:r>
              <w:rPr/>
              <w:t>Stock-based compensation</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6,187</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5,215</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3,488</w:t>
            </w:r>
          </w:p>
        </w:tc>
        <w:tc>
          <w:tcPr>
            <w:tcW w:w="110" w:type="dxa"/>
            <w:tcBorders/>
            <w:vAlign w:val="bottom"/>
          </w:tcPr>
          <w:p>
            <w:pPr>
              <w:pStyle w:val="TableContents"/>
              <w:bidi w:val="0"/>
              <w:spacing w:before="0" w:after="283"/>
              <w:jc w:val="left"/>
              <w:rPr/>
            </w:pPr>
            <w:r>
              <w:rPr/>
            </w:r>
          </w:p>
        </w:tc>
      </w:tr>
      <w:tr>
        <w:trPr/>
        <w:tc>
          <w:tcPr>
            <w:tcW w:w="3005" w:type="dxa"/>
            <w:tcBorders/>
            <w:shd w:fill="CCEEFF" w:val="clear"/>
            <w:vAlign w:val="bottom"/>
          </w:tcPr>
          <w:p>
            <w:pPr>
              <w:pStyle w:val="TableContents"/>
              <w:bidi w:val="0"/>
              <w:spacing w:before="0" w:after="0"/>
              <w:ind w:left="144" w:right="0" w:hanging="144"/>
              <w:jc w:val="left"/>
              <w:rPr/>
            </w:pPr>
            <w:r>
              <w:rPr/>
              <w:t>IT systems disruption</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2,770</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w:t>
            </w:r>
          </w:p>
        </w:tc>
        <w:tc>
          <w:tcPr>
            <w:tcW w:w="110" w:type="dxa"/>
            <w:tcBorders/>
            <w:shd w:fill="CCEEFF" w:val="clear"/>
            <w:vAlign w:val="bottom"/>
          </w:tcPr>
          <w:p>
            <w:pPr>
              <w:pStyle w:val="TableContents"/>
              <w:bidi w:val="0"/>
              <w:spacing w:before="0" w:after="283"/>
              <w:jc w:val="left"/>
              <w:rPr/>
            </w:pPr>
            <w:r>
              <w:rPr/>
            </w:r>
          </w:p>
        </w:tc>
      </w:tr>
      <w:tr>
        <w:trPr/>
        <w:tc>
          <w:tcPr>
            <w:tcW w:w="3005" w:type="dxa"/>
            <w:tcBorders/>
            <w:vAlign w:val="bottom"/>
          </w:tcPr>
          <w:p>
            <w:pPr>
              <w:pStyle w:val="TableContents"/>
              <w:bidi w:val="0"/>
              <w:spacing w:before="0" w:after="0"/>
              <w:ind w:left="144" w:right="0" w:hanging="144"/>
              <w:jc w:val="left"/>
              <w:rPr/>
            </w:pPr>
            <w:r>
              <w:rPr/>
              <w:t>Loss on extinguishment of debt</w:t>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755" w:type="dxa"/>
            <w:tcBorders>
              <w:bottom w:val="single" w:sz="12" w:space="0" w:color="000000"/>
            </w:tcBorders>
            <w:tcMar>
              <w:bottom w:w="28" w:type="dxa"/>
            </w:tcMar>
            <w:vAlign w:val="bottom"/>
          </w:tcPr>
          <w:p>
            <w:pPr>
              <w:pStyle w:val="TableContents"/>
              <w:bidi w:val="0"/>
              <w:spacing w:before="0" w:after="0"/>
              <w:jc w:val="right"/>
              <w:rPr/>
            </w:pPr>
            <w:r>
              <w:rPr/>
              <w:t>26,174</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755" w:type="dxa"/>
            <w:tcBorders>
              <w:bottom w:val="single" w:sz="12" w:space="0" w:color="000000"/>
            </w:tcBorders>
            <w:tcMar>
              <w:bottom w:w="28" w:type="dxa"/>
            </w:tcMar>
            <w:vAlign w:val="bottom"/>
          </w:tcPr>
          <w:p>
            <w:pPr>
              <w:pStyle w:val="TableContents"/>
              <w:bidi w:val="0"/>
              <w:spacing w:before="0" w:after="0"/>
              <w:jc w:val="right"/>
              <w:rPr/>
            </w:pPr>
            <w:r>
              <w:rPr/>
              <w:t>6,670</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755" w:type="dxa"/>
            <w:tcBorders>
              <w:bottom w:val="single" w:sz="12" w:space="0" w:color="000000"/>
            </w:tcBorders>
            <w:tcMar>
              <w:bottom w:w="28" w:type="dxa"/>
            </w:tcMar>
            <w:vAlign w:val="bottom"/>
          </w:tcPr>
          <w:p>
            <w:pPr>
              <w:pStyle w:val="TableContents"/>
              <w:bidi w:val="0"/>
              <w:spacing w:before="0" w:after="0"/>
              <w:jc w:val="right"/>
              <w:rPr/>
            </w:pPr>
            <w:r>
              <w:rPr/>
              <w:t>-</w:t>
            </w:r>
          </w:p>
        </w:tc>
        <w:tc>
          <w:tcPr>
            <w:tcW w:w="110" w:type="dxa"/>
            <w:tcBorders/>
            <w:vAlign w:val="bottom"/>
          </w:tcPr>
          <w:p>
            <w:pPr>
              <w:pStyle w:val="TableContents"/>
              <w:bidi w:val="0"/>
              <w:spacing w:before="0" w:after="283"/>
              <w:jc w:val="left"/>
              <w:rPr/>
            </w:pPr>
            <w:r>
              <w:rPr/>
            </w:r>
          </w:p>
        </w:tc>
      </w:tr>
      <w:tr>
        <w:trPr/>
        <w:tc>
          <w:tcPr>
            <w:tcW w:w="3005" w:type="dxa"/>
            <w:tcBorders/>
            <w:shd w:fill="CCEEFF" w:val="clear"/>
            <w:vAlign w:val="bottom"/>
          </w:tcPr>
          <w:p>
            <w:pPr>
              <w:pStyle w:val="TableContents"/>
              <w:bidi w:val="0"/>
              <w:spacing w:before="0" w:after="0"/>
              <w:ind w:left="144" w:right="0" w:hanging="144"/>
              <w:jc w:val="left"/>
              <w:rPr>
                <w:b/>
              </w:rPr>
            </w:pPr>
            <w:r>
              <w:rPr>
                <w:b/>
              </w:rPr>
              <w:t>Adjusted EBITDA</w:t>
            </w:r>
          </w:p>
        </w:tc>
        <w:tc>
          <w:tcPr>
            <w:tcW w:w="23" w:type="dxa"/>
            <w:tcBorders/>
            <w:shd w:fill="CCEEFF" w:val="clear"/>
            <w:vAlign w:val="bottom"/>
          </w:tcPr>
          <w:p>
            <w:pPr>
              <w:pStyle w:val="TableContents"/>
              <w:bidi w:val="0"/>
              <w:spacing w:before="0" w:after="283"/>
              <w:jc w:val="left"/>
              <w:rPr/>
            </w:pPr>
            <w:r>
              <w:rPr/>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40,251</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(27,627</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(49,608</w:t>
            </w:r>
          </w:p>
        </w:tc>
        <w:tc>
          <w:tcPr>
            <w:tcW w:w="11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Adjusted EBITDA increased by $67.9 million for the year ended December 31, 2023 as compared to the same period of a year ago. The improvement is driven primarily by an increase in operating income in 2023 of $61.0 million. Adjusted EBITDA improved by $22.0 million for the year ended December 31, 2022 as compared to the year ended December 31, 2021, mainly due to the decreasing in operating loss in 2022 of $19.0 million.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reconciliation of Net loss to Adjusted net income (loss) for the years ended December 31, 2023, 2022 and 2021:</w:t>
      </w:r>
    </w:p>
    <w:tbl>
      <w:tblPr>
        <w:tblW w:w="6059" w:type="dxa"/>
        <w:jc w:val="left"/>
        <w:tblInd w:w="0" w:type="dxa"/>
        <w:tblLayout w:type="fixed"/>
        <w:tblCellMar>
          <w:top w:w="0" w:type="dxa"/>
          <w:left w:w="0" w:type="dxa"/>
          <w:bottom w:w="0" w:type="dxa"/>
          <w:right w:w="0" w:type="dxa"/>
        </w:tblCellMar>
      </w:tblPr>
      <w:tblGrid>
        <w:gridCol w:w="3005"/>
        <w:gridCol w:w="23"/>
        <w:gridCol w:w="140"/>
        <w:gridCol w:w="755"/>
        <w:gridCol w:w="95"/>
        <w:gridCol w:w="23"/>
        <w:gridCol w:w="140"/>
        <w:gridCol w:w="755"/>
        <w:gridCol w:w="95"/>
        <w:gridCol w:w="23"/>
        <w:gridCol w:w="140"/>
        <w:gridCol w:w="755"/>
        <w:gridCol w:w="110"/>
      </w:tblGrid>
      <w:tr>
        <w:trPr/>
        <w:tc>
          <w:tcPr>
            <w:tcW w:w="300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2921"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Years Ended December 31,</w:t>
            </w:r>
          </w:p>
        </w:tc>
        <w:tc>
          <w:tcPr>
            <w:tcW w:w="110" w:type="dxa"/>
            <w:tcBorders/>
            <w:vAlign w:val="bottom"/>
          </w:tcPr>
          <w:p>
            <w:pPr>
              <w:pStyle w:val="TableContents"/>
              <w:bidi w:val="0"/>
              <w:spacing w:before="0" w:after="283"/>
              <w:jc w:val="left"/>
              <w:rPr/>
            </w:pPr>
            <w:r>
              <w:rPr/>
            </w:r>
          </w:p>
        </w:tc>
      </w:tr>
      <w:tr>
        <w:trPr/>
        <w:tc>
          <w:tcPr>
            <w:tcW w:w="3005" w:type="dxa"/>
            <w:tcBorders/>
            <w:vAlign w:val="bottom"/>
          </w:tcPr>
          <w:p>
            <w:pPr>
              <w:pStyle w:val="TableContents"/>
              <w:bidi w:val="0"/>
              <w:spacing w:before="0" w:after="0"/>
              <w:ind w:left="144" w:right="0" w:hanging="144"/>
              <w:jc w:val="center"/>
              <w:rPr>
                <w:i/>
              </w:rPr>
            </w:pPr>
            <w:r>
              <w:rPr>
                <w:i/>
              </w:rPr>
              <w:t>(in thousands)</w:t>
            </w:r>
          </w:p>
        </w:tc>
        <w:tc>
          <w:tcPr>
            <w:tcW w:w="23" w:type="dxa"/>
            <w:tcBorders/>
            <w:vAlign w:val="bottom"/>
          </w:tcPr>
          <w:p>
            <w:pPr>
              <w:pStyle w:val="TableContents"/>
              <w:bidi w:val="0"/>
              <w:spacing w:before="0" w:after="283"/>
              <w:jc w:val="left"/>
              <w:rPr/>
            </w:pPr>
            <w:r>
              <w:rPr/>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110" w:type="dxa"/>
            <w:tcBorders/>
            <w:vAlign w:val="bottom"/>
          </w:tcPr>
          <w:p>
            <w:pPr>
              <w:pStyle w:val="TableContents"/>
              <w:bidi w:val="0"/>
              <w:spacing w:before="0" w:after="283"/>
              <w:jc w:val="left"/>
              <w:rPr/>
            </w:pPr>
            <w:r>
              <w:rPr/>
            </w:r>
          </w:p>
        </w:tc>
      </w:tr>
      <w:tr>
        <w:trPr/>
        <w:tc>
          <w:tcPr>
            <w:tcW w:w="3005" w:type="dxa"/>
            <w:tcBorders/>
            <w:shd w:fill="CCEEFF" w:val="clear"/>
            <w:vAlign w:val="bottom"/>
          </w:tcPr>
          <w:p>
            <w:pPr>
              <w:pStyle w:val="TableContents"/>
              <w:bidi w:val="0"/>
              <w:spacing w:before="0" w:after="0"/>
              <w:ind w:left="144" w:right="0" w:hanging="144"/>
              <w:jc w:val="left"/>
              <w:rPr>
                <w:b/>
              </w:rPr>
            </w:pPr>
            <w:r>
              <w:rPr>
                <w:b/>
              </w:rPr>
              <w:t>Net loss</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(28,239</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(65,904</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(71,648</w:t>
            </w:r>
          </w:p>
        </w:tc>
        <w:tc>
          <w:tcPr>
            <w:tcW w:w="110" w:type="dxa"/>
            <w:tcBorders/>
            <w:shd w:fill="CCEEFF" w:val="clear"/>
            <w:vAlign w:val="bottom"/>
          </w:tcPr>
          <w:p>
            <w:pPr>
              <w:pStyle w:val="TableContents"/>
              <w:bidi w:val="0"/>
              <w:spacing w:before="0" w:after="0"/>
              <w:jc w:val="left"/>
              <w:rPr/>
            </w:pPr>
            <w:r>
              <w:rPr/>
              <w:t>)</w:t>
            </w:r>
          </w:p>
        </w:tc>
      </w:tr>
      <w:tr>
        <w:trPr/>
        <w:tc>
          <w:tcPr>
            <w:tcW w:w="3005" w:type="dxa"/>
            <w:tcBorders/>
            <w:vAlign w:val="bottom"/>
          </w:tcPr>
          <w:p>
            <w:pPr>
              <w:pStyle w:val="TableContents"/>
              <w:bidi w:val="0"/>
              <w:spacing w:before="0" w:after="0"/>
              <w:ind w:left="144" w:right="0" w:hanging="144"/>
              <w:jc w:val="left"/>
              <w:rPr/>
            </w:pPr>
            <w:r>
              <w:rPr/>
              <w:t>Loss on extinguishment of debt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26,174</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6,670</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w:t>
            </w:r>
          </w:p>
        </w:tc>
        <w:tc>
          <w:tcPr>
            <w:tcW w:w="110" w:type="dxa"/>
            <w:tcBorders/>
            <w:vAlign w:val="bottom"/>
          </w:tcPr>
          <w:p>
            <w:pPr>
              <w:pStyle w:val="TableContents"/>
              <w:bidi w:val="0"/>
              <w:spacing w:before="0" w:after="283"/>
              <w:jc w:val="left"/>
              <w:rPr/>
            </w:pPr>
            <w:r>
              <w:rPr/>
            </w:r>
          </w:p>
        </w:tc>
      </w:tr>
      <w:tr>
        <w:trPr/>
        <w:tc>
          <w:tcPr>
            <w:tcW w:w="3005" w:type="dxa"/>
            <w:tcBorders/>
            <w:shd w:fill="CCEEFF" w:val="clear"/>
            <w:vAlign w:val="bottom"/>
          </w:tcPr>
          <w:p>
            <w:pPr>
              <w:pStyle w:val="TableContents"/>
              <w:bidi w:val="0"/>
              <w:spacing w:before="0" w:after="0"/>
              <w:ind w:left="144" w:right="0" w:hanging="144"/>
              <w:jc w:val="left"/>
              <w:rPr/>
            </w:pPr>
            <w:r>
              <w:rPr/>
              <w:t>IT systems disruption</w:t>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2,770</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10" w:type="dxa"/>
            <w:tcBorders/>
            <w:shd w:fill="CCEEFF" w:val="clear"/>
            <w:vAlign w:val="bottom"/>
          </w:tcPr>
          <w:p>
            <w:pPr>
              <w:pStyle w:val="TableContents"/>
              <w:bidi w:val="0"/>
              <w:spacing w:before="0" w:after="283"/>
              <w:jc w:val="left"/>
              <w:rPr/>
            </w:pPr>
            <w:r>
              <w:rPr/>
            </w:r>
          </w:p>
        </w:tc>
      </w:tr>
      <w:tr>
        <w:trPr/>
        <w:tc>
          <w:tcPr>
            <w:tcW w:w="3005" w:type="dxa"/>
            <w:tcBorders/>
            <w:vAlign w:val="bottom"/>
          </w:tcPr>
          <w:p>
            <w:pPr>
              <w:pStyle w:val="TableContents"/>
              <w:bidi w:val="0"/>
              <w:spacing w:before="0" w:after="0"/>
              <w:ind w:left="144" w:right="0" w:hanging="144"/>
              <w:jc w:val="left"/>
              <w:rPr>
                <w:b/>
              </w:rPr>
            </w:pPr>
            <w:r>
              <w:rPr>
                <w:b/>
              </w:rPr>
              <w:t>Adjusted net income (loss)</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705</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(59,234</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(71,648</w:t>
            </w:r>
          </w:p>
        </w:tc>
        <w:tc>
          <w:tcPr>
            <w:tcW w:w="11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LIQUIDITY AND CAPITAL RESOURCES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At December 31, 2023, we had working capital of $207.2 million, primarily consisting of $172.9 million of inventory, cash and cash equivalents of $51.4 million and $27.4 million of accounts receivable, partially offset by current liabilities of $49.8 million, as compared to working capital at December 31, 2022 of $231.1 million, primarily consisting of $163.3 million of inventory, cash and cash equivalents of $86.5 million and accounts receivable of $15.5 million, partially offset by current liabilities of $39.3 million. We have incurred an accumulated deficit of $506.3 million since inception and although we had positive cash flow from operations of $8.8 million for the year ended December 31, 2023, we had negative cash flows from operations of $59.5 million and $112.4 million for the years ended December 31, 2022 and 2021, respectively. We have funded our operations over the past few years primarily from the sale of our equity securities and debt financings. Our material cash requirements are primarily comprised of:</w:t>
      </w:r>
    </w:p>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collection and procurement of raw material source plasma, which includes plasma donor fees and plasma center supplies, and other raw materials necessary to maintain and scale up our manufacturing operations;</w:t>
            </w:r>
          </w:p>
        </w:tc>
      </w:tr>
    </w:tbl>
    <w:tbl>
      <w:tblPr>
        <w:tblW w:w="3768" w:type="dxa"/>
        <w:jc w:val="left"/>
        <w:tblInd w:w="0" w:type="dxa"/>
        <w:tblLayout w:type="fixed"/>
        <w:tblCellMar>
          <w:top w:w="0" w:type="dxa"/>
          <w:left w:w="0" w:type="dxa"/>
          <w:bottom w:w="0" w:type="dxa"/>
          <w:right w:w="0" w:type="dxa"/>
        </w:tblCellMar>
      </w:tblPr>
      <w:tblGrid>
        <w:gridCol w:w="38"/>
        <w:gridCol w:w="110"/>
        <w:gridCol w:w="3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0"/>
              <w:jc w:val="left"/>
              <w:rPr/>
            </w:pPr>
            <w:r>
              <w:rPr/>
              <w:t>Employee compensation and benefits;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Capital expenditures for equipment upgrades and capacity expansion at the Boca Facility and to maintain our plasma collection facilities;</w:t>
            </w:r>
          </w:p>
        </w:tc>
      </w:tr>
    </w:tbl>
    <w:tbl>
      <w:tblPr>
        <w:tblW w:w="2073" w:type="dxa"/>
        <w:jc w:val="left"/>
        <w:tblInd w:w="0" w:type="dxa"/>
        <w:tblLayout w:type="fixed"/>
        <w:tblCellMar>
          <w:top w:w="0" w:type="dxa"/>
          <w:left w:w="0" w:type="dxa"/>
          <w:bottom w:w="0" w:type="dxa"/>
          <w:right w:w="0" w:type="dxa"/>
        </w:tblCellMar>
      </w:tblPr>
      <w:tblGrid>
        <w:gridCol w:w="38"/>
        <w:gridCol w:w="110"/>
        <w:gridCol w:w="19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0"/>
              <w:jc w:val="left"/>
              <w:rPr/>
            </w:pPr>
            <w:r>
              <w:rPr/>
              <w:t>Interest on our debt;</w:t>
            </w:r>
          </w:p>
        </w:tc>
      </w:tr>
    </w:tbl>
    <w:tbl>
      <w:tblPr>
        <w:tblW w:w="7833" w:type="dxa"/>
        <w:jc w:val="left"/>
        <w:tblInd w:w="0" w:type="dxa"/>
        <w:tblLayout w:type="fixed"/>
        <w:tblCellMar>
          <w:top w:w="0" w:type="dxa"/>
          <w:left w:w="0" w:type="dxa"/>
          <w:bottom w:w="0" w:type="dxa"/>
          <w:right w:w="0" w:type="dxa"/>
        </w:tblCellMar>
      </w:tblPr>
      <w:tblGrid>
        <w:gridCol w:w="38"/>
        <w:gridCol w:w="110"/>
        <w:gridCol w:w="7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0"/>
              <w:jc w:val="left"/>
              <w:rPr/>
            </w:pPr>
            <w:r>
              <w:rPr/>
              <w:t>Marketing programs, medical education and continued commercialization efforts;</w:t>
            </w:r>
          </w:p>
        </w:tc>
      </w:tr>
    </w:tbl>
    <w:tbl>
      <w:tblPr>
        <w:tblW w:w="4728" w:type="dxa"/>
        <w:jc w:val="left"/>
        <w:tblInd w:w="0" w:type="dxa"/>
        <w:tblLayout w:type="fixed"/>
        <w:tblCellMar>
          <w:top w:w="0" w:type="dxa"/>
          <w:left w:w="0" w:type="dxa"/>
          <w:bottom w:w="0" w:type="dxa"/>
          <w:right w:w="0" w:type="dxa"/>
        </w:tblCellMar>
      </w:tblPr>
      <w:tblGrid>
        <w:gridCol w:w="38"/>
        <w:gridCol w:w="110"/>
        <w:gridCol w:w="45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0"/>
              <w:jc w:val="left"/>
              <w:rPr/>
            </w:pPr>
            <w:r>
              <w:rPr/>
              <w:t>Boca Facility maintenance, repairs and supplies;</w:t>
            </w:r>
          </w:p>
        </w:tc>
      </w:tr>
    </w:tbl>
    <w:tbl>
      <w:tblPr>
        <w:tblW w:w="8403" w:type="dxa"/>
        <w:jc w:val="left"/>
        <w:tblInd w:w="0" w:type="dxa"/>
        <w:tblLayout w:type="fixed"/>
        <w:tblCellMar>
          <w:top w:w="0" w:type="dxa"/>
          <w:left w:w="0" w:type="dxa"/>
          <w:bottom w:w="0" w:type="dxa"/>
          <w:right w:w="0" w:type="dxa"/>
        </w:tblCellMar>
      </w:tblPr>
      <w:tblGrid>
        <w:gridCol w:w="38"/>
        <w:gridCol w:w="110"/>
        <w:gridCol w:w="8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0"/>
              <w:jc w:val="left"/>
              <w:rPr/>
            </w:pPr>
            <w:r>
              <w:rPr/>
              <w:t>Conducting required post-marketing clinical trials for our FDA-approved products;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Continuous improvements and updates to our IT infrastructure, laboratory equipment and assays, and facilities and engineering equipment.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addition,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we had a net loss of loss of $28.2 million and achieved adjusted net income of $0.7 million which, as further described under “Non-GAAP Financial Measures”, excludes charges related to the refinancing of our senior debt of $26.2 million and an IT systems disruption of $2.7 million, as well as positive cash flow from operations, both for the first time in our history. However, at present we cannot be certain that we will be able to continue to generate a sufficient amount of product revenue to achieve profitability on an ongoing basis. We currently anticipate, based upon our projected revenue and expenditures, that our current cash, cash equivalents and accounts receivable, along with our projected future operating cash flow, will be sufficient to fund our operations, as currently conducted, through the end of the first quarter of fiscal 2025. However, our current outlook with respect to cash flows and profitability may change based upon several factors, including the success of our commercial efforts with respect to the sale of our products and the continued acceptability of our immune globulin products by physicians, patients or payers, and whether or not the assumptions underlying our projected revenues and expenses are correct. If we are unable to maintain positive cash flow throughout fiscal 2024, we may need to raise additional capital and if such capital is not available due to widespread liquidity constraints or significant market instability that could result from international or global conflicts, economic uncertainty, COVID-19 or other pandemics, inflationary pressures or other factors beyond our control, we may have to delay, curtail or eliminate some of our commercialization efforts or product development activities. If we are unable to generate sufficient revenue to maintain positive cash flow throughout fiscal 2024 and need to raise additional capital, we may decide to do so through public or private equity offerings or debt financings, or we may enter into a corporate collaboration or licensing arrangement. The sale of additional equity securities or debt financings, if convertible, could result in dilution to our stockholders and, in such event, the value and potential future market price of our common stock may decline.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ADMA continues to evaluate a variety of strategic alternatives, and the exploration of value-creating opportunities remains a top corporate priority.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December 18, 2023 (the “Ares Closing Date”), we and all of our subsidiaries entered into a new senior secured credit facility (the “Ares Credit Agreement”) with Ares Capital Corporation and certain credit funds affiliated with Ares Capital Corporation (collectively, “Ares”). The Ares Credit Agreement provides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the Ares Closing Date, we used the proceeds from the Ares Loans, along with a portion of our existing cash on hand, to terminate and pay in full all of the outstanding obligations under our previous senior credit facility (the “Hayfin Credit Facility”) with Hayfin Services LLP (“Hayfin”) including the outstanding principal in the amount of $158.6 million, a prepayment penalty in the amount $11.1 million, an exit fee of $1.6 million, all accrued and unpaid interest outstanding on the Hayfin Credit Facility as of the Ares Closing date, as well as certain fees and expenses related thereto. In connection with the payoff and termination of the Hayfin Credit Facility, we also wrote off $15.0 million of unamortized debt discount related to the Hayfin Credit Facility. As a result of this transaction, we recorded a loss on the extinguishment of the Hayfin Credit Facility in the amount of $26.2 million, which is mainly comprised of the write-off of unamortized debt discount and the prepayment penalty.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Borrowings under the term loan initially bear interest at the adjusted Term SOFR for a three</w:t>
        <w:noBreakHyphen/>
        <w:t>month tenor in effect on the day that is two business days prior to the first day of the applicable calendar quarter plus 6.50% (the “Initial SOFR Term Loan Applicable Margin”). Borrowings under the revolving facility initially bear interest at the adjusted Term SOFR for a three</w:t>
        <w:noBreakHyphen/>
        <w:t>month tenor in effect on the day that is two business days prior to the first day of the applicable calendar quarterplus3.75% (the “SOFR Revolving Facility Applicable Margin”). On the Ares Closing Date, the interest rate on the term loan was approximately 11.9% and the interest rate on the revolving facility was approximately 9.1%, representing a weighted-average interest rate of approximately 10.4%. Prior to the Ares Closing Date, the interest rate on the Hayfin Credit Facility was approximately 13.9%.</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the Ares Maturity Date, we are required to pay Ares the entire outstanding principal amount underlying the Ares Loans and any accrued and unpaid interest thereon. Prior to the Ares Maturity Date, there are no scheduled principal payments on the Ares Credit Facility, and we are required to make quarterly interest payments during the term of Ares Credit Facility of approximately $3.7 million. We may prepay the outstanding principal under the revolving facility, together with any accrued but unpaid interest on the prepaid principal amount, at any time and from time to time upon three business days’ prior written notice with no prepayment premium. However, in the event that we prepay an amount under the revolving facility that is greater than 50% of the current $72.5 million outstanding balance, we will still be required to pay interest on 50% of this balance, or $36.3 million, through the term of Ares Credit Facility. We may prepay the outstanding principal on the term loan, together with any accrued but unpaid interest on the prepaid principal amount, at any time and from time to time upon three business days’ prior written notice, subject to the payment to Ares of a prepayment premium equal to (i) 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closing of the Ares Credit Facility, we incurred fees and expenses related to the transaction of approximately $2.7 million, including a $1.7 million original issue discount payable to Ares, all of which was deducted from the Ares loan proceeds. In addition, we are also required to pay Ares an exit fee of $1.7 million upon the earlier of any prepayment date or the Ares Maturity Date, and this amount has been accrued as a separate liability in our consolidated balance sheet as of December 31, 2023. As a result, we recognized an aggregate debt discount of $4.4 million as of the Ares Closing Date, and the weighted-average effective interest rate on the Ares Loans as of December 31, 2023 was 11.39%.</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All of our obligations under the Ares Credit Agreement are secured by a first-priority lien and security interest in substantially all of our tangible and intangible assets, including intellectual property and all of the equity interests in our subsidiaries. The Ares Credit Agreement contains certain representations and warranties, affirmative covenants, negative covenants and conditions that are customarily required for similar financings. The negative covenants include certain financial covenants, including maximum total leverage ratios and a $15.0 million liquidity covenant, and also restrict or limit our ability and the ability of our subsidiaries to, among other things and subject to certain exceptions contained in the Ares Credit Agreement, incur new indebtedness; create liens on assets; engage in certain fundamental corporate changes, such as mergers or acquisitions, or changes to our or our subsidiaries’ business activities; make certain Investments or Restricted Payments (each as defined in the Ares Credit Agreement); engage in certain affiliate transactions; or enter into, amend or terminate any other agreements that have the impact of restricting our ability to make loan repayments under the Ares Credit Agreement. As of December 31, 2023, we were in compliance with all of the covenants contained in the Ares Credit Agreement.</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will incur an increase in the rate of interest on the Ares Loans of 2% per annum.</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March 23, 2022 (the “Hayfin Closing Date”), we and all of our subsidiaries entered into the Hayfin Credit Agreement with Hayfin. The Hayfin Credit Agreement, as amended, provided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Hayfin Delayed Draw Loan was not drawn prior to the Hayfin Closing Date. The Hayfin Credit Facility had a maturity date of March 23, 2027 (the “Hayfin Maturity Date”), subject to acceleration pursuant to the Hayfin Credit Agreement, including upon an Event of Default (as defined in the Hayfin Credit Agreement).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the Hayfin Closing Date, we used $100.0 million of the Hayfin Closing Date Loan to terminate and pay in full all of the outstanding obligations under our previous senior credit facility with Perceptive (see Note 7 to the Consolidated Financial Statements). We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Borrowings under the Hayfin Credit Agreement bore interest at the adjusted Term SOFR for either a one-month or three-month tenor, as elected by us, and subject to a floor of 1.25%, plus an applicable margin of 9.5% (the “Applicable Margin”); provided, however, that upon, and during the continuance of, an Event of Default, the Applicable Margin would increase by an additional 3% per annum. On May 1, 2023 the Hayfin Credit Agreement was amended to reduce the Applicable Margin from 9.5% to 8.5%. On the last day of each calendar month prior to the Ares Closing Date we paid accrued interest to Hayfin. On the Hayfin Closing Date, December 31, 2022 and the Ares Closing Date, the stated interest rate on the Hayfin Loans was 10.75%, approximately 13.7% and approximately 13.9%, respectively. We were also permitted to pay “in kind” a portion of the interest on the Hayfin Loans for each monthly interest period in an amount equal to 2.5% per annum, which was added to the principal amount of the outstanding debt under the Hayfin Credit Facility. From the Hayfin Closing Date through December 31, 2022, $3.0 million of interest was paid in kind and added to the balance of the outstanding Hayfin Loans. For the year ended December 31, 2023, $3.8 million of interest was paid in kind and added to the balance of the outstanding Hayfin Loans.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the Ares Closing Date, we paid Hayfin the entire outstanding principal amount underlying the Hayfin Loans and any accrued and unpaid interest thereon, as well as an exit fee of 1.0% of the outstanding principal amount being paid. In accordance with the terms of the Hayfin Credit Agreement, we also paid Hayfin the early prepayment fee in the amount equal 7.0% of the prepaid principal amount, or $11.1 million.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All of our obligations under the Hayfin Credit Agreement were secured by a first-priority lien and security interest in substantially all of our tangible and intangible assets, including intellectual property and all of the equity interests in our subsidiaries. The Hayfin Credit Agreement contained certain representations and warranties, affirmative covenants, negative covenants and conditions that are customarily required for similar financings. The negative covenants restricted or limited our ability and the ability of our subsidiaries to, among other things and subject to certain exceptions contained in the Hayfin Credit Agreement, incur new indebtedness; create liens on assets; engage in certain fundamental corporate changes, such as mergers or acquisitions, or changes to our or our subsidiaries’ business activities; make certain Investments or Restricted Payments (each as defined in the Hayfin Credit Agreement); change our fiscal year; pay dividends; repay other certain indebtedness; engage in certain affiliate transactions; or enter into, amend or terminate any other agreements that have the impact of restricting our ability to make loan repayments under the Hayfin Credit Agreement. In addition, we were required (i) at all times prior to the Hayfin Maturity Date to maintain a minimum cash balance of $6.0 million; and (ii) as of the last day of each fiscal quarter, report IVIG product and related revenues for the trailing 12-month period that exceed the amounts set forth in the Hayfin Credit Agreement, which ranged from $75.0 million for the fiscal quarter ending June 30, 2022 to $110.0 million for the fiscal quarter ending September 30, 2023. As of the Ares Closing Date and December 31, 2022, we were in compliance with all of the financial covenants contained in the Hayfin Credit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December 9, 2022, we completed an underwritten public offering whereby we issued 24,125,873 shares of our common stock. Net proceeds after underwriting discounts and expenses associated with the offering were approximately $64.6 million and were used to accelerate commercialization and production activities, complete plasma center buildouts and obtain FDA approvals, to conclude post</w:t>
        <w:noBreakHyphen/>
        <w:t>FDA marketing approval research and development projects, and for working capital, capital expenditures and general corporate purposes.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October 25, 2021, we completed an underwritten public offering whereby we issued 57.5 million shares of our common stock and received gross proceeds of $57.5 million. Net proceeds, after underwriting discounts and expenses associated with the offering, were approximately $53.8 million, and were used to advance the commercial sales of our FDA approved products through the procurement of raw materials for the manufacturing of BIVIGAM and ASCENIV, to expand our plasma collection facility network, to scale up the manufacturing capacity of the Boca Facility and make continuous improvements in order to adhere to cGMP compliance, to explore business development opportunities and for general corporate purposes and other capital expenditures.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September 3, 2021, we entered into a distribution agreement with Raymond James &amp; Associates, Inc., as agent (“Agent”), pursuant to which we may offer and sell, from time to time, at our option, through or to the Agent, up to an aggregate of $50 million of shares of our common stock (the “Distribution Agreement”). We currently intend to use any net proceeds from the sale of our common stock under the Distribution Agreement for general corporate purposes, including procurement of source plasma and other raw materials, supply chain initiatives and production expenditures, working capital, capital expenditures, expansion and resources for commercialization activities, and other potential research and development and business opportunities. During the year ended December 31, 2021, we issued 5,540,831 shares of our common stock under the Distribution Agreement and received net proceeds of $6.9 million. We did not issue any shares under this agreement during the years ended December 31, 2023 and 2022, and we currently have approximately $42.8 million of shares available to sell under the Distribution Agreement.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Cash Flows</w:t>
      </w:r>
    </w:p>
    <w:p>
      <w:pPr>
        <w:pStyle w:val="TextBody"/>
        <w:bidi w:val="0"/>
        <w:spacing w:before="0" w:after="0"/>
        <w:jc w:val="left"/>
        <w:rPr>
          <w:b/>
        </w:rPr>
      </w:pPr>
      <w:r>
        <w:rPr>
          <w:b/>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a summary of our cash flows for the periods indicated:</w:t>
      </w:r>
    </w:p>
    <w:tbl>
      <w:tblPr>
        <w:tblW w:w="7994" w:type="dxa"/>
        <w:jc w:val="left"/>
        <w:tblInd w:w="0" w:type="dxa"/>
        <w:tblLayout w:type="fixed"/>
        <w:tblCellMar>
          <w:top w:w="0" w:type="dxa"/>
          <w:left w:w="0" w:type="dxa"/>
          <w:bottom w:w="0" w:type="dxa"/>
          <w:right w:w="0" w:type="dxa"/>
        </w:tblCellMar>
      </w:tblPr>
      <w:tblGrid>
        <w:gridCol w:w="4775"/>
        <w:gridCol w:w="23"/>
        <w:gridCol w:w="140"/>
        <w:gridCol w:w="755"/>
        <w:gridCol w:w="95"/>
        <w:gridCol w:w="23"/>
        <w:gridCol w:w="140"/>
        <w:gridCol w:w="800"/>
        <w:gridCol w:w="95"/>
        <w:gridCol w:w="23"/>
        <w:gridCol w:w="140"/>
        <w:gridCol w:w="875"/>
        <w:gridCol w:w="110"/>
      </w:tblGrid>
      <w:tr>
        <w:trPr/>
        <w:tc>
          <w:tcPr>
            <w:tcW w:w="477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3086"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Years Ended December 31,</w:t>
            </w:r>
          </w:p>
        </w:tc>
        <w:tc>
          <w:tcPr>
            <w:tcW w:w="110" w:type="dxa"/>
            <w:tcBorders/>
            <w:vAlign w:val="bottom"/>
          </w:tcPr>
          <w:p>
            <w:pPr>
              <w:pStyle w:val="TableContents"/>
              <w:bidi w:val="0"/>
              <w:spacing w:before="0" w:after="283"/>
              <w:jc w:val="left"/>
              <w:rPr/>
            </w:pPr>
            <w:r>
              <w:rPr/>
            </w:r>
          </w:p>
        </w:tc>
      </w:tr>
      <w:tr>
        <w:trPr/>
        <w:tc>
          <w:tcPr>
            <w:tcW w:w="4775" w:type="dxa"/>
            <w:tcBorders/>
            <w:vAlign w:val="bottom"/>
          </w:tcPr>
          <w:p>
            <w:pPr>
              <w:pStyle w:val="TableContents"/>
              <w:bidi w:val="0"/>
              <w:spacing w:before="0" w:after="0"/>
              <w:ind w:left="144" w:right="0" w:hanging="144"/>
              <w:jc w:val="center"/>
              <w:rPr>
                <w:i/>
              </w:rPr>
            </w:pPr>
            <w:r>
              <w:rPr>
                <w:i/>
              </w:rPr>
              <w:t>(in thousands)</w:t>
            </w:r>
          </w:p>
        </w:tc>
        <w:tc>
          <w:tcPr>
            <w:tcW w:w="23" w:type="dxa"/>
            <w:tcBorders/>
            <w:vAlign w:val="bottom"/>
          </w:tcPr>
          <w:p>
            <w:pPr>
              <w:pStyle w:val="TableContents"/>
              <w:bidi w:val="0"/>
              <w:spacing w:before="0" w:after="283"/>
              <w:jc w:val="left"/>
              <w:rPr/>
            </w:pPr>
            <w:r>
              <w:rPr/>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110" w:type="dxa"/>
            <w:tcBorders/>
            <w:vAlign w:val="bottom"/>
          </w:tcPr>
          <w:p>
            <w:pPr>
              <w:pStyle w:val="TableContents"/>
              <w:bidi w:val="0"/>
              <w:spacing w:before="0" w:after="283"/>
              <w:jc w:val="left"/>
              <w:rPr/>
            </w:pPr>
            <w:r>
              <w:rPr/>
            </w:r>
          </w:p>
        </w:tc>
      </w:tr>
      <w:tr>
        <w:trPr/>
        <w:tc>
          <w:tcPr>
            <w:tcW w:w="4775" w:type="dxa"/>
            <w:tcBorders/>
            <w:shd w:fill="CCEEFF" w:val="clear"/>
            <w:vAlign w:val="bottom"/>
          </w:tcPr>
          <w:p>
            <w:pPr>
              <w:pStyle w:val="TableContents"/>
              <w:bidi w:val="0"/>
              <w:spacing w:before="0" w:after="0"/>
              <w:ind w:left="144" w:right="0" w:hanging="144"/>
              <w:jc w:val="left"/>
              <w:rPr/>
            </w:pPr>
            <w:r>
              <w:rPr/>
              <w:t>Net cash provided by (used in) operating activities</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8,800</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(59,508</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875" w:type="dxa"/>
            <w:tcBorders/>
            <w:shd w:fill="CCEEFF" w:val="clear"/>
            <w:vAlign w:val="bottom"/>
          </w:tcPr>
          <w:p>
            <w:pPr>
              <w:pStyle w:val="TableContents"/>
              <w:bidi w:val="0"/>
              <w:spacing w:before="0" w:after="0"/>
              <w:jc w:val="right"/>
              <w:rPr/>
            </w:pPr>
            <w:r>
              <w:rPr/>
              <w:t>(112,369</w:t>
            </w:r>
          </w:p>
        </w:tc>
        <w:tc>
          <w:tcPr>
            <w:tcW w:w="110" w:type="dxa"/>
            <w:tcBorders/>
            <w:shd w:fill="CCEEFF" w:val="clear"/>
            <w:vAlign w:val="bottom"/>
          </w:tcPr>
          <w:p>
            <w:pPr>
              <w:pStyle w:val="TableContents"/>
              <w:bidi w:val="0"/>
              <w:spacing w:before="0" w:after="0"/>
              <w:jc w:val="left"/>
              <w:rPr/>
            </w:pPr>
            <w:r>
              <w:rPr/>
              <w:t>)</w:t>
            </w:r>
          </w:p>
        </w:tc>
      </w:tr>
      <w:tr>
        <w:trPr/>
        <w:tc>
          <w:tcPr>
            <w:tcW w:w="4775" w:type="dxa"/>
            <w:tcBorders/>
            <w:vAlign w:val="bottom"/>
          </w:tcPr>
          <w:p>
            <w:pPr>
              <w:pStyle w:val="TableContents"/>
              <w:bidi w:val="0"/>
              <w:spacing w:before="0" w:after="0"/>
              <w:ind w:left="144" w:right="0" w:hanging="144"/>
              <w:jc w:val="left"/>
              <w:rPr/>
            </w:pPr>
            <w:r>
              <w:rPr/>
              <w:t>Net cash used in investing activities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(4,981</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(13,911</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75" w:type="dxa"/>
            <w:tcBorders/>
            <w:vAlign w:val="bottom"/>
          </w:tcPr>
          <w:p>
            <w:pPr>
              <w:pStyle w:val="TableContents"/>
              <w:bidi w:val="0"/>
              <w:spacing w:before="0" w:after="0"/>
              <w:jc w:val="right"/>
              <w:rPr/>
            </w:pPr>
            <w:r>
              <w:rPr/>
              <w:t>(13,511</w:t>
            </w:r>
          </w:p>
        </w:tc>
        <w:tc>
          <w:tcPr>
            <w:tcW w:w="110" w:type="dxa"/>
            <w:tcBorders/>
            <w:vAlign w:val="bottom"/>
          </w:tcPr>
          <w:p>
            <w:pPr>
              <w:pStyle w:val="TableContents"/>
              <w:bidi w:val="0"/>
              <w:spacing w:before="0" w:after="0"/>
              <w:jc w:val="left"/>
              <w:rPr/>
            </w:pPr>
            <w:r>
              <w:rPr/>
              <w:t>)</w:t>
            </w:r>
          </w:p>
        </w:tc>
      </w:tr>
      <w:tr>
        <w:trPr/>
        <w:tc>
          <w:tcPr>
            <w:tcW w:w="4775" w:type="dxa"/>
            <w:tcBorders/>
            <w:shd w:fill="CCEEFF" w:val="clear"/>
            <w:vAlign w:val="bottom"/>
          </w:tcPr>
          <w:p>
            <w:pPr>
              <w:pStyle w:val="TableContents"/>
              <w:bidi w:val="0"/>
              <w:spacing w:before="0" w:after="0"/>
              <w:ind w:left="144" w:right="0" w:hanging="144"/>
              <w:jc w:val="left"/>
              <w:rPr/>
            </w:pPr>
            <w:r>
              <w:rPr/>
              <w:t>Net cash (used in) provided by financing activities</w:t>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(38,989</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108,852</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121,048</w:t>
            </w:r>
          </w:p>
        </w:tc>
        <w:tc>
          <w:tcPr>
            <w:tcW w:w="110" w:type="dxa"/>
            <w:tcBorders/>
            <w:shd w:fill="CCEEFF" w:val="clear"/>
            <w:vAlign w:val="bottom"/>
          </w:tcPr>
          <w:p>
            <w:pPr>
              <w:pStyle w:val="TableContents"/>
              <w:bidi w:val="0"/>
              <w:spacing w:before="0" w:after="283"/>
              <w:jc w:val="left"/>
              <w:rPr/>
            </w:pPr>
            <w:r>
              <w:rPr/>
            </w:r>
          </w:p>
        </w:tc>
      </w:tr>
      <w:tr>
        <w:trPr/>
        <w:tc>
          <w:tcPr>
            <w:tcW w:w="4775" w:type="dxa"/>
            <w:tcBorders/>
            <w:vAlign w:val="bottom"/>
          </w:tcPr>
          <w:p>
            <w:pPr>
              <w:pStyle w:val="TableContents"/>
              <w:bidi w:val="0"/>
              <w:spacing w:before="0" w:after="0"/>
              <w:ind w:left="144" w:right="0" w:hanging="144"/>
              <w:jc w:val="left"/>
              <w:rPr/>
            </w:pPr>
            <w:r>
              <w:rPr/>
              <w:t>Net change in cash and cash equivalents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(35,170</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00" w:type="dxa"/>
            <w:tcBorders/>
            <w:vAlign w:val="bottom"/>
          </w:tcPr>
          <w:p>
            <w:pPr>
              <w:pStyle w:val="TableContents"/>
              <w:bidi w:val="0"/>
              <w:spacing w:before="0" w:after="0"/>
              <w:jc w:val="right"/>
              <w:rPr/>
            </w:pPr>
            <w:r>
              <w:rPr/>
              <w:t>35,433</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75" w:type="dxa"/>
            <w:tcBorders/>
            <w:vAlign w:val="bottom"/>
          </w:tcPr>
          <w:p>
            <w:pPr>
              <w:pStyle w:val="TableContents"/>
              <w:bidi w:val="0"/>
              <w:spacing w:before="0" w:after="0"/>
              <w:jc w:val="right"/>
              <w:rPr/>
            </w:pPr>
            <w:r>
              <w:rPr/>
              <w:t>(4,832</w:t>
            </w:r>
          </w:p>
        </w:tc>
        <w:tc>
          <w:tcPr>
            <w:tcW w:w="110" w:type="dxa"/>
            <w:tcBorders/>
            <w:vAlign w:val="bottom"/>
          </w:tcPr>
          <w:p>
            <w:pPr>
              <w:pStyle w:val="TableContents"/>
              <w:bidi w:val="0"/>
              <w:spacing w:before="0" w:after="0"/>
              <w:jc w:val="left"/>
              <w:rPr/>
            </w:pPr>
            <w:r>
              <w:rPr/>
              <w:t>)</w:t>
            </w:r>
          </w:p>
        </w:tc>
      </w:tr>
      <w:tr>
        <w:trPr/>
        <w:tc>
          <w:tcPr>
            <w:tcW w:w="477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00"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75" w:type="dxa"/>
            <w:tcBorders/>
            <w:shd w:fill="CCEEFF" w:val="clear"/>
            <w:vAlign w:val="bottom"/>
          </w:tcPr>
          <w:p>
            <w:pPr>
              <w:pStyle w:val="TableContents"/>
              <w:bidi w:val="0"/>
              <w:spacing w:before="0" w:after="283"/>
              <w:jc w:val="left"/>
              <w:rPr/>
            </w:pPr>
            <w:r>
              <w:rPr/>
            </w:r>
          </w:p>
        </w:tc>
        <w:tc>
          <w:tcPr>
            <w:tcW w:w="110" w:type="dxa"/>
            <w:tcBorders/>
            <w:shd w:fill="CCEEFF" w:val="clear"/>
            <w:vAlign w:val="bottom"/>
          </w:tcPr>
          <w:p>
            <w:pPr>
              <w:pStyle w:val="TableContents"/>
              <w:bidi w:val="0"/>
              <w:spacing w:before="0" w:after="283"/>
              <w:jc w:val="left"/>
              <w:rPr/>
            </w:pPr>
            <w:r>
              <w:rPr/>
            </w:r>
          </w:p>
        </w:tc>
      </w:tr>
      <w:tr>
        <w:trPr/>
        <w:tc>
          <w:tcPr>
            <w:tcW w:w="4775" w:type="dxa"/>
            <w:tcBorders/>
            <w:vAlign w:val="bottom"/>
          </w:tcPr>
          <w:p>
            <w:pPr>
              <w:pStyle w:val="TableContents"/>
              <w:bidi w:val="0"/>
              <w:spacing w:before="0" w:after="0"/>
              <w:ind w:left="144" w:right="0" w:hanging="144"/>
              <w:jc w:val="left"/>
              <w:rPr/>
            </w:pPr>
            <w:r>
              <w:rPr/>
              <w:t>Cash and cash equivalents - beginning of year</w:t>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755" w:type="dxa"/>
            <w:tcBorders>
              <w:bottom w:val="single" w:sz="12" w:space="0" w:color="000000"/>
            </w:tcBorders>
            <w:tcMar>
              <w:bottom w:w="28" w:type="dxa"/>
            </w:tcMar>
            <w:vAlign w:val="bottom"/>
          </w:tcPr>
          <w:p>
            <w:pPr>
              <w:pStyle w:val="TableContents"/>
              <w:bidi w:val="0"/>
              <w:spacing w:before="0" w:after="0"/>
              <w:jc w:val="right"/>
              <w:rPr/>
            </w:pPr>
            <w:r>
              <w:rPr/>
              <w:t>86,522</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800" w:type="dxa"/>
            <w:tcBorders>
              <w:bottom w:val="single" w:sz="12" w:space="0" w:color="000000"/>
            </w:tcBorders>
            <w:tcMar>
              <w:bottom w:w="28" w:type="dxa"/>
            </w:tcMar>
            <w:vAlign w:val="bottom"/>
          </w:tcPr>
          <w:p>
            <w:pPr>
              <w:pStyle w:val="TableContents"/>
              <w:bidi w:val="0"/>
              <w:spacing w:before="0" w:after="0"/>
              <w:jc w:val="right"/>
              <w:rPr/>
            </w:pPr>
            <w:r>
              <w:rPr/>
              <w:t>51,089</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single" w:sz="12" w:space="0" w:color="000000"/>
            </w:tcBorders>
            <w:tcMar>
              <w:bottom w:w="28" w:type="dxa"/>
            </w:tcMar>
            <w:vAlign w:val="bottom"/>
          </w:tcPr>
          <w:p>
            <w:pPr>
              <w:pStyle w:val="TableContents"/>
              <w:bidi w:val="0"/>
              <w:spacing w:before="0" w:after="283"/>
              <w:jc w:val="left"/>
              <w:rPr/>
            </w:pPr>
            <w:r>
              <w:rPr/>
            </w:r>
          </w:p>
        </w:tc>
        <w:tc>
          <w:tcPr>
            <w:tcW w:w="875" w:type="dxa"/>
            <w:tcBorders>
              <w:bottom w:val="single" w:sz="12" w:space="0" w:color="000000"/>
            </w:tcBorders>
            <w:tcMar>
              <w:bottom w:w="28" w:type="dxa"/>
            </w:tcMar>
            <w:vAlign w:val="bottom"/>
          </w:tcPr>
          <w:p>
            <w:pPr>
              <w:pStyle w:val="TableContents"/>
              <w:bidi w:val="0"/>
              <w:spacing w:before="0" w:after="0"/>
              <w:jc w:val="right"/>
              <w:rPr/>
            </w:pPr>
            <w:r>
              <w:rPr/>
              <w:t>55,921</w:t>
            </w:r>
          </w:p>
        </w:tc>
        <w:tc>
          <w:tcPr>
            <w:tcW w:w="110" w:type="dxa"/>
            <w:tcBorders/>
            <w:vAlign w:val="bottom"/>
          </w:tcPr>
          <w:p>
            <w:pPr>
              <w:pStyle w:val="TableContents"/>
              <w:bidi w:val="0"/>
              <w:spacing w:before="0" w:after="283"/>
              <w:jc w:val="left"/>
              <w:rPr/>
            </w:pPr>
            <w:r>
              <w:rPr/>
            </w:r>
          </w:p>
        </w:tc>
      </w:tr>
      <w:tr>
        <w:trPr/>
        <w:tc>
          <w:tcPr>
            <w:tcW w:w="4775" w:type="dxa"/>
            <w:tcBorders/>
            <w:shd w:fill="CCEEFF" w:val="clear"/>
            <w:vAlign w:val="bottom"/>
          </w:tcPr>
          <w:p>
            <w:pPr>
              <w:pStyle w:val="TableContents"/>
              <w:bidi w:val="0"/>
              <w:spacing w:before="0" w:after="0"/>
              <w:ind w:left="144" w:right="0" w:hanging="144"/>
              <w:jc w:val="left"/>
              <w:rPr/>
            </w:pPr>
            <w:r>
              <w:rPr/>
              <w:t>Cash and cash equivalents - end of year</w:t>
            </w:r>
          </w:p>
        </w:tc>
        <w:tc>
          <w:tcPr>
            <w:tcW w:w="23" w:type="dxa"/>
            <w:tcBorders/>
            <w:shd w:fill="CCEEFF" w:val="clear"/>
            <w:vAlign w:val="bottom"/>
          </w:tcPr>
          <w:p>
            <w:pPr>
              <w:pStyle w:val="TableContents"/>
              <w:bidi w:val="0"/>
              <w:spacing w:before="0" w:after="283"/>
              <w:jc w:val="left"/>
              <w:rPr/>
            </w:pPr>
            <w:r>
              <w:rPr/>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51,352</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86,522</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pPr>
            <w:r>
              <w:rPr/>
              <w:t>51,089</w:t>
            </w:r>
          </w:p>
        </w:tc>
        <w:tc>
          <w:tcPr>
            <w:tcW w:w="110" w:type="dxa"/>
            <w:tcBorders/>
            <w:shd w:fill="CCEEFF" w:val="clear"/>
            <w:vAlign w:val="bottom"/>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Cash Provided by (Used in) Operating Activities</w:t>
      </w:r>
    </w:p>
    <w:p>
      <w:pPr>
        <w:pStyle w:val="TextBody"/>
        <w:bidi w:val="0"/>
        <w:spacing w:before="0" w:after="0"/>
        <w:jc w:val="left"/>
        <w:rPr>
          <w:b/>
          <w:i/>
        </w:rPr>
      </w:pPr>
      <w:r>
        <w:rPr>
          <w:b/>
          <w:i/>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Cash provided by operations for the year ended December 31, 2023 was $8.8 million, as compared to cash used in operations of $59.5 million for the same period of a year ago. This improvement was mainly due to the improvement in our operating results, driven by higher revenues and gross margins, and a lower increase in inventories. Cash used in operations for the year ended December 31, 2022 of $59.5 million represents a decrease of $52.9 million from the same period of a year ago, mainly due to the improvement in our operating results after giving effect to non-cash items, driven by higher revenues and gross margins, and reductions in accounts receivable related to the timing of shipments and collections from customers. The following table illustrates the primary components of our cash flows from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78</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8219" w:type="dxa"/>
        <w:jc w:val="left"/>
        <w:tblInd w:w="0" w:type="dxa"/>
        <w:tblLayout w:type="fixed"/>
        <w:tblCellMar>
          <w:top w:w="0" w:type="dxa"/>
          <w:left w:w="0" w:type="dxa"/>
          <w:bottom w:w="0" w:type="dxa"/>
          <w:right w:w="0" w:type="dxa"/>
        </w:tblCellMar>
      </w:tblPr>
      <w:tblGrid>
        <w:gridCol w:w="5045"/>
        <w:gridCol w:w="23"/>
        <w:gridCol w:w="140"/>
        <w:gridCol w:w="755"/>
        <w:gridCol w:w="95"/>
        <w:gridCol w:w="23"/>
        <w:gridCol w:w="140"/>
        <w:gridCol w:w="755"/>
        <w:gridCol w:w="95"/>
        <w:gridCol w:w="23"/>
        <w:gridCol w:w="140"/>
        <w:gridCol w:w="875"/>
        <w:gridCol w:w="110"/>
      </w:tblGrid>
      <w:tr>
        <w:trPr/>
        <w:tc>
          <w:tcPr>
            <w:tcW w:w="504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3041"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Years Ended December 31,</w:t>
            </w:r>
          </w:p>
        </w:tc>
        <w:tc>
          <w:tcPr>
            <w:tcW w:w="110" w:type="dxa"/>
            <w:tcBorders/>
            <w:vAlign w:val="bottom"/>
          </w:tcPr>
          <w:p>
            <w:pPr>
              <w:pStyle w:val="TableContents"/>
              <w:bidi w:val="0"/>
              <w:spacing w:before="0" w:after="283"/>
              <w:jc w:val="left"/>
              <w:rPr/>
            </w:pPr>
            <w:r>
              <w:rPr/>
            </w:r>
          </w:p>
        </w:tc>
      </w:tr>
      <w:tr>
        <w:trPr/>
        <w:tc>
          <w:tcPr>
            <w:tcW w:w="5045" w:type="dxa"/>
            <w:tcBorders/>
            <w:vAlign w:val="bottom"/>
          </w:tcPr>
          <w:p>
            <w:pPr>
              <w:pStyle w:val="TableContents"/>
              <w:bidi w:val="0"/>
              <w:spacing w:before="0" w:after="0"/>
              <w:ind w:left="144" w:right="0" w:hanging="144"/>
              <w:jc w:val="center"/>
              <w:rPr>
                <w:i/>
              </w:rPr>
            </w:pPr>
            <w:r>
              <w:rPr>
                <w:i/>
              </w:rPr>
              <w:t>(in thousands)</w:t>
            </w:r>
          </w:p>
        </w:tc>
        <w:tc>
          <w:tcPr>
            <w:tcW w:w="23" w:type="dxa"/>
            <w:tcBorders/>
            <w:vAlign w:val="bottom"/>
          </w:tcPr>
          <w:p>
            <w:pPr>
              <w:pStyle w:val="TableContents"/>
              <w:bidi w:val="0"/>
              <w:spacing w:before="0" w:after="283"/>
              <w:jc w:val="left"/>
              <w:rPr/>
            </w:pPr>
            <w:r>
              <w:rPr/>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110" w:type="dxa"/>
            <w:tcBorders/>
            <w:vAlign w:val="bottom"/>
          </w:tcPr>
          <w:p>
            <w:pPr>
              <w:pStyle w:val="TableContents"/>
              <w:bidi w:val="0"/>
              <w:spacing w:before="0" w:after="283"/>
              <w:jc w:val="left"/>
              <w:rPr/>
            </w:pPr>
            <w:r>
              <w:rPr/>
            </w:r>
          </w:p>
        </w:tc>
      </w:tr>
      <w:tr>
        <w:trPr/>
        <w:tc>
          <w:tcPr>
            <w:tcW w:w="5045" w:type="dxa"/>
            <w:tcBorders/>
            <w:shd w:fill="CCEEFF" w:val="clear"/>
            <w:vAlign w:val="bottom"/>
          </w:tcPr>
          <w:p>
            <w:pPr>
              <w:pStyle w:val="TableContents"/>
              <w:bidi w:val="0"/>
              <w:spacing w:before="0" w:after="0"/>
              <w:ind w:left="144" w:right="0" w:hanging="144"/>
              <w:jc w:val="left"/>
              <w:rPr/>
            </w:pPr>
            <w:r>
              <w:rPr/>
              <w:t>Net loss</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(28,239</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(65,904</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0"/>
              <w:jc w:val="left"/>
              <w:rPr/>
            </w:pPr>
            <w:r>
              <w:rPr/>
              <w:t>$</w:t>
            </w:r>
          </w:p>
        </w:tc>
        <w:tc>
          <w:tcPr>
            <w:tcW w:w="875" w:type="dxa"/>
            <w:tcBorders/>
            <w:shd w:fill="CCEEFF" w:val="clear"/>
            <w:vAlign w:val="bottom"/>
          </w:tcPr>
          <w:p>
            <w:pPr>
              <w:pStyle w:val="TableContents"/>
              <w:bidi w:val="0"/>
              <w:spacing w:before="0" w:after="0"/>
              <w:jc w:val="right"/>
              <w:rPr/>
            </w:pPr>
            <w:r>
              <w:rPr/>
              <w:t>(71,648</w:t>
            </w:r>
          </w:p>
        </w:tc>
        <w:tc>
          <w:tcPr>
            <w:tcW w:w="110" w:type="dxa"/>
            <w:tcBorders/>
            <w:shd w:fill="CCEEFF" w:val="clear"/>
            <w:vAlign w:val="bottom"/>
          </w:tcPr>
          <w:p>
            <w:pPr>
              <w:pStyle w:val="TableContents"/>
              <w:bidi w:val="0"/>
              <w:spacing w:before="0" w:after="0"/>
              <w:jc w:val="left"/>
              <w:rPr/>
            </w:pPr>
            <w:r>
              <w:rPr/>
              <w:t>)</w:t>
            </w:r>
          </w:p>
        </w:tc>
      </w:tr>
      <w:tr>
        <w:trPr/>
        <w:tc>
          <w:tcPr>
            <w:tcW w:w="5045" w:type="dxa"/>
            <w:tcBorders/>
            <w:vAlign w:val="bottom"/>
          </w:tcPr>
          <w:p>
            <w:pPr>
              <w:pStyle w:val="TableContents"/>
              <w:bidi w:val="0"/>
              <w:spacing w:before="0" w:after="0"/>
              <w:ind w:left="144" w:right="0" w:hanging="144"/>
              <w:jc w:val="left"/>
              <w:rPr/>
            </w:pPr>
            <w:r>
              <w:rPr/>
              <w:t>Non-cash expenses, gains and losses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47,162</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24,682</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75" w:type="dxa"/>
            <w:tcBorders/>
            <w:vAlign w:val="bottom"/>
          </w:tcPr>
          <w:p>
            <w:pPr>
              <w:pStyle w:val="TableContents"/>
              <w:bidi w:val="0"/>
              <w:spacing w:before="0" w:after="0"/>
              <w:jc w:val="right"/>
              <w:rPr/>
            </w:pPr>
            <w:r>
              <w:rPr/>
              <w:t>10,959</w:t>
            </w:r>
          </w:p>
        </w:tc>
        <w:tc>
          <w:tcPr>
            <w:tcW w:w="110" w:type="dxa"/>
            <w:tcBorders/>
            <w:vAlign w:val="bottom"/>
          </w:tcPr>
          <w:p>
            <w:pPr>
              <w:pStyle w:val="TableContents"/>
              <w:bidi w:val="0"/>
              <w:spacing w:before="0" w:after="283"/>
              <w:jc w:val="left"/>
              <w:rPr/>
            </w:pPr>
            <w:r>
              <w:rPr/>
            </w:r>
          </w:p>
        </w:tc>
      </w:tr>
      <w:tr>
        <w:trPr/>
        <w:tc>
          <w:tcPr>
            <w:tcW w:w="5045" w:type="dxa"/>
            <w:tcBorders/>
            <w:shd w:fill="CCEEFF" w:val="clear"/>
            <w:vAlign w:val="bottom"/>
          </w:tcPr>
          <w:p>
            <w:pPr>
              <w:pStyle w:val="TableContents"/>
              <w:bidi w:val="0"/>
              <w:spacing w:before="0" w:after="0"/>
              <w:ind w:left="144" w:right="0" w:hanging="144"/>
              <w:jc w:val="left"/>
              <w:rPr/>
            </w:pPr>
            <w:r>
              <w:rPr/>
              <w:t>Changes in accounts receivable</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(11,917</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13,072</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75" w:type="dxa"/>
            <w:tcBorders/>
            <w:shd w:fill="CCEEFF" w:val="clear"/>
            <w:vAlign w:val="bottom"/>
          </w:tcPr>
          <w:p>
            <w:pPr>
              <w:pStyle w:val="TableContents"/>
              <w:bidi w:val="0"/>
              <w:spacing w:before="0" w:after="0"/>
              <w:jc w:val="right"/>
              <w:rPr/>
            </w:pPr>
            <w:r>
              <w:rPr/>
              <w:t>(15,340</w:t>
            </w:r>
          </w:p>
        </w:tc>
        <w:tc>
          <w:tcPr>
            <w:tcW w:w="110" w:type="dxa"/>
            <w:tcBorders/>
            <w:shd w:fill="CCEEFF" w:val="clear"/>
            <w:vAlign w:val="bottom"/>
          </w:tcPr>
          <w:p>
            <w:pPr>
              <w:pStyle w:val="TableContents"/>
              <w:bidi w:val="0"/>
              <w:spacing w:before="0" w:after="0"/>
              <w:jc w:val="left"/>
              <w:rPr/>
            </w:pPr>
            <w:r>
              <w:rPr/>
              <w:t>)</w:t>
            </w:r>
          </w:p>
        </w:tc>
      </w:tr>
      <w:tr>
        <w:trPr/>
        <w:tc>
          <w:tcPr>
            <w:tcW w:w="5045" w:type="dxa"/>
            <w:tcBorders/>
            <w:vAlign w:val="bottom"/>
          </w:tcPr>
          <w:p>
            <w:pPr>
              <w:pStyle w:val="TableContents"/>
              <w:bidi w:val="0"/>
              <w:spacing w:before="0" w:after="0"/>
              <w:ind w:left="144" w:right="0" w:hanging="144"/>
              <w:jc w:val="left"/>
              <w:rPr/>
            </w:pPr>
            <w:r>
              <w:rPr/>
              <w:t>Changes in inventories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(9,625</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(38,556</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75" w:type="dxa"/>
            <w:tcBorders/>
            <w:vAlign w:val="bottom"/>
          </w:tcPr>
          <w:p>
            <w:pPr>
              <w:pStyle w:val="TableContents"/>
              <w:bidi w:val="0"/>
              <w:spacing w:before="0" w:after="0"/>
              <w:jc w:val="right"/>
              <w:rPr/>
            </w:pPr>
            <w:r>
              <w:rPr/>
              <w:t>(43,188</w:t>
            </w:r>
          </w:p>
        </w:tc>
        <w:tc>
          <w:tcPr>
            <w:tcW w:w="110" w:type="dxa"/>
            <w:tcBorders/>
            <w:vAlign w:val="bottom"/>
          </w:tcPr>
          <w:p>
            <w:pPr>
              <w:pStyle w:val="TableContents"/>
              <w:bidi w:val="0"/>
              <w:spacing w:before="0" w:after="0"/>
              <w:jc w:val="left"/>
              <w:rPr/>
            </w:pPr>
            <w:r>
              <w:rPr/>
              <w:t>)</w:t>
            </w:r>
          </w:p>
        </w:tc>
      </w:tr>
      <w:tr>
        <w:trPr/>
        <w:tc>
          <w:tcPr>
            <w:tcW w:w="5045" w:type="dxa"/>
            <w:tcBorders/>
            <w:shd w:fill="CCEEFF" w:val="clear"/>
            <w:vAlign w:val="bottom"/>
          </w:tcPr>
          <w:p>
            <w:pPr>
              <w:pStyle w:val="TableContents"/>
              <w:bidi w:val="0"/>
              <w:spacing w:before="0" w:after="0"/>
              <w:ind w:left="144" w:right="0" w:hanging="144"/>
              <w:jc w:val="left"/>
              <w:rPr/>
            </w:pPr>
            <w:r>
              <w:rPr/>
              <w:t>Changes in prepaid expenses and other current assets</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(239</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755" w:type="dxa"/>
            <w:tcBorders/>
            <w:shd w:fill="CCEEFF" w:val="clear"/>
            <w:vAlign w:val="bottom"/>
          </w:tcPr>
          <w:p>
            <w:pPr>
              <w:pStyle w:val="TableContents"/>
              <w:bidi w:val="0"/>
              <w:spacing w:before="0" w:after="0"/>
              <w:jc w:val="right"/>
              <w:rPr/>
            </w:pPr>
            <w:r>
              <w:rPr/>
              <w:t>(756</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875" w:type="dxa"/>
            <w:tcBorders/>
            <w:shd w:fill="CCEEFF" w:val="clear"/>
            <w:vAlign w:val="bottom"/>
          </w:tcPr>
          <w:p>
            <w:pPr>
              <w:pStyle w:val="TableContents"/>
              <w:bidi w:val="0"/>
              <w:spacing w:before="0" w:after="0"/>
              <w:jc w:val="right"/>
              <w:rPr/>
            </w:pPr>
            <w:r>
              <w:rPr/>
              <w:t>(1,293</w:t>
            </w:r>
          </w:p>
        </w:tc>
        <w:tc>
          <w:tcPr>
            <w:tcW w:w="110" w:type="dxa"/>
            <w:tcBorders/>
            <w:shd w:fill="CCEEFF" w:val="clear"/>
            <w:vAlign w:val="bottom"/>
          </w:tcPr>
          <w:p>
            <w:pPr>
              <w:pStyle w:val="TableContents"/>
              <w:bidi w:val="0"/>
              <w:spacing w:before="0" w:after="0"/>
              <w:jc w:val="left"/>
              <w:rPr/>
            </w:pPr>
            <w:r>
              <w:rPr/>
              <w:t>)</w:t>
            </w:r>
          </w:p>
        </w:tc>
      </w:tr>
      <w:tr>
        <w:trPr/>
        <w:tc>
          <w:tcPr>
            <w:tcW w:w="5045" w:type="dxa"/>
            <w:tcBorders/>
            <w:vAlign w:val="bottom"/>
          </w:tcPr>
          <w:p>
            <w:pPr>
              <w:pStyle w:val="TableContents"/>
              <w:bidi w:val="0"/>
              <w:spacing w:before="0" w:after="0"/>
              <w:ind w:left="144" w:right="0" w:hanging="144"/>
              <w:jc w:val="left"/>
              <w:rPr/>
            </w:pPr>
            <w:r>
              <w:rPr/>
              <w:t>Changes in accounts payable and accrued expenses</w:t>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11,369</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755" w:type="dxa"/>
            <w:tcBorders/>
            <w:vAlign w:val="bottom"/>
          </w:tcPr>
          <w:p>
            <w:pPr>
              <w:pStyle w:val="TableContents"/>
              <w:bidi w:val="0"/>
              <w:spacing w:before="0" w:after="0"/>
              <w:jc w:val="right"/>
              <w:rPr/>
            </w:pPr>
            <w:r>
              <w:rPr/>
              <w:t>8,334</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vAlign w:val="bottom"/>
          </w:tcPr>
          <w:p>
            <w:pPr>
              <w:pStyle w:val="TableContents"/>
              <w:bidi w:val="0"/>
              <w:spacing w:before="0" w:after="283"/>
              <w:jc w:val="left"/>
              <w:rPr/>
            </w:pPr>
            <w:r>
              <w:rPr/>
            </w:r>
          </w:p>
        </w:tc>
        <w:tc>
          <w:tcPr>
            <w:tcW w:w="875" w:type="dxa"/>
            <w:tcBorders/>
            <w:vAlign w:val="bottom"/>
          </w:tcPr>
          <w:p>
            <w:pPr>
              <w:pStyle w:val="TableContents"/>
              <w:bidi w:val="0"/>
              <w:spacing w:before="0" w:after="0"/>
              <w:jc w:val="right"/>
              <w:rPr/>
            </w:pPr>
            <w:r>
              <w:rPr/>
              <w:t>9,697</w:t>
            </w:r>
          </w:p>
        </w:tc>
        <w:tc>
          <w:tcPr>
            <w:tcW w:w="110" w:type="dxa"/>
            <w:tcBorders/>
            <w:vAlign w:val="bottom"/>
          </w:tcPr>
          <w:p>
            <w:pPr>
              <w:pStyle w:val="TableContents"/>
              <w:bidi w:val="0"/>
              <w:spacing w:before="0" w:after="283"/>
              <w:jc w:val="left"/>
              <w:rPr/>
            </w:pPr>
            <w:r>
              <w:rPr/>
            </w:r>
          </w:p>
        </w:tc>
      </w:tr>
      <w:tr>
        <w:trPr/>
        <w:tc>
          <w:tcPr>
            <w:tcW w:w="5045" w:type="dxa"/>
            <w:tcBorders/>
            <w:shd w:fill="CCEEFF" w:val="clear"/>
            <w:vAlign w:val="bottom"/>
          </w:tcPr>
          <w:p>
            <w:pPr>
              <w:pStyle w:val="TableContents"/>
              <w:bidi w:val="0"/>
              <w:spacing w:before="0" w:after="0"/>
              <w:ind w:left="144" w:right="0" w:hanging="144"/>
              <w:jc w:val="left"/>
              <w:rPr/>
            </w:pPr>
            <w:r>
              <w:rPr/>
              <w:t>Other</w:t>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289</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(380</w:t>
            </w:r>
          </w:p>
        </w:tc>
        <w:tc>
          <w:tcPr>
            <w:tcW w:w="95" w:type="dxa"/>
            <w:tcBorders/>
            <w:shd w:fill="CCEEFF" w:val="clear"/>
            <w:vAlign w:val="bottom"/>
          </w:tcPr>
          <w:p>
            <w:pPr>
              <w:pStyle w:val="TableContents"/>
              <w:bidi w:val="0"/>
              <w:spacing w:before="0" w:after="0"/>
              <w:jc w:val="left"/>
              <w:rPr/>
            </w:pPr>
            <w:r>
              <w:rPr/>
              <w:t>)</w:t>
            </w:r>
          </w:p>
        </w:tc>
        <w:tc>
          <w:tcPr>
            <w:tcW w:w="23" w:type="dxa"/>
            <w:tcBorders/>
            <w:shd w:fill="CCEEFF" w:val="clear"/>
            <w:vAlign w:val="bottom"/>
          </w:tcPr>
          <w:p>
            <w:pPr>
              <w:pStyle w:val="TableContents"/>
              <w:bidi w:val="0"/>
              <w:spacing w:before="0" w:after="283"/>
              <w:jc w:val="left"/>
              <w:rPr/>
            </w:pPr>
            <w:r>
              <w:rPr/>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(1,556</w:t>
            </w:r>
          </w:p>
        </w:tc>
        <w:tc>
          <w:tcPr>
            <w:tcW w:w="110" w:type="dxa"/>
            <w:tcBorders/>
            <w:shd w:fill="CCEEFF" w:val="clear"/>
            <w:vAlign w:val="bottom"/>
          </w:tcPr>
          <w:p>
            <w:pPr>
              <w:pStyle w:val="TableContents"/>
              <w:bidi w:val="0"/>
              <w:spacing w:before="0" w:after="0"/>
              <w:jc w:val="left"/>
              <w:rPr/>
            </w:pPr>
            <w:r>
              <w:rPr/>
              <w:t>)</w:t>
            </w:r>
          </w:p>
        </w:tc>
      </w:tr>
      <w:tr>
        <w:trPr/>
        <w:tc>
          <w:tcPr>
            <w:tcW w:w="5045" w:type="dxa"/>
            <w:tcBorders/>
            <w:vAlign w:val="bottom"/>
          </w:tcPr>
          <w:p>
            <w:pPr>
              <w:pStyle w:val="TableContents"/>
              <w:bidi w:val="0"/>
              <w:spacing w:before="0" w:after="0"/>
              <w:ind w:left="144" w:right="0" w:hanging="144"/>
              <w:jc w:val="left"/>
              <w:rPr/>
            </w:pPr>
            <w:r>
              <w:rPr/>
              <w:t>Cash provided by (used) in operations</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8,800</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755" w:type="dxa"/>
            <w:tcBorders>
              <w:bottom w:val="double" w:sz="8" w:space="0" w:color="000000"/>
            </w:tcBorders>
            <w:tcMar>
              <w:bottom w:w="28" w:type="dxa"/>
            </w:tcMar>
            <w:vAlign w:val="bottom"/>
          </w:tcPr>
          <w:p>
            <w:pPr>
              <w:pStyle w:val="TableContents"/>
              <w:bidi w:val="0"/>
              <w:spacing w:before="0" w:after="0"/>
              <w:jc w:val="right"/>
              <w:rPr/>
            </w:pPr>
            <w:r>
              <w:rPr/>
              <w:t>(59,508</w:t>
            </w:r>
          </w:p>
        </w:tc>
        <w:tc>
          <w:tcPr>
            <w:tcW w:w="95" w:type="dxa"/>
            <w:tcBorders/>
            <w:vAlign w:val="bottom"/>
          </w:tcPr>
          <w:p>
            <w:pPr>
              <w:pStyle w:val="TableContents"/>
              <w:bidi w:val="0"/>
              <w:spacing w:before="0" w:after="0"/>
              <w:jc w:val="left"/>
              <w:rPr/>
            </w:pPr>
            <w:r>
              <w:rPr/>
              <w:t>)</w:t>
            </w:r>
          </w:p>
        </w:tc>
        <w:tc>
          <w:tcPr>
            <w:tcW w:w="23" w:type="dxa"/>
            <w:tcBorders/>
            <w:vAlign w:val="bottom"/>
          </w:tcPr>
          <w:p>
            <w:pPr>
              <w:pStyle w:val="TableContents"/>
              <w:bidi w:val="0"/>
              <w:spacing w:before="0" w:after="283"/>
              <w:jc w:val="left"/>
              <w:rPr/>
            </w:pPr>
            <w:r>
              <w:rPr/>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875" w:type="dxa"/>
            <w:tcBorders>
              <w:bottom w:val="double" w:sz="8" w:space="0" w:color="000000"/>
            </w:tcBorders>
            <w:tcMar>
              <w:bottom w:w="28" w:type="dxa"/>
            </w:tcMar>
            <w:vAlign w:val="bottom"/>
          </w:tcPr>
          <w:p>
            <w:pPr>
              <w:pStyle w:val="TableContents"/>
              <w:bidi w:val="0"/>
              <w:spacing w:before="0" w:after="0"/>
              <w:jc w:val="right"/>
              <w:rPr/>
            </w:pPr>
            <w:r>
              <w:rPr/>
              <w:t>(112,369</w:t>
            </w:r>
          </w:p>
        </w:tc>
        <w:tc>
          <w:tcPr>
            <w:tcW w:w="11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Cash Used in Investing Activities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Cash used in investing activities for the year ended December 31, 2023 was $5.0 million, which was primarily comprised of capital expenditures of $3.0 million for equipment purchases and facilities upgrades at the Boca Facility, and $1.8 million to complete the buildout of our plasma collection facilities. Net cash used in investing activities for the year ended December 31, 2022 was $13.9 million, which consisted of $8.7 million for the construction and buildout of several new plasma collection facilities and $5.2 million for equipment purchases and upgrades to the Boca Facility. Net cash used in investing activities for the year ended December 31, 2021 was $13.5 million, which consisted of $8.6 million for the construction and buildout of new plasma collection facilities and $4.9 million of capital expenditures at the Boca Facility, which included equipment purchases and continued implementation of our in-house fill/finish capabilities. While we do not have any firm commitments for material capital expenditures in 2024, we expect our total capital expenditures will be between $8.0 million and $12.0 million for fiscal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Cash (Used in) Provided by Financing Activities</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Net cash used in financing activities for the year ended December 31, 2023 was $39.0 million, as we reduced our outstanding debt principal by $23.6 million with the refinancing of our senior debt on December 18, 2023 and paid approximately $12.7 million to exit the Hayfin Credit Facility. Net cash provided by financing activities for the year ended December 31, 2022 was $108.9 million, as we received approximately $47.0 in net proceeds from the refinancing of our senior credit facility in March of 2022 and $64.6 million in net proceeds from the December 9, 2022 public offering of our common stock. Cash provided by financing activities during the year ended December 31, 2021 was $121.0 million, which is mainly comprised of the net proceeds of $67.3 million from the sale of our common stock through several sale agreements and $53.8 million from the October 2021 underwritten public offering.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Effect of Inflation</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Inflation impacted a number of facets of our business during the years ended December 31, 2023, 2022 and 2021 at each of our business segments. We experienced price increases for, among other items, certain raw materials, consumable supplies, services for repairs and maintenance of our facilities, utilities, shipping and freight charges, fuel surcharges and labor costs, among other expenses. Based upon the macroeconomic environment, publicly available information and reports form the U.S. government, we expect this trend to continue in 2024 and potentially longer, which could potentially have a significant impact on our future results of operations. In addition, some of our third-party inventory purchase agreements provide for annual price increases that are tied to various consumer price indices, which have resulted in higher than historical percentage price increases and has resulted in and could continue to result in higher source plasma and other raw material and supplies costs in 2024 and beyond. Also, in a higher inflationary environment, we may not be able to raise the prices of our products to keep up with the rate of inflation. We are unable to predict when these external drivers of inflation will subside.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79</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21" w:name="Item7A."/>
      <w:bookmarkStart w:id="22" w:name="Item7A."/>
      <w:bookmarkEnd w:id="22"/>
    </w:p>
    <w:tbl>
      <w:tblPr>
        <w:tblW w:w="7090" w:type="dxa"/>
        <w:jc w:val="left"/>
        <w:tblInd w:w="0" w:type="dxa"/>
        <w:tblLayout w:type="fixed"/>
        <w:tblCellMar>
          <w:top w:w="0" w:type="dxa"/>
          <w:left w:w="0" w:type="dxa"/>
          <w:bottom w:w="0" w:type="dxa"/>
          <w:right w:w="0" w:type="dxa"/>
        </w:tblCellMar>
      </w:tblPr>
      <w:tblGrid>
        <w:gridCol w:w="920"/>
        <w:gridCol w:w="6170"/>
      </w:tblGrid>
      <w:tr>
        <w:trPr/>
        <w:tc>
          <w:tcPr>
            <w:tcW w:w="920" w:type="dxa"/>
            <w:tcBorders/>
            <w:vAlign w:val="center"/>
          </w:tcPr>
          <w:p>
            <w:pPr>
              <w:pStyle w:val="TableContents"/>
              <w:bidi w:val="0"/>
              <w:spacing w:before="0" w:after="283"/>
              <w:jc w:val="left"/>
              <w:rPr>
                <w:b/>
              </w:rPr>
            </w:pPr>
            <w:r>
              <w:rPr>
                <w:b/>
              </w:rPr>
              <w:t>Item 7A.</w:t>
            </w:r>
          </w:p>
        </w:tc>
        <w:tc>
          <w:tcPr>
            <w:tcW w:w="617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exposed to market risk as the result of changes in interest rates. Our senior credit facility with Ares requires quarterly payments of interest based on the adjusted Term SOFR plus the Applicable Margin. We currently do not utilize any derivative financial instruments, such as interest rate swaps or caps, to mitigate this risk. As of December 31, 2023, we had $135.0 million outstanding under our senior credit facility that is subject to a variable interest rate. As a result, the effect of a hypothetical, instantaneous and unfavorable change of 100 basis points in the interest rate would have an approximate $1.4 million annualized negative impact on our earnings and cash flows.</w:t>
      </w:r>
    </w:p>
    <w:p>
      <w:pPr>
        <w:pStyle w:val="TextBody"/>
        <w:bidi w:val="0"/>
        <w:spacing w:before="0" w:after="0"/>
        <w:ind w:left="0" w:right="0" w:firstLine="720"/>
        <w:jc w:val="left"/>
        <w:rPr/>
      </w:pPr>
      <w:r>
        <w:rPr/>
      </w:r>
    </w:p>
    <w:p>
      <w:pPr>
        <w:pStyle w:val="Normal"/>
        <w:bidi w:val="0"/>
        <w:spacing w:before="0" w:after="0"/>
        <w:jc w:val="left"/>
        <w:rPr>
          <w:sz w:val="4"/>
          <w:szCs w:val="4"/>
        </w:rPr>
      </w:pPr>
      <w:r>
        <w:rPr>
          <w:sz w:val="4"/>
          <w:szCs w:val="4"/>
        </w:rPr>
      </w:r>
      <w:bookmarkStart w:id="23" w:name="Item8."/>
      <w:bookmarkStart w:id="24" w:name="Item8."/>
      <w:bookmarkEnd w:id="24"/>
    </w:p>
    <w:tbl>
      <w:tblPr>
        <w:tblW w:w="5515" w:type="dxa"/>
        <w:jc w:val="left"/>
        <w:tblInd w:w="0" w:type="dxa"/>
        <w:tblLayout w:type="fixed"/>
        <w:tblCellMar>
          <w:top w:w="0" w:type="dxa"/>
          <w:left w:w="0" w:type="dxa"/>
          <w:bottom w:w="0" w:type="dxa"/>
          <w:right w:w="0" w:type="dxa"/>
        </w:tblCellMar>
      </w:tblPr>
      <w:tblGrid>
        <w:gridCol w:w="740"/>
        <w:gridCol w:w="4775"/>
      </w:tblGrid>
      <w:tr>
        <w:trPr/>
        <w:tc>
          <w:tcPr>
            <w:tcW w:w="740" w:type="dxa"/>
            <w:tcBorders/>
            <w:vAlign w:val="center"/>
          </w:tcPr>
          <w:p>
            <w:pPr>
              <w:pStyle w:val="TableContents"/>
              <w:bidi w:val="0"/>
              <w:spacing w:before="0" w:after="283"/>
              <w:jc w:val="left"/>
              <w:rPr>
                <w:b/>
              </w:rPr>
            </w:pPr>
            <w:r>
              <w:rPr>
                <w:b/>
              </w:rPr>
              <w:t>Item 8.</w:t>
            </w:r>
          </w:p>
        </w:tc>
        <w:tc>
          <w:tcPr>
            <w:tcW w:w="4775" w:type="dxa"/>
            <w:tcBorders/>
            <w:vAlign w:val="center"/>
          </w:tcPr>
          <w:p>
            <w:pPr>
              <w:pStyle w:val="TableContents"/>
              <w:bidi w:val="0"/>
              <w:spacing w:before="0" w:after="0"/>
              <w:jc w:val="left"/>
              <w:rPr>
                <w:b/>
              </w:rPr>
            </w:pPr>
            <w:r>
              <w:rPr>
                <w:b/>
              </w:rPr>
              <w:t>Financial Statements and Supplementary Data</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financial statements required to be filed pursuant to this Item 8 appear in a separate section of this Annual Report on Form 10-K, beginning on page F-1.</w:t>
      </w:r>
    </w:p>
    <w:p>
      <w:pPr>
        <w:pStyle w:val="TextBody"/>
        <w:bidi w:val="0"/>
        <w:spacing w:before="0" w:after="0"/>
        <w:ind w:left="0" w:right="0" w:firstLine="720"/>
        <w:jc w:val="left"/>
        <w:rPr/>
      </w:pPr>
      <w:r>
        <w:rPr/>
      </w:r>
    </w:p>
    <w:p>
      <w:pPr>
        <w:pStyle w:val="Normal"/>
        <w:bidi w:val="0"/>
        <w:spacing w:before="0" w:after="0"/>
        <w:jc w:val="left"/>
        <w:rPr>
          <w:sz w:val="4"/>
          <w:szCs w:val="4"/>
        </w:rPr>
      </w:pPr>
      <w:r>
        <w:rPr>
          <w:sz w:val="4"/>
          <w:szCs w:val="4"/>
        </w:rPr>
      </w:r>
      <w:bookmarkStart w:id="25" w:name="Item9."/>
      <w:bookmarkStart w:id="26" w:name="Item9."/>
      <w:bookmarkEnd w:id="26"/>
    </w:p>
    <w:tbl>
      <w:tblPr>
        <w:tblW w:w="9865" w:type="dxa"/>
        <w:jc w:val="left"/>
        <w:tblInd w:w="0" w:type="dxa"/>
        <w:tblLayout w:type="fixed"/>
        <w:tblCellMar>
          <w:top w:w="0" w:type="dxa"/>
          <w:left w:w="0" w:type="dxa"/>
          <w:bottom w:w="0" w:type="dxa"/>
          <w:right w:w="0" w:type="dxa"/>
        </w:tblCellMar>
      </w:tblPr>
      <w:tblGrid>
        <w:gridCol w:w="740"/>
        <w:gridCol w:w="9125"/>
      </w:tblGrid>
      <w:tr>
        <w:trPr/>
        <w:tc>
          <w:tcPr>
            <w:tcW w:w="740" w:type="dxa"/>
            <w:tcBorders/>
            <w:vAlign w:val="center"/>
          </w:tcPr>
          <w:p>
            <w:pPr>
              <w:pStyle w:val="TableContents"/>
              <w:bidi w:val="0"/>
              <w:spacing w:before="0" w:after="283"/>
              <w:jc w:val="left"/>
              <w:rPr>
                <w:b/>
              </w:rPr>
            </w:pPr>
            <w:r>
              <w:rPr>
                <w:b/>
              </w:rPr>
              <w:t>Item 9.</w:t>
            </w:r>
          </w:p>
        </w:tc>
        <w:tc>
          <w:tcPr>
            <w:tcW w:w="9125" w:type="dxa"/>
            <w:tcBorders/>
            <w:vAlign w:val="center"/>
          </w:tcPr>
          <w:p>
            <w:pPr>
              <w:pStyle w:val="TableContents"/>
              <w:bidi w:val="0"/>
              <w:spacing w:before="0" w:after="0"/>
              <w:jc w:val="left"/>
              <w:rPr>
                <w:b/>
              </w:rPr>
            </w:pPr>
            <w:r>
              <w:rPr>
                <w:b/>
              </w:rPr>
              <w:t>Changes in and Disagreements with Accountants on Accounting and Financial Disclosure</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Item9A."/>
      <w:bookmarkStart w:id="28" w:name="Item9A."/>
      <w:bookmarkEnd w:id="28"/>
    </w:p>
    <w:tbl>
      <w:tblPr>
        <w:tblW w:w="3505" w:type="dxa"/>
        <w:jc w:val="left"/>
        <w:tblInd w:w="0" w:type="dxa"/>
        <w:tblLayout w:type="fixed"/>
        <w:tblCellMar>
          <w:top w:w="0" w:type="dxa"/>
          <w:left w:w="0" w:type="dxa"/>
          <w:bottom w:w="0" w:type="dxa"/>
          <w:right w:w="0" w:type="dxa"/>
        </w:tblCellMar>
      </w:tblPr>
      <w:tblGrid>
        <w:gridCol w:w="920"/>
        <w:gridCol w:w="2585"/>
      </w:tblGrid>
      <w:tr>
        <w:trPr/>
        <w:tc>
          <w:tcPr>
            <w:tcW w:w="920" w:type="dxa"/>
            <w:tcBorders/>
            <w:vAlign w:val="center"/>
          </w:tcPr>
          <w:p>
            <w:pPr>
              <w:pStyle w:val="TableContents"/>
              <w:bidi w:val="0"/>
              <w:spacing w:before="0" w:after="283"/>
              <w:jc w:val="left"/>
              <w:rPr>
                <w:b/>
              </w:rPr>
            </w:pPr>
            <w:r>
              <w:rPr>
                <w:b/>
              </w:rPr>
              <w:t>Item 9A.</w:t>
            </w:r>
          </w:p>
        </w:tc>
        <w:tc>
          <w:tcPr>
            <w:tcW w:w="258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Disclosure Controls and Procedures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Our management, with the participation of our Chief Executive Officer and Chief Financial Officer,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set of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Management’s Annual Report on Internal Control Over Financial Reporting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Management’s annual report on internal control over financial reporting (as defined in Rule 13a- 15(f) under the Exchange Act) is included with the financial statements reflected in Item 8 of this Annual Report on Form 10-K and is incorporated herein by reference.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effectiveness of our internal control over financial reporting as of December 31, 2023 has been audited by CohnReznick LLP, an independent registered public accounting firm, as stated in their report which appears in Item 8 of this Annual Report on Form 10-K.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has been no change in our internal control over financial reporting during the quarter ended December 31, 2023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29" w:name="Item9B."/>
      <w:bookmarkStart w:id="30" w:name="Item9B."/>
      <w:bookmarkEnd w:id="30"/>
    </w:p>
    <w:tbl>
      <w:tblPr>
        <w:tblW w:w="2365" w:type="dxa"/>
        <w:jc w:val="left"/>
        <w:tblInd w:w="0" w:type="dxa"/>
        <w:tblLayout w:type="fixed"/>
        <w:tblCellMar>
          <w:top w:w="0" w:type="dxa"/>
          <w:left w:w="0" w:type="dxa"/>
          <w:bottom w:w="0" w:type="dxa"/>
          <w:right w:w="0" w:type="dxa"/>
        </w:tblCellMar>
      </w:tblPr>
      <w:tblGrid>
        <w:gridCol w:w="755"/>
        <w:gridCol w:w="1610"/>
      </w:tblGrid>
      <w:tr>
        <w:trPr/>
        <w:tc>
          <w:tcPr>
            <w:tcW w:w="755" w:type="dxa"/>
            <w:tcBorders/>
            <w:vAlign w:val="center"/>
          </w:tcPr>
          <w:p>
            <w:pPr>
              <w:pStyle w:val="TableContents"/>
              <w:bidi w:val="0"/>
              <w:spacing w:before="0" w:after="0"/>
              <w:ind w:left="0" w:right="0" w:hanging="0"/>
              <w:jc w:val="left"/>
              <w:rPr/>
            </w:pPr>
            <w:r>
              <w:rPr>
                <w:rStyle w:val="StrongEmphasis"/>
                <w:rFonts w:ascii="Times New Roman" w:hAnsi="Times New Roman"/>
                <w:sz w:val="20"/>
              </w:rPr>
              <w:t>Item 9B.</w:t>
            </w:r>
          </w:p>
        </w:tc>
        <w:tc>
          <w:tcPr>
            <w:tcW w:w="161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Other Information</w:t>
            </w:r>
          </w:p>
        </w:tc>
      </w:tr>
    </w:tbl>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Item9C."/>
      <w:bookmarkStart w:id="32" w:name="Item9C."/>
      <w:bookmarkEnd w:id="32"/>
    </w:p>
    <w:tbl>
      <w:tblPr>
        <w:tblW w:w="7870" w:type="dxa"/>
        <w:jc w:val="left"/>
        <w:tblInd w:w="0" w:type="dxa"/>
        <w:tblLayout w:type="fixed"/>
        <w:tblCellMar>
          <w:top w:w="0" w:type="dxa"/>
          <w:left w:w="0" w:type="dxa"/>
          <w:bottom w:w="0" w:type="dxa"/>
          <w:right w:w="0" w:type="dxa"/>
        </w:tblCellMar>
      </w:tblPr>
      <w:tblGrid>
        <w:gridCol w:w="920"/>
        <w:gridCol w:w="6950"/>
      </w:tblGrid>
      <w:tr>
        <w:trPr/>
        <w:tc>
          <w:tcPr>
            <w:tcW w:w="920" w:type="dxa"/>
            <w:tcBorders/>
            <w:vAlign w:val="center"/>
          </w:tcPr>
          <w:p>
            <w:pPr>
              <w:pStyle w:val="TableContents"/>
              <w:bidi w:val="0"/>
              <w:spacing w:before="0" w:after="283"/>
              <w:jc w:val="left"/>
              <w:rPr>
                <w:b/>
              </w:rPr>
            </w:pPr>
            <w:r>
              <w:rPr>
                <w:b/>
              </w:rPr>
              <w:t>Item 9C.</w:t>
            </w:r>
          </w:p>
        </w:tc>
        <w:tc>
          <w:tcPr>
            <w:tcW w:w="6950" w:type="dxa"/>
            <w:tcBorders/>
            <w:vAlign w:val="center"/>
          </w:tcPr>
          <w:p>
            <w:pPr>
              <w:pStyle w:val="TableContents"/>
              <w:bidi w:val="0"/>
              <w:spacing w:before="0" w:after="0"/>
              <w:jc w:val="left"/>
              <w:rPr>
                <w:b/>
              </w:rPr>
            </w:pPr>
            <w:r>
              <w:rPr>
                <w:b/>
              </w:rPr>
              <w:t>Disclosure Regarding Foreign Jurisdictions that Prevent Inspections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III</w:t>
      </w:r>
    </w:p>
    <w:p>
      <w:pPr>
        <w:pStyle w:val="TextBody"/>
        <w:bidi w:val="0"/>
        <w:spacing w:before="0" w:after="0"/>
        <w:jc w:val="center"/>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3" w:name="Item10."/>
      <w:bookmarkStart w:id="34" w:name="Item10."/>
      <w:bookmarkEnd w:id="34"/>
    </w:p>
    <w:tbl>
      <w:tblPr>
        <w:tblW w:w="6670" w:type="dxa"/>
        <w:jc w:val="left"/>
        <w:tblInd w:w="0" w:type="dxa"/>
        <w:tblLayout w:type="fixed"/>
        <w:tblCellMar>
          <w:top w:w="0" w:type="dxa"/>
          <w:left w:w="0" w:type="dxa"/>
          <w:bottom w:w="0" w:type="dxa"/>
          <w:right w:w="0" w:type="dxa"/>
        </w:tblCellMar>
      </w:tblPr>
      <w:tblGrid>
        <w:gridCol w:w="860"/>
        <w:gridCol w:w="5810"/>
      </w:tblGrid>
      <w:tr>
        <w:trPr/>
        <w:tc>
          <w:tcPr>
            <w:tcW w:w="860" w:type="dxa"/>
            <w:tcBorders/>
            <w:vAlign w:val="center"/>
          </w:tcPr>
          <w:p>
            <w:pPr>
              <w:pStyle w:val="TableContents"/>
              <w:bidi w:val="0"/>
              <w:spacing w:before="0" w:after="283"/>
              <w:jc w:val="left"/>
              <w:rPr>
                <w:b/>
              </w:rPr>
            </w:pPr>
            <w:r>
              <w:rPr>
                <w:b/>
              </w:rPr>
              <w:t>Item 10.</w:t>
            </w:r>
          </w:p>
        </w:tc>
        <w:tc>
          <w:tcPr>
            <w:tcW w:w="5810" w:type="dxa"/>
            <w:tcBorders/>
            <w:vAlign w:val="center"/>
          </w:tcPr>
          <w:p>
            <w:pPr>
              <w:pStyle w:val="TableContents"/>
              <w:bidi w:val="0"/>
              <w:spacing w:before="0" w:after="0"/>
              <w:jc w:val="left"/>
              <w:rPr>
                <w:b/>
              </w:rPr>
            </w:pPr>
            <w:r>
              <w:rPr>
                <w:b/>
              </w:rPr>
              <w:t>Directors, Executive Officers and Corporate Governance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Information required to be disclosed by this Item with respect to our executive officers is incorporated into this Annual Report on Form 10-K by reference from the section entitled “Executive Officers and Director and Officer Compensation: Executive Officers” contained in our definitive proxy statement for our 2024 annual meeting of stockholders, which we intend to file within 120 days of the end of our fiscal year ended December 31, 2023.</w:t>
      </w:r>
    </w:p>
    <w:p>
      <w:pPr>
        <w:pStyle w:val="TextBody"/>
        <w:bidi w:val="0"/>
        <w:spacing w:before="0" w:after="0"/>
        <w:ind w:left="0" w:right="0" w:firstLine="72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Information required to be disclosed by this Item about our Board of Directors (the “Board”) is incorporated into this Annual Report on Form 10-K by reference from the section entitled “Proposal No. 1: Election of Directors” contained in our definitive proxy statement for our 2024 annual meeting of stockholders, which we intend to file within 120 days of the end of our fiscal year ended December 31, 2023.</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To the extent necessary, information required to be disclosed by this Item about the Section 16(a) compliance of our directors and executive officers is incorporated into this Annual Report on Form 10-K, as applicable, by reference from the section entitled “Delinquent Section 16(a) Reports” contained in our definitive proxy statement for our 2024 annual meeting of stockholders, which we intend to file within 120 days of the end of our fiscal year ended December 31, 2023.</w:t>
      </w:r>
    </w:p>
    <w:p>
      <w:pPr>
        <w:pStyle w:val="TextBody"/>
        <w:bidi w:val="0"/>
        <w:spacing w:before="0" w:after="0"/>
        <w:ind w:left="0" w:right="0" w:firstLine="720"/>
        <w:jc w:val="both"/>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Information required to be disclosed by this Item about our Board, the Audit Committee of our Board, our audit committee financial expert, our Code of Ethics and Business Conduct, and other corporate governance matters is incorporated into this Annual Report on Form 10-K by reference from the section entitled “Corporate Governance” contained in our definitive proxy statement for our 2024 annual meeting of stockholders, which we intend to file within 120 days of the end of our fiscal year ended December 31, 2023.</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text of our Code of Ethics and Business Conduct, which applies to our directors and employees (including our principal executive officer, principal financial officer, principal accounting officer or controller and persons performing similar functions), is posted in the “Corporate Governance” section of the Investors section of our website, www.admabiologics.com. A copy of the Code of Ethics and Business Conduct can be obtained free of charge on our website. We intend to disclose on our website any amendments to, or waivers from, our Code of Ethics and Business Conduct that are required to be disclosed pursuant to the rules of the SEC and The Nasdaq Stock Market.</w:t>
      </w:r>
    </w:p>
    <w:p>
      <w:pPr>
        <w:pStyle w:val="TextBody"/>
        <w:bidi w:val="0"/>
        <w:spacing w:before="0" w:after="0"/>
        <w:ind w:left="0" w:right="0" w:firstLine="72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presented on our website is not a part of this Annual Report on Form 10-K and the reference to our website is intended to be an inactive textual reference only.</w:t>
      </w:r>
    </w:p>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35" w:name="Item11."/>
      <w:bookmarkStart w:id="36" w:name="Item11."/>
      <w:bookmarkEnd w:id="36"/>
    </w:p>
    <w:tbl>
      <w:tblPr>
        <w:tblW w:w="3415" w:type="dxa"/>
        <w:jc w:val="left"/>
        <w:tblInd w:w="0" w:type="dxa"/>
        <w:tblLayout w:type="fixed"/>
        <w:tblCellMar>
          <w:top w:w="0" w:type="dxa"/>
          <w:left w:w="0" w:type="dxa"/>
          <w:bottom w:w="0" w:type="dxa"/>
          <w:right w:w="0" w:type="dxa"/>
        </w:tblCellMar>
      </w:tblPr>
      <w:tblGrid>
        <w:gridCol w:w="860"/>
        <w:gridCol w:w="2555"/>
      </w:tblGrid>
      <w:tr>
        <w:trPr/>
        <w:tc>
          <w:tcPr>
            <w:tcW w:w="860" w:type="dxa"/>
            <w:tcBorders/>
            <w:vAlign w:val="center"/>
          </w:tcPr>
          <w:p>
            <w:pPr>
              <w:pStyle w:val="TableContents"/>
              <w:bidi w:val="0"/>
              <w:spacing w:before="0" w:after="283"/>
              <w:jc w:val="left"/>
              <w:rPr>
                <w:b/>
              </w:rPr>
            </w:pPr>
            <w:r>
              <w:rPr>
                <w:b/>
              </w:rPr>
              <w:t>Item 11.</w:t>
            </w:r>
          </w:p>
        </w:tc>
        <w:tc>
          <w:tcPr>
            <w:tcW w:w="2555" w:type="dxa"/>
            <w:tcBorders/>
            <w:vAlign w:val="center"/>
          </w:tcPr>
          <w:p>
            <w:pPr>
              <w:pStyle w:val="TableContents"/>
              <w:bidi w:val="0"/>
              <w:spacing w:before="0" w:after="0"/>
              <w:jc w:val="left"/>
              <w:rPr>
                <w:b/>
              </w:rPr>
            </w:pPr>
            <w:r>
              <w:rPr>
                <w:b/>
              </w:rPr>
              <w:t>Executive Compensation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Information required to be disclosed by this Item is incorporated into this Annual Report on Form 10-K by reference from the section entitled “Executive Officers and Director and Officer Compensation” contained in our definitive proxy statement for our 2024 annual meeting of stockholders, which we intend to file within 120 days of the end of our fiscal year ended December 31, 2023.</w:t>
      </w:r>
    </w:p>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37" w:name="Item12."/>
      <w:bookmarkStart w:id="38" w:name="Item12."/>
      <w:bookmarkEnd w:id="38"/>
    </w:p>
    <w:tbl>
      <w:tblPr>
        <w:tblW w:w="10205" w:type="dxa"/>
        <w:jc w:val="left"/>
        <w:tblInd w:w="0" w:type="dxa"/>
        <w:tblLayout w:type="fixed"/>
        <w:tblCellMar>
          <w:top w:w="0" w:type="dxa"/>
          <w:left w:w="0" w:type="dxa"/>
          <w:bottom w:w="0" w:type="dxa"/>
          <w:right w:w="0" w:type="dxa"/>
        </w:tblCellMar>
      </w:tblPr>
      <w:tblGrid>
        <w:gridCol w:w="821"/>
        <w:gridCol w:w="9384"/>
      </w:tblGrid>
      <w:tr>
        <w:trPr/>
        <w:tc>
          <w:tcPr>
            <w:tcW w:w="821" w:type="dxa"/>
            <w:tcBorders/>
            <w:vAlign w:val="center"/>
          </w:tcPr>
          <w:p>
            <w:pPr>
              <w:pStyle w:val="TableContents"/>
              <w:bidi w:val="0"/>
              <w:spacing w:before="0" w:after="0"/>
              <w:jc w:val="left"/>
              <w:rPr>
                <w:b/>
              </w:rPr>
            </w:pPr>
            <w:r>
              <w:rPr>
                <w:b/>
              </w:rPr>
              <w:t>Item 12.</w:t>
            </w:r>
          </w:p>
        </w:tc>
        <w:tc>
          <w:tcPr>
            <w:tcW w:w="9384" w:type="dxa"/>
            <w:tcBorders/>
            <w:vAlign w:val="center"/>
          </w:tcPr>
          <w:p>
            <w:pPr>
              <w:pStyle w:val="TableContents"/>
              <w:bidi w:val="0"/>
              <w:spacing w:before="0" w:after="0"/>
              <w:jc w:val="left"/>
              <w:rPr>
                <w:b/>
              </w:rPr>
            </w:pPr>
            <w:r>
              <w:rPr>
                <w:b/>
              </w:rPr>
              <w:t>Security Ownership of Certain Beneficial Owners and Management and Related Stockholder Matters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Information required to be disclosed by this Item is incorporated into this Annual Report on Form 10-K by reference from the sections entitled “Security Ownership of Certain Beneficial Owners and Management and Related Stockholder Matters” contained in our definitive proxy statement for our 2024 annual meeting of stockholders, which we intend to file within 120 days of the end of our fiscal year ended December 31, 2023.</w:t>
      </w:r>
    </w:p>
    <w:p>
      <w:pPr>
        <w:pStyle w:val="TextBody"/>
        <w:bidi w:val="0"/>
        <w:spacing w:before="0" w:after="0"/>
        <w:ind w:left="0" w:right="0" w:firstLine="720"/>
        <w:jc w:val="left"/>
        <w:rPr/>
      </w:pPr>
      <w:r>
        <w:rPr/>
      </w:r>
    </w:p>
    <w:p>
      <w:pPr>
        <w:pStyle w:val="Normal"/>
        <w:bidi w:val="0"/>
        <w:spacing w:before="0" w:after="0"/>
        <w:jc w:val="left"/>
        <w:rPr>
          <w:sz w:val="4"/>
          <w:szCs w:val="4"/>
        </w:rPr>
      </w:pPr>
      <w:r>
        <w:rPr>
          <w:sz w:val="4"/>
          <w:szCs w:val="4"/>
        </w:rPr>
      </w:r>
      <w:bookmarkStart w:id="39" w:name="Item13."/>
      <w:bookmarkStart w:id="40" w:name="Item13."/>
      <w:bookmarkEnd w:id="40"/>
    </w:p>
    <w:tbl>
      <w:tblPr>
        <w:tblW w:w="8680" w:type="dxa"/>
        <w:jc w:val="left"/>
        <w:tblInd w:w="0" w:type="dxa"/>
        <w:tblLayout w:type="fixed"/>
        <w:tblCellMar>
          <w:top w:w="0" w:type="dxa"/>
          <w:left w:w="0" w:type="dxa"/>
          <w:bottom w:w="0" w:type="dxa"/>
          <w:right w:w="0" w:type="dxa"/>
        </w:tblCellMar>
      </w:tblPr>
      <w:tblGrid>
        <w:gridCol w:w="860"/>
        <w:gridCol w:w="7820"/>
      </w:tblGrid>
      <w:tr>
        <w:trPr/>
        <w:tc>
          <w:tcPr>
            <w:tcW w:w="860" w:type="dxa"/>
            <w:tcBorders/>
            <w:vAlign w:val="center"/>
          </w:tcPr>
          <w:p>
            <w:pPr>
              <w:pStyle w:val="TableContents"/>
              <w:bidi w:val="0"/>
              <w:spacing w:before="0" w:after="283"/>
              <w:jc w:val="left"/>
              <w:rPr>
                <w:b/>
              </w:rPr>
            </w:pPr>
            <w:r>
              <w:rPr>
                <w:b/>
              </w:rPr>
              <w:t>Item 13.</w:t>
            </w:r>
          </w:p>
        </w:tc>
        <w:tc>
          <w:tcPr>
            <w:tcW w:w="7820" w:type="dxa"/>
            <w:tcBorders/>
            <w:vAlign w:val="center"/>
          </w:tcPr>
          <w:p>
            <w:pPr>
              <w:pStyle w:val="TableContents"/>
              <w:bidi w:val="0"/>
              <w:spacing w:before="0" w:after="0"/>
              <w:jc w:val="left"/>
              <w:rPr>
                <w:b/>
              </w:rPr>
            </w:pPr>
            <w:r>
              <w:rPr>
                <w:b/>
              </w:rPr>
              <w:t>Certain Relationships and Related Transactions, and Director Independence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to be disclosed by this Item is incorporated in this Annual Report on Form 10-K by reference from the section entitled “Certain Relationships and Related Transactions, and Director Independence” contained in our definitive proxy statement for our 2024 annual meeting of stockholders, which we intend to file within 120 days of the end of our fiscal year ended December 31, 2023.</w:t>
      </w:r>
    </w:p>
    <w:p>
      <w:pPr>
        <w:pStyle w:val="TextBody"/>
        <w:bidi w:val="0"/>
        <w:spacing w:before="0" w:after="0"/>
        <w:ind w:left="0" w:right="0" w:firstLine="720"/>
        <w:jc w:val="left"/>
        <w:rPr/>
      </w:pPr>
      <w:r>
        <w:rPr/>
      </w:r>
    </w:p>
    <w:p>
      <w:pPr>
        <w:pStyle w:val="Normal"/>
        <w:bidi w:val="0"/>
        <w:spacing w:before="0" w:after="0"/>
        <w:jc w:val="left"/>
        <w:rPr>
          <w:sz w:val="4"/>
          <w:szCs w:val="4"/>
        </w:rPr>
      </w:pPr>
      <w:r>
        <w:rPr>
          <w:sz w:val="4"/>
          <w:szCs w:val="4"/>
        </w:rPr>
      </w:r>
      <w:bookmarkStart w:id="41" w:name="Item14."/>
      <w:bookmarkStart w:id="42" w:name="Item14."/>
      <w:bookmarkEnd w:id="42"/>
    </w:p>
    <w:tbl>
      <w:tblPr>
        <w:tblW w:w="4900" w:type="dxa"/>
        <w:jc w:val="left"/>
        <w:tblInd w:w="0" w:type="dxa"/>
        <w:tblLayout w:type="fixed"/>
        <w:tblCellMar>
          <w:top w:w="0" w:type="dxa"/>
          <w:left w:w="0" w:type="dxa"/>
          <w:bottom w:w="0" w:type="dxa"/>
          <w:right w:w="0" w:type="dxa"/>
        </w:tblCellMar>
      </w:tblPr>
      <w:tblGrid>
        <w:gridCol w:w="860"/>
        <w:gridCol w:w="4040"/>
      </w:tblGrid>
      <w:tr>
        <w:trPr/>
        <w:tc>
          <w:tcPr>
            <w:tcW w:w="860" w:type="dxa"/>
            <w:tcBorders/>
            <w:vAlign w:val="center"/>
          </w:tcPr>
          <w:p>
            <w:pPr>
              <w:pStyle w:val="TableContents"/>
              <w:bidi w:val="0"/>
              <w:spacing w:before="0" w:after="283"/>
              <w:jc w:val="left"/>
              <w:rPr>
                <w:b/>
              </w:rPr>
            </w:pPr>
            <w:r>
              <w:rPr>
                <w:b/>
              </w:rPr>
              <w:t>Item 14.</w:t>
            </w:r>
          </w:p>
        </w:tc>
        <w:tc>
          <w:tcPr>
            <w:tcW w:w="4040" w:type="dxa"/>
            <w:tcBorders/>
            <w:vAlign w:val="center"/>
          </w:tcPr>
          <w:p>
            <w:pPr>
              <w:pStyle w:val="TableContents"/>
              <w:bidi w:val="0"/>
              <w:spacing w:before="0" w:after="0"/>
              <w:jc w:val="left"/>
              <w:rPr>
                <w:b/>
              </w:rPr>
            </w:pPr>
            <w:r>
              <w:rPr>
                <w:b/>
              </w:rPr>
              <w:t>Principal Accounting Fees and Services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to be disclosed by this Item is incorporated into this Annual Report on Form 10-K by reference from the section entitled “Audit and Other Fees” contained in our definitive proxy statement for our 2024 annual meeting of stockholders, which we intend to file within 120 days of the end of our fiscal year ended December 31, 2023.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IV</w:t>
      </w:r>
    </w:p>
    <w:p>
      <w:pPr>
        <w:pStyle w:val="TextBody"/>
        <w:bidi w:val="0"/>
        <w:spacing w:before="0" w:after="0"/>
        <w:jc w:val="center"/>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 w:name="Item15."/>
      <w:bookmarkStart w:id="44" w:name="Item15."/>
      <w:bookmarkEnd w:id="44"/>
    </w:p>
    <w:tbl>
      <w:tblPr>
        <w:tblW w:w="4945" w:type="dxa"/>
        <w:jc w:val="left"/>
        <w:tblInd w:w="0" w:type="dxa"/>
        <w:tblLayout w:type="fixed"/>
        <w:tblCellMar>
          <w:top w:w="0" w:type="dxa"/>
          <w:left w:w="0" w:type="dxa"/>
          <w:bottom w:w="0" w:type="dxa"/>
          <w:right w:w="0" w:type="dxa"/>
        </w:tblCellMar>
      </w:tblPr>
      <w:tblGrid>
        <w:gridCol w:w="860"/>
        <w:gridCol w:w="4085"/>
      </w:tblGrid>
      <w:tr>
        <w:trPr/>
        <w:tc>
          <w:tcPr>
            <w:tcW w:w="860" w:type="dxa"/>
            <w:tcBorders/>
            <w:vAlign w:val="center"/>
          </w:tcPr>
          <w:p>
            <w:pPr>
              <w:pStyle w:val="TableContents"/>
              <w:bidi w:val="0"/>
              <w:spacing w:before="0" w:after="283"/>
              <w:jc w:val="left"/>
              <w:rPr>
                <w:b/>
              </w:rPr>
            </w:pPr>
            <w:r>
              <w:rPr>
                <w:b/>
              </w:rPr>
              <w:t>Item 15.</w:t>
            </w:r>
          </w:p>
        </w:tc>
        <w:tc>
          <w:tcPr>
            <w:tcW w:w="4085" w:type="dxa"/>
            <w:tcBorders/>
            <w:vAlign w:val="center"/>
          </w:tcPr>
          <w:p>
            <w:pPr>
              <w:pStyle w:val="TableContents"/>
              <w:bidi w:val="0"/>
              <w:spacing w:before="0" w:after="0"/>
              <w:jc w:val="left"/>
              <w:rPr>
                <w:b/>
              </w:rPr>
            </w:pPr>
            <w:r>
              <w:rPr>
                <w:b/>
              </w:rPr>
              <w:t>Exhibits, Financial Statement Schedules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Financial Statement Schedules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 The following documents are filed as part of this Annual Report on Form 10-K: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(1) Consolidated Financial Statements.</w:t>
      </w:r>
    </w:p>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9705"/>
        <w:gridCol w:w="500"/>
      </w:tblGrid>
      <w:tr>
        <w:trPr/>
        <w:tc>
          <w:tcPr>
            <w:tcW w:w="9705" w:type="dxa"/>
            <w:tcBorders/>
            <w:vAlign w:val="center"/>
          </w:tcPr>
          <w:p>
            <w:pPr>
              <w:pStyle w:val="TableContents"/>
              <w:bidi w:val="0"/>
              <w:spacing w:before="0" w:after="283"/>
              <w:jc w:val="left"/>
              <w:rPr/>
            </w:pPr>
            <w:r>
              <w:rPr/>
            </w:r>
          </w:p>
        </w:tc>
        <w:tc>
          <w:tcPr>
            <w:tcW w:w="500" w:type="dxa"/>
            <w:tcBorders>
              <w:bottom w:val="single" w:sz="12" w:space="0" w:color="000000"/>
            </w:tcBorders>
            <w:tcMar>
              <w:bottom w:w="28" w:type="dxa"/>
            </w:tcMar>
            <w:vAlign w:val="center"/>
          </w:tcPr>
          <w:p>
            <w:pPr>
              <w:pStyle w:val="TableContents"/>
              <w:bidi w:val="0"/>
              <w:spacing w:before="0" w:after="0"/>
              <w:jc w:val="center"/>
              <w:rPr/>
            </w:pPr>
            <w:r>
              <w:rPr/>
              <w:t>Page</w:t>
            </w:r>
          </w:p>
        </w:tc>
      </w:tr>
      <w:tr>
        <w:trPr/>
        <w:tc>
          <w:tcPr>
            <w:tcW w:w="9705" w:type="dxa"/>
            <w:tcBorders/>
            <w:shd w:fill="CCEEFF" w:val="clear"/>
            <w:vAlign w:val="center"/>
          </w:tcPr>
          <w:p>
            <w:pPr>
              <w:pStyle w:val="TableContents"/>
              <w:bidi w:val="0"/>
              <w:spacing w:before="0" w:after="0"/>
              <w:jc w:val="left"/>
              <w:rPr/>
            </w:pPr>
            <w:r>
              <w:rPr/>
              <w:t>Management’s Annual Report on Internal Control Over Financial Reporting</w:t>
            </w:r>
          </w:p>
        </w:tc>
        <w:tc>
          <w:tcPr>
            <w:tcW w:w="500" w:type="dxa"/>
            <w:tcBorders/>
            <w:shd w:fill="CCEEFF" w:val="clear"/>
            <w:vAlign w:val="center"/>
          </w:tcPr>
          <w:p>
            <w:pPr>
              <w:pStyle w:val="TableContents"/>
              <w:bidi w:val="0"/>
              <w:spacing w:before="0" w:after="0"/>
              <w:jc w:val="center"/>
              <w:rPr/>
            </w:pPr>
            <w:r>
              <w:rPr/>
              <w:t>F-2</w:t>
            </w:r>
          </w:p>
        </w:tc>
      </w:tr>
      <w:tr>
        <w:trPr/>
        <w:tc>
          <w:tcPr>
            <w:tcW w:w="9705" w:type="dxa"/>
            <w:tcBorders/>
            <w:vAlign w:val="center"/>
          </w:tcPr>
          <w:p>
            <w:pPr>
              <w:pStyle w:val="TableContents"/>
              <w:bidi w:val="0"/>
              <w:spacing w:before="0" w:after="0"/>
              <w:jc w:val="left"/>
              <w:rPr/>
            </w:pPr>
            <w:r>
              <w:rPr/>
              <w:t>Report of Independent Registered Public Accounting Firm (PCAOB ID 596)</w:t>
            </w:r>
          </w:p>
        </w:tc>
        <w:tc>
          <w:tcPr>
            <w:tcW w:w="500" w:type="dxa"/>
            <w:tcBorders/>
            <w:vAlign w:val="center"/>
          </w:tcPr>
          <w:p>
            <w:pPr>
              <w:pStyle w:val="TableContents"/>
              <w:bidi w:val="0"/>
              <w:spacing w:before="0" w:after="0"/>
              <w:jc w:val="center"/>
              <w:rPr/>
            </w:pPr>
            <w:r>
              <w:rPr/>
              <w:t>F-3</w:t>
            </w:r>
          </w:p>
        </w:tc>
      </w:tr>
      <w:tr>
        <w:trPr/>
        <w:tc>
          <w:tcPr>
            <w:tcW w:w="9705" w:type="dxa"/>
            <w:tcBorders/>
            <w:shd w:fill="CCEEFF" w:val="clear"/>
            <w:vAlign w:val="center"/>
          </w:tcPr>
          <w:p>
            <w:pPr>
              <w:pStyle w:val="TableContents"/>
              <w:bidi w:val="0"/>
              <w:spacing w:before="0" w:after="0"/>
              <w:jc w:val="left"/>
              <w:rPr/>
            </w:pPr>
            <w:r>
              <w:rPr/>
              <w:t>Consolidated Balance Sheets as of December 31, 2023 and 2022</w:t>
            </w:r>
          </w:p>
        </w:tc>
        <w:tc>
          <w:tcPr>
            <w:tcW w:w="500" w:type="dxa"/>
            <w:tcBorders/>
            <w:shd w:fill="CCEEFF" w:val="clear"/>
            <w:vAlign w:val="center"/>
          </w:tcPr>
          <w:p>
            <w:pPr>
              <w:pStyle w:val="TableContents"/>
              <w:bidi w:val="0"/>
              <w:spacing w:before="0" w:after="0"/>
              <w:jc w:val="center"/>
              <w:rPr/>
            </w:pPr>
            <w:r>
              <w:rPr/>
              <w:t>F-5</w:t>
            </w:r>
          </w:p>
        </w:tc>
      </w:tr>
      <w:tr>
        <w:trPr/>
        <w:tc>
          <w:tcPr>
            <w:tcW w:w="9705" w:type="dxa"/>
            <w:tcBorders/>
            <w:vAlign w:val="center"/>
          </w:tcPr>
          <w:p>
            <w:pPr>
              <w:pStyle w:val="TableContents"/>
              <w:bidi w:val="0"/>
              <w:spacing w:before="0" w:after="0"/>
              <w:jc w:val="left"/>
              <w:rPr/>
            </w:pPr>
            <w:r>
              <w:rPr/>
              <w:t>Consolidated Statements of Operations for the years ended December 31, 2023, 2022 and 2021</w:t>
            </w:r>
          </w:p>
        </w:tc>
        <w:tc>
          <w:tcPr>
            <w:tcW w:w="500" w:type="dxa"/>
            <w:tcBorders/>
            <w:vAlign w:val="center"/>
          </w:tcPr>
          <w:p>
            <w:pPr>
              <w:pStyle w:val="TableContents"/>
              <w:bidi w:val="0"/>
              <w:spacing w:before="0" w:after="0"/>
              <w:jc w:val="center"/>
              <w:rPr/>
            </w:pPr>
            <w:r>
              <w:rPr/>
              <w:t>F-6</w:t>
            </w:r>
          </w:p>
        </w:tc>
      </w:tr>
      <w:tr>
        <w:trPr/>
        <w:tc>
          <w:tcPr>
            <w:tcW w:w="9705" w:type="dxa"/>
            <w:tcBorders/>
            <w:shd w:fill="CCEEFF" w:val="clear"/>
            <w:vAlign w:val="center"/>
          </w:tcPr>
          <w:p>
            <w:pPr>
              <w:pStyle w:val="TableContents"/>
              <w:bidi w:val="0"/>
              <w:spacing w:before="0" w:after="0"/>
              <w:jc w:val="left"/>
              <w:rPr/>
            </w:pPr>
            <w:r>
              <w:rPr/>
              <w:t>Consolidated Statements of Changes in Stockholders’ Equity for the years ended December 31, 2023, 2022 and 2021</w:t>
            </w:r>
          </w:p>
        </w:tc>
        <w:tc>
          <w:tcPr>
            <w:tcW w:w="500" w:type="dxa"/>
            <w:tcBorders/>
            <w:shd w:fill="CCEEFF" w:val="clear"/>
            <w:vAlign w:val="center"/>
          </w:tcPr>
          <w:p>
            <w:pPr>
              <w:pStyle w:val="TableContents"/>
              <w:bidi w:val="0"/>
              <w:spacing w:before="0" w:after="0"/>
              <w:jc w:val="center"/>
              <w:rPr/>
            </w:pPr>
            <w:r>
              <w:rPr/>
              <w:t>F-7</w:t>
            </w:r>
          </w:p>
        </w:tc>
      </w:tr>
      <w:tr>
        <w:trPr/>
        <w:tc>
          <w:tcPr>
            <w:tcW w:w="9705" w:type="dxa"/>
            <w:tcBorders/>
            <w:vAlign w:val="center"/>
          </w:tcPr>
          <w:p>
            <w:pPr>
              <w:pStyle w:val="TableContents"/>
              <w:bidi w:val="0"/>
              <w:spacing w:before="0" w:after="0"/>
              <w:jc w:val="left"/>
              <w:rPr/>
            </w:pPr>
            <w:r>
              <w:rPr/>
              <w:t>Consolidated Statements of Cash Flows for the years ended December 31, 2023, 2022 and 2021</w:t>
            </w:r>
          </w:p>
        </w:tc>
        <w:tc>
          <w:tcPr>
            <w:tcW w:w="500" w:type="dxa"/>
            <w:tcBorders/>
            <w:vAlign w:val="center"/>
          </w:tcPr>
          <w:p>
            <w:pPr>
              <w:pStyle w:val="TableContents"/>
              <w:bidi w:val="0"/>
              <w:spacing w:before="0" w:after="0"/>
              <w:jc w:val="center"/>
              <w:rPr/>
            </w:pPr>
            <w:r>
              <w:rPr/>
              <w:t>F-8</w:t>
            </w:r>
          </w:p>
        </w:tc>
      </w:tr>
      <w:tr>
        <w:trPr/>
        <w:tc>
          <w:tcPr>
            <w:tcW w:w="9705" w:type="dxa"/>
            <w:tcBorders/>
            <w:shd w:fill="CCEEFF" w:val="clear"/>
            <w:vAlign w:val="center"/>
          </w:tcPr>
          <w:p>
            <w:pPr>
              <w:pStyle w:val="TableContents"/>
              <w:bidi w:val="0"/>
              <w:spacing w:before="0" w:after="0"/>
              <w:jc w:val="left"/>
              <w:rPr/>
            </w:pPr>
            <w:r>
              <w:rPr/>
              <w:t>Notes to Consolidated Financial Statements</w:t>
            </w:r>
          </w:p>
        </w:tc>
        <w:tc>
          <w:tcPr>
            <w:tcW w:w="500" w:type="dxa"/>
            <w:tcBorders/>
            <w:shd w:fill="CCEEFF" w:val="clear"/>
            <w:vAlign w:val="center"/>
          </w:tcPr>
          <w:p>
            <w:pPr>
              <w:pStyle w:val="TableContents"/>
              <w:bidi w:val="0"/>
              <w:spacing w:before="0" w:after="0"/>
              <w:jc w:val="center"/>
              <w:rPr/>
            </w:pPr>
            <w:r>
              <w:rPr/>
              <w:t>F-9</w:t>
            </w:r>
          </w:p>
        </w:tc>
      </w:tr>
    </w:tbl>
    <w:p>
      <w:pPr>
        <w:pStyle w:val="TextBody"/>
        <w:bidi w:val="0"/>
        <w:spacing w:before="0" w:after="0"/>
        <w:jc w:val="left"/>
        <w:rPr/>
      </w:pPr>
      <w:r>
        <w:rPr/>
      </w:r>
    </w:p>
    <w:tbl>
      <w:tblPr>
        <w:tblW w:w="3303" w:type="dxa"/>
        <w:jc w:val="left"/>
        <w:tblInd w:w="0" w:type="dxa"/>
        <w:tblLayout w:type="fixed"/>
        <w:tblCellMar>
          <w:top w:w="0" w:type="dxa"/>
          <w:left w:w="0" w:type="dxa"/>
          <w:bottom w:w="0" w:type="dxa"/>
          <w:right w:w="0" w:type="dxa"/>
        </w:tblCellMar>
      </w:tblPr>
      <w:tblGrid>
        <w:gridCol w:w="38"/>
        <w:gridCol w:w="290"/>
        <w:gridCol w:w="297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0"/>
              <w:jc w:val="left"/>
              <w:rPr/>
            </w:pPr>
            <w:r>
              <w:rPr/>
              <w:t>(2)</w:t>
            </w:r>
          </w:p>
        </w:tc>
        <w:tc>
          <w:tcPr>
            <w:tcW w:w="2975" w:type="dxa"/>
            <w:tcBorders/>
            <w:vAlign w:val="center"/>
          </w:tcPr>
          <w:p>
            <w:pPr>
              <w:pStyle w:val="TableContents"/>
              <w:bidi w:val="0"/>
              <w:spacing w:before="0" w:after="0"/>
              <w:jc w:val="left"/>
              <w:rPr/>
            </w:pPr>
            <w:r>
              <w:rPr/>
              <w:t>Financial Statement Schedules.</w:t>
            </w:r>
          </w:p>
        </w:tc>
      </w:tr>
    </w:tbl>
    <w:p>
      <w:pPr>
        <w:pStyle w:val="TextBody"/>
        <w:bidi w:val="0"/>
        <w:spacing w:before="0" w:after="0"/>
        <w:ind w:left="1080" w:right="0" w:hanging="0"/>
        <w:jc w:val="left"/>
        <w:rPr>
          <w:rFonts w:ascii="Times New Roman" w:hAnsi="Times New Roman"/>
          <w:color w:val="000000"/>
          <w:sz w:val="20"/>
          <w:shd w:fill="FFFFFF" w:val="clear"/>
        </w:rPr>
      </w:pPr>
      <w:r>
        <w:rPr>
          <w:rFonts w:ascii="Times New Roman" w:hAnsi="Times New Roman"/>
          <w:color w:val="000000"/>
          <w:sz w:val="20"/>
          <w:shd w:fill="FFFFFF" w:val="clear"/>
        </w:rPr>
        <w:t>Required information is included in the footnotes to the financial statements.</w:t>
      </w:r>
    </w:p>
    <w:p>
      <w:pPr>
        <w:pStyle w:val="TextBody"/>
        <w:bidi w:val="0"/>
        <w:spacing w:before="0" w:after="0"/>
        <w:jc w:val="left"/>
        <w:rPr/>
      </w:pPr>
      <w:r>
        <w:rPr/>
      </w:r>
    </w:p>
    <w:tbl>
      <w:tblPr>
        <w:tblW w:w="2043" w:type="dxa"/>
        <w:jc w:val="left"/>
        <w:tblInd w:w="0" w:type="dxa"/>
        <w:tblLayout w:type="fixed"/>
        <w:tblCellMar>
          <w:top w:w="0" w:type="dxa"/>
          <w:left w:w="0" w:type="dxa"/>
          <w:bottom w:w="0" w:type="dxa"/>
          <w:right w:w="0" w:type="dxa"/>
        </w:tblCellMar>
      </w:tblPr>
      <w:tblGrid>
        <w:gridCol w:w="38"/>
        <w:gridCol w:w="290"/>
        <w:gridCol w:w="171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0"/>
              <w:jc w:val="left"/>
              <w:rPr/>
            </w:pPr>
            <w:r>
              <w:rPr/>
              <w:t>(3)</w:t>
            </w:r>
          </w:p>
        </w:tc>
        <w:tc>
          <w:tcPr>
            <w:tcW w:w="1715" w:type="dxa"/>
            <w:tcBorders/>
            <w:vAlign w:val="center"/>
          </w:tcPr>
          <w:p>
            <w:pPr>
              <w:pStyle w:val="TableContents"/>
              <w:bidi w:val="0"/>
              <w:spacing w:before="0" w:after="0"/>
              <w:jc w:val="left"/>
              <w:rPr/>
            </w:pPr>
            <w:r>
              <w:rPr/>
              <w:t>Index to Exhibits.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INDEX TO EXHIBITS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788"/>
        <w:gridCol w:w="23"/>
        <w:gridCol w:w="9394"/>
      </w:tblGrid>
      <w:tr>
        <w:trPr/>
        <w:tc>
          <w:tcPr>
            <w:tcW w:w="788" w:type="dxa"/>
            <w:tcBorders>
              <w:bottom w:val="single" w:sz="12" w:space="0" w:color="000000"/>
            </w:tcBorders>
            <w:vAlign w:val="center"/>
          </w:tcPr>
          <w:p>
            <w:pPr>
              <w:pStyle w:val="TableContents"/>
              <w:bidi w:val="0"/>
              <w:spacing w:before="0" w:after="0"/>
              <w:jc w:val="left"/>
              <w:rPr>
                <w:b/>
              </w:rPr>
            </w:pPr>
            <w:r>
              <w:rPr>
                <w:b/>
              </w:rPr>
              <w:t xml:space="preserve">Exhibit </w:t>
            </w:r>
          </w:p>
          <w:p>
            <w:pPr>
              <w:pStyle w:val="TableContents"/>
              <w:bidi w:val="0"/>
              <w:spacing w:before="0" w:after="0"/>
              <w:jc w:val="left"/>
              <w:rPr>
                <w:b/>
              </w:rPr>
            </w:pPr>
            <w:r>
              <w:rPr>
                <w:b/>
              </w:rPr>
              <w:t>No.</w:t>
            </w:r>
          </w:p>
        </w:tc>
        <w:tc>
          <w:tcPr>
            <w:tcW w:w="23" w:type="dxa"/>
            <w:tcBorders/>
            <w:tcMar>
              <w:bottom w:w="0" w:type="dxa"/>
            </w:tcMar>
            <w:vAlign w:val="center"/>
          </w:tcPr>
          <w:p>
            <w:pPr>
              <w:pStyle w:val="TableContents"/>
              <w:bidi w:val="0"/>
              <w:spacing w:before="0" w:after="283"/>
              <w:jc w:val="left"/>
              <w:rPr/>
            </w:pPr>
            <w:r>
              <w:rPr/>
            </w:r>
          </w:p>
        </w:tc>
        <w:tc>
          <w:tcPr>
            <w:tcW w:w="9394" w:type="dxa"/>
            <w:tcBorders>
              <w:bottom w:val="single" w:sz="12" w:space="0" w:color="000000"/>
            </w:tcBorders>
            <w:vAlign w:val="center"/>
          </w:tcPr>
          <w:p>
            <w:pPr>
              <w:pStyle w:val="TableContents"/>
              <w:bidi w:val="0"/>
              <w:spacing w:before="0" w:after="0"/>
              <w:jc w:val="left"/>
              <w:rPr>
                <w:b/>
              </w:rPr>
            </w:pPr>
            <w:r>
              <w:rPr>
                <w:b/>
              </w:rPr>
              <w:t>Description</w:t>
            </w:r>
          </w:p>
        </w:tc>
      </w:tr>
      <w:tr>
        <w:trPr/>
        <w:tc>
          <w:tcPr>
            <w:tcW w:w="788" w:type="dxa"/>
            <w:tcBorders>
              <w:bottom w:val="single" w:sz="12" w:space="0" w:color="000000"/>
            </w:tcBorders>
            <w:shd w:fill="CCEEFF" w:val="clear"/>
            <w:vAlign w:val="center"/>
          </w:tcPr>
          <w:p>
            <w:pPr>
              <w:pStyle w:val="TableContents"/>
              <w:bidi w:val="0"/>
              <w:spacing w:before="0" w:after="0"/>
              <w:jc w:val="left"/>
              <w:rPr/>
            </w:pPr>
            <w:hyperlink r:id="rId3">
              <w:r>
                <w:rPr>
                  <w:rStyle w:val="InternetLink"/>
                </w:rPr>
                <w:t>3.1</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394" w:type="dxa"/>
            <w:tcBorders>
              <w:bottom w:val="single" w:sz="12" w:space="0" w:color="000000"/>
            </w:tcBorders>
            <w:shd w:fill="CCEEFF" w:val="clear"/>
            <w:vAlign w:val="center"/>
          </w:tcPr>
          <w:p>
            <w:pPr>
              <w:pStyle w:val="TableContents"/>
              <w:bidi w:val="0"/>
              <w:spacing w:before="0" w:after="0"/>
              <w:jc w:val="left"/>
              <w:rPr/>
            </w:pPr>
            <w:r>
              <w:rPr/>
              <w:t>Second Amended and Restated Certificate of Incorporation of the Company (incorporated herein by reference to Exhibit 3.1 to the Company’s Current Report on Form 8-K, filed with the SEC on August 23, 2019).</w:t>
            </w:r>
          </w:p>
        </w:tc>
      </w:tr>
      <w:tr>
        <w:trPr/>
        <w:tc>
          <w:tcPr>
            <w:tcW w:w="788" w:type="dxa"/>
            <w:tcBorders>
              <w:bottom w:val="single" w:sz="12" w:space="0" w:color="000000"/>
            </w:tcBorders>
            <w:vAlign w:val="center"/>
          </w:tcPr>
          <w:p>
            <w:pPr>
              <w:pStyle w:val="TableContents"/>
              <w:bidi w:val="0"/>
              <w:spacing w:before="0" w:after="0"/>
              <w:jc w:val="left"/>
              <w:rPr/>
            </w:pPr>
            <w:hyperlink r:id="rId4">
              <w:r>
                <w:rPr>
                  <w:rStyle w:val="InternetLink"/>
                </w:rPr>
                <w:t>3.1.1</w:t>
              </w:r>
            </w:hyperlink>
          </w:p>
        </w:tc>
        <w:tc>
          <w:tcPr>
            <w:tcW w:w="23" w:type="dxa"/>
            <w:tcBorders/>
            <w:tcMar>
              <w:bottom w:w="0" w:type="dxa"/>
            </w:tcMar>
            <w:vAlign w:val="center"/>
          </w:tcPr>
          <w:p>
            <w:pPr>
              <w:pStyle w:val="TableContents"/>
              <w:bidi w:val="0"/>
              <w:spacing w:before="0" w:after="283"/>
              <w:jc w:val="left"/>
              <w:rPr/>
            </w:pPr>
            <w:r>
              <w:rPr/>
            </w:r>
          </w:p>
        </w:tc>
        <w:tc>
          <w:tcPr>
            <w:tcW w:w="9394" w:type="dxa"/>
            <w:tcBorders>
              <w:bottom w:val="single" w:sz="12" w:space="0" w:color="000000"/>
            </w:tcBorders>
            <w:vAlign w:val="center"/>
          </w:tcPr>
          <w:p>
            <w:pPr>
              <w:pStyle w:val="TableContents"/>
              <w:bidi w:val="0"/>
              <w:spacing w:before="0" w:after="0"/>
              <w:jc w:val="left"/>
              <w:rPr/>
            </w:pPr>
            <w:r>
              <w:rPr/>
              <w:t>Certificate of Amendment of the Second Amended and Restated Certificate of Incorporation of ADMA Biologics, Inc., dated as of May 27, 2021 (incorporated by reference to Exhibit 3.1 to the Company’s Current Report on Form 8-K filed on May 28, 2021).</w:t>
            </w:r>
          </w:p>
        </w:tc>
      </w:tr>
      <w:tr>
        <w:trPr/>
        <w:tc>
          <w:tcPr>
            <w:tcW w:w="788" w:type="dxa"/>
            <w:tcBorders>
              <w:bottom w:val="single" w:sz="12" w:space="0" w:color="000000"/>
            </w:tcBorders>
            <w:shd w:fill="CCEEFF" w:val="clear"/>
            <w:vAlign w:val="center"/>
          </w:tcPr>
          <w:p>
            <w:pPr>
              <w:pStyle w:val="TableContents"/>
              <w:bidi w:val="0"/>
              <w:spacing w:before="0" w:after="0"/>
              <w:jc w:val="left"/>
              <w:rPr/>
            </w:pPr>
            <w:hyperlink r:id="rId5">
              <w:r>
                <w:rPr>
                  <w:rStyle w:val="InternetLink"/>
                </w:rPr>
                <w:t>3.2</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394" w:type="dxa"/>
            <w:tcBorders>
              <w:bottom w:val="single" w:sz="12" w:space="0" w:color="000000"/>
            </w:tcBorders>
            <w:shd w:fill="CCEEFF" w:val="clear"/>
            <w:vAlign w:val="center"/>
          </w:tcPr>
          <w:p>
            <w:pPr>
              <w:pStyle w:val="TableContents"/>
              <w:bidi w:val="0"/>
              <w:spacing w:before="0" w:after="0"/>
              <w:jc w:val="left"/>
              <w:rPr/>
            </w:pPr>
            <w:r>
              <w:rPr/>
              <w:t>Amended and Restated Bylaws (incorporated herein by reference to Exhibit 3.1 to the Company’s Current Report on Form 8-K, filed with the SEC on October 7, 2016).</w:t>
            </w:r>
          </w:p>
        </w:tc>
      </w:tr>
      <w:tr>
        <w:trPr/>
        <w:tc>
          <w:tcPr>
            <w:tcW w:w="788" w:type="dxa"/>
            <w:tcBorders>
              <w:bottom w:val="single" w:sz="12" w:space="0" w:color="000000"/>
            </w:tcBorders>
            <w:vAlign w:val="center"/>
          </w:tcPr>
          <w:p>
            <w:pPr>
              <w:pStyle w:val="TableContents"/>
              <w:bidi w:val="0"/>
              <w:spacing w:before="0" w:after="0"/>
              <w:jc w:val="left"/>
              <w:rPr/>
            </w:pPr>
            <w:hyperlink r:id="rId6">
              <w:r>
                <w:rPr>
                  <w:rStyle w:val="InternetLink"/>
                </w:rPr>
                <w:t>3.3</w:t>
              </w:r>
            </w:hyperlink>
          </w:p>
        </w:tc>
        <w:tc>
          <w:tcPr>
            <w:tcW w:w="23" w:type="dxa"/>
            <w:tcBorders/>
            <w:tcMar>
              <w:bottom w:w="0" w:type="dxa"/>
            </w:tcMar>
            <w:vAlign w:val="center"/>
          </w:tcPr>
          <w:p>
            <w:pPr>
              <w:pStyle w:val="TableContents"/>
              <w:bidi w:val="0"/>
              <w:spacing w:before="0" w:after="283"/>
              <w:jc w:val="left"/>
              <w:rPr/>
            </w:pPr>
            <w:r>
              <w:rPr/>
            </w:r>
          </w:p>
        </w:tc>
        <w:tc>
          <w:tcPr>
            <w:tcW w:w="9394" w:type="dxa"/>
            <w:tcBorders>
              <w:bottom w:val="single" w:sz="12" w:space="0" w:color="000000"/>
            </w:tcBorders>
            <w:vAlign w:val="center"/>
          </w:tcPr>
          <w:p>
            <w:pPr>
              <w:pStyle w:val="TableContents"/>
              <w:bidi w:val="0"/>
              <w:spacing w:before="0" w:after="0"/>
              <w:jc w:val="left"/>
              <w:rPr/>
            </w:pPr>
            <w:r>
              <w:rPr/>
              <w:t>Certificate of Designation of Series A Junior Participating Preferred Stock of ADMA Biologics, Inc. (incorporated by reference to Exhibit 3.1 to the Company’s Current Report on Form 8-K filed with the SEC on December 21, 2021).</w:t>
            </w:r>
          </w:p>
        </w:tc>
      </w:tr>
      <w:tr>
        <w:trPr/>
        <w:tc>
          <w:tcPr>
            <w:tcW w:w="788" w:type="dxa"/>
            <w:tcBorders>
              <w:bottom w:val="single" w:sz="12" w:space="0" w:color="000000"/>
            </w:tcBorders>
            <w:shd w:fill="CCEEFF" w:val="clear"/>
            <w:vAlign w:val="center"/>
          </w:tcPr>
          <w:p>
            <w:pPr>
              <w:pStyle w:val="TableContents"/>
              <w:bidi w:val="0"/>
              <w:spacing w:before="0" w:after="0"/>
              <w:jc w:val="left"/>
              <w:rPr/>
            </w:pPr>
            <w:hyperlink r:id="rId7">
              <w:r>
                <w:rPr>
                  <w:rStyle w:val="InternetLink"/>
                </w:rPr>
                <w:t>4.1</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394" w:type="dxa"/>
            <w:tcBorders>
              <w:bottom w:val="single" w:sz="12" w:space="0" w:color="000000"/>
            </w:tcBorders>
            <w:shd w:fill="CCEEFF" w:val="clear"/>
            <w:vAlign w:val="center"/>
          </w:tcPr>
          <w:p>
            <w:pPr>
              <w:pStyle w:val="TableContents"/>
              <w:bidi w:val="0"/>
              <w:spacing w:before="0" w:after="0"/>
              <w:jc w:val="left"/>
              <w:rPr/>
            </w:pPr>
            <w:r>
              <w:rPr/>
              <w:t>Specimen Common Stock Certificate (incorporated herein by reference to Exhibit 4.1 to Amendment No. 1 to the Company’s Current Report on Form 8-K/A, filed with the SEC on March 29, 2012).</w:t>
            </w:r>
          </w:p>
        </w:tc>
      </w:tr>
      <w:tr>
        <w:trPr/>
        <w:tc>
          <w:tcPr>
            <w:tcW w:w="788" w:type="dxa"/>
            <w:tcBorders>
              <w:bottom w:val="single" w:sz="12" w:space="0" w:color="000000"/>
            </w:tcBorders>
            <w:vAlign w:val="center"/>
          </w:tcPr>
          <w:p>
            <w:pPr>
              <w:pStyle w:val="TableContents"/>
              <w:bidi w:val="0"/>
              <w:spacing w:before="0" w:after="0"/>
              <w:jc w:val="left"/>
              <w:rPr/>
            </w:pPr>
            <w:hyperlink r:id="rId8">
              <w:r>
                <w:rPr>
                  <w:rStyle w:val="InternetLink"/>
                </w:rPr>
                <w:t>4.2</w:t>
              </w:r>
            </w:hyperlink>
          </w:p>
        </w:tc>
        <w:tc>
          <w:tcPr>
            <w:tcW w:w="23" w:type="dxa"/>
            <w:tcBorders/>
            <w:tcMar>
              <w:bottom w:w="0" w:type="dxa"/>
            </w:tcMar>
            <w:vAlign w:val="center"/>
          </w:tcPr>
          <w:p>
            <w:pPr>
              <w:pStyle w:val="TableContents"/>
              <w:bidi w:val="0"/>
              <w:spacing w:before="0" w:after="283"/>
              <w:jc w:val="left"/>
              <w:rPr/>
            </w:pPr>
            <w:r>
              <w:rPr/>
            </w:r>
          </w:p>
        </w:tc>
        <w:tc>
          <w:tcPr>
            <w:tcW w:w="9394" w:type="dxa"/>
            <w:tcBorders>
              <w:bottom w:val="single" w:sz="12" w:space="0" w:color="000000"/>
            </w:tcBorders>
            <w:vAlign w:val="center"/>
          </w:tcPr>
          <w:p>
            <w:pPr>
              <w:pStyle w:val="TableContents"/>
              <w:bidi w:val="0"/>
              <w:spacing w:before="0" w:after="0"/>
              <w:jc w:val="left"/>
              <w:rPr/>
            </w:pPr>
            <w:r>
              <w:rPr/>
              <w:t>Form of Warrant Agreement, dated May 13, 2016, issued by the Company to Oxford Finance LLC (incorporated herein by reference to Exhibit 4.6 to the Company’s Quarterly Report on Form 10-Q, filed with the SEC on May 13, 2016).</w:t>
            </w:r>
          </w:p>
        </w:tc>
      </w:tr>
      <w:tr>
        <w:trPr/>
        <w:tc>
          <w:tcPr>
            <w:tcW w:w="788" w:type="dxa"/>
            <w:tcBorders>
              <w:bottom w:val="single" w:sz="12" w:space="0" w:color="000000"/>
            </w:tcBorders>
            <w:shd w:fill="CCEEFF" w:val="clear"/>
            <w:vAlign w:val="center"/>
          </w:tcPr>
          <w:p>
            <w:pPr>
              <w:pStyle w:val="TableContents"/>
              <w:bidi w:val="0"/>
              <w:spacing w:before="0" w:after="0"/>
              <w:jc w:val="left"/>
              <w:rPr/>
            </w:pPr>
            <w:hyperlink r:id="rId9">
              <w:r>
                <w:rPr>
                  <w:rStyle w:val="InternetLink"/>
                </w:rPr>
                <w:t>4.3</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394" w:type="dxa"/>
            <w:tcBorders>
              <w:bottom w:val="single" w:sz="12" w:space="0" w:color="000000"/>
            </w:tcBorders>
            <w:shd w:fill="CCEEFF" w:val="clear"/>
            <w:vAlign w:val="center"/>
          </w:tcPr>
          <w:p>
            <w:pPr>
              <w:pStyle w:val="TableContents"/>
              <w:bidi w:val="0"/>
              <w:spacing w:before="0" w:after="0"/>
              <w:jc w:val="left"/>
              <w:rPr/>
            </w:pPr>
            <w:r>
              <w:rPr/>
              <w:t>Warrant to Purchase Stock, dated October 10, 2017, issued by the Company to Marathon Healthcare Finance Fund, L.P. (incorporated herein by reference to Exhibit 4.2 to the Company’s Current Report on Form 8-K, filed with the SEC on October 11, 2017).</w:t>
            </w:r>
          </w:p>
        </w:tc>
      </w:tr>
      <w:tr>
        <w:trPr/>
        <w:tc>
          <w:tcPr>
            <w:tcW w:w="788" w:type="dxa"/>
            <w:tcBorders>
              <w:bottom w:val="single" w:sz="12" w:space="0" w:color="000000"/>
            </w:tcBorders>
            <w:vAlign w:val="center"/>
          </w:tcPr>
          <w:p>
            <w:pPr>
              <w:pStyle w:val="TableContents"/>
              <w:bidi w:val="0"/>
              <w:spacing w:before="0" w:after="0"/>
              <w:jc w:val="left"/>
              <w:rPr/>
            </w:pPr>
            <w:hyperlink r:id="rId10">
              <w:r>
                <w:rPr>
                  <w:rStyle w:val="InternetLink"/>
                </w:rPr>
                <w:t>4.4</w:t>
              </w:r>
            </w:hyperlink>
          </w:p>
        </w:tc>
        <w:tc>
          <w:tcPr>
            <w:tcW w:w="23" w:type="dxa"/>
            <w:tcBorders/>
            <w:tcMar>
              <w:bottom w:w="0" w:type="dxa"/>
            </w:tcMar>
            <w:vAlign w:val="center"/>
          </w:tcPr>
          <w:p>
            <w:pPr>
              <w:pStyle w:val="TableContents"/>
              <w:bidi w:val="0"/>
              <w:spacing w:before="0" w:after="283"/>
              <w:jc w:val="left"/>
              <w:rPr/>
            </w:pPr>
            <w:r>
              <w:rPr/>
            </w:r>
          </w:p>
        </w:tc>
        <w:tc>
          <w:tcPr>
            <w:tcW w:w="9394" w:type="dxa"/>
            <w:tcBorders>
              <w:bottom w:val="single" w:sz="12" w:space="0" w:color="000000"/>
            </w:tcBorders>
            <w:vAlign w:val="center"/>
          </w:tcPr>
          <w:p>
            <w:pPr>
              <w:pStyle w:val="TableContents"/>
              <w:bidi w:val="0"/>
              <w:spacing w:before="0" w:after="0"/>
              <w:jc w:val="left"/>
              <w:rPr/>
            </w:pPr>
            <w:r>
              <w:rPr/>
              <w:t>Warrant to Purchase Stock, dated February 11, 2019, issued by the Company to Perceptive Credit Holdings II, LP (incorporated herein by reference to Exhibit 4.2 to the Company’s Current Report on Form 8-K, filed with the SEC on February 12, 2019).</w:t>
            </w:r>
          </w:p>
        </w:tc>
      </w:tr>
      <w:tr>
        <w:trPr/>
        <w:tc>
          <w:tcPr>
            <w:tcW w:w="788" w:type="dxa"/>
            <w:tcBorders>
              <w:bottom w:val="single" w:sz="12" w:space="0" w:color="000000"/>
            </w:tcBorders>
            <w:shd w:fill="CCEEFF" w:val="clear"/>
            <w:vAlign w:val="center"/>
          </w:tcPr>
          <w:p>
            <w:pPr>
              <w:pStyle w:val="TableContents"/>
              <w:bidi w:val="0"/>
              <w:spacing w:before="0" w:after="0"/>
              <w:jc w:val="left"/>
              <w:rPr/>
            </w:pPr>
            <w:hyperlink r:id="rId11">
              <w:r>
                <w:rPr>
                  <w:rStyle w:val="InternetLink"/>
                </w:rPr>
                <w:t>4.5</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394" w:type="dxa"/>
            <w:tcBorders>
              <w:bottom w:val="single" w:sz="12" w:space="0" w:color="000000"/>
            </w:tcBorders>
            <w:shd w:fill="CCEEFF" w:val="clear"/>
            <w:vAlign w:val="center"/>
          </w:tcPr>
          <w:p>
            <w:pPr>
              <w:pStyle w:val="TableContents"/>
              <w:bidi w:val="0"/>
              <w:spacing w:before="0" w:after="0"/>
              <w:jc w:val="left"/>
              <w:rPr/>
            </w:pPr>
            <w:r>
              <w:rPr/>
              <w:t>Warrant to Purchase Stock, dated May 3, 2019, issued by the Company to Perceptive Credit Holdings II, LP (incorporated by reference to Exhibit 4.2 to the Company’s Current Report on Form 8-K filed with the SEC on May 3, 2019).</w:t>
            </w:r>
          </w:p>
        </w:tc>
      </w:tr>
      <w:tr>
        <w:trPr/>
        <w:tc>
          <w:tcPr>
            <w:tcW w:w="788" w:type="dxa"/>
            <w:tcBorders>
              <w:bottom w:val="single" w:sz="12" w:space="0" w:color="000000"/>
            </w:tcBorders>
            <w:vAlign w:val="center"/>
          </w:tcPr>
          <w:p>
            <w:pPr>
              <w:pStyle w:val="TableContents"/>
              <w:bidi w:val="0"/>
              <w:spacing w:before="0" w:after="0"/>
              <w:jc w:val="left"/>
              <w:rPr/>
            </w:pPr>
            <w:hyperlink r:id="rId12">
              <w:r>
                <w:rPr>
                  <w:rStyle w:val="InternetLink"/>
                </w:rPr>
                <w:t>4.6</w:t>
              </w:r>
            </w:hyperlink>
          </w:p>
        </w:tc>
        <w:tc>
          <w:tcPr>
            <w:tcW w:w="23" w:type="dxa"/>
            <w:tcBorders/>
            <w:tcMar>
              <w:bottom w:w="0" w:type="dxa"/>
            </w:tcMar>
            <w:vAlign w:val="center"/>
          </w:tcPr>
          <w:p>
            <w:pPr>
              <w:pStyle w:val="TableContents"/>
              <w:bidi w:val="0"/>
              <w:spacing w:before="0" w:after="283"/>
              <w:jc w:val="left"/>
              <w:rPr/>
            </w:pPr>
            <w:r>
              <w:rPr/>
            </w:r>
          </w:p>
        </w:tc>
        <w:tc>
          <w:tcPr>
            <w:tcW w:w="9394" w:type="dxa"/>
            <w:tcBorders>
              <w:bottom w:val="single" w:sz="12" w:space="0" w:color="000000"/>
            </w:tcBorders>
            <w:vAlign w:val="center"/>
          </w:tcPr>
          <w:p>
            <w:pPr>
              <w:pStyle w:val="TableContents"/>
              <w:bidi w:val="0"/>
              <w:spacing w:before="0" w:after="0"/>
              <w:jc w:val="left"/>
              <w:rPr/>
            </w:pPr>
            <w:r>
              <w:rPr/>
              <w:t>Warrant to Purchase Stock, dated December 8, 2020, issued by the Company to Perceptive Credit Holdings II, LP (incorporated by reference to Exhibit 4.7 to the Company’s Annual Report on Form 10-K for the year ended December 31, 2020, filed with the SEC on March 24, 2021).</w:t>
            </w:r>
          </w:p>
        </w:tc>
      </w:tr>
      <w:tr>
        <w:trPr/>
        <w:tc>
          <w:tcPr>
            <w:tcW w:w="788" w:type="dxa"/>
            <w:tcBorders>
              <w:bottom w:val="single" w:sz="12" w:space="0" w:color="000000"/>
            </w:tcBorders>
            <w:shd w:fill="CCEEFF" w:val="clear"/>
            <w:vAlign w:val="center"/>
          </w:tcPr>
          <w:p>
            <w:pPr>
              <w:pStyle w:val="TableContents"/>
              <w:bidi w:val="0"/>
              <w:spacing w:before="0" w:after="0"/>
              <w:jc w:val="left"/>
              <w:rPr/>
            </w:pPr>
            <w:hyperlink r:id="rId13">
              <w:r>
                <w:rPr>
                  <w:rStyle w:val="InternetLink"/>
                </w:rPr>
                <w:t>4.7</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394" w:type="dxa"/>
            <w:tcBorders>
              <w:bottom w:val="single" w:sz="12" w:space="0" w:color="000000"/>
            </w:tcBorders>
            <w:shd w:fill="CCEEFF" w:val="clear"/>
            <w:vAlign w:val="center"/>
          </w:tcPr>
          <w:p>
            <w:pPr>
              <w:pStyle w:val="TableContents"/>
              <w:bidi w:val="0"/>
              <w:spacing w:before="0" w:after="0"/>
              <w:jc w:val="left"/>
              <w:rPr/>
            </w:pPr>
            <w:r>
              <w:rPr/>
              <w:t>Description of Securities Registered under Section 12 of the Securities Exchange Act of 1934 (incorporated by reference to Exhibit 4.11 to the Company’s Annual Report on Form 10-K, filed with the SEC on March 24, 2022).</w:t>
            </w:r>
          </w:p>
        </w:tc>
      </w:tr>
      <w:tr>
        <w:trPr/>
        <w:tc>
          <w:tcPr>
            <w:tcW w:w="788" w:type="dxa"/>
            <w:tcBorders>
              <w:bottom w:val="single" w:sz="12" w:space="0" w:color="000000"/>
            </w:tcBorders>
            <w:vAlign w:val="center"/>
          </w:tcPr>
          <w:p>
            <w:pPr>
              <w:pStyle w:val="TableContents"/>
              <w:bidi w:val="0"/>
              <w:spacing w:before="0" w:after="0"/>
              <w:jc w:val="left"/>
              <w:rPr/>
            </w:pPr>
            <w:hyperlink r:id="rId14">
              <w:r>
                <w:rPr>
                  <w:rStyle w:val="InternetLink"/>
                </w:rPr>
                <w:t>4.8</w:t>
              </w:r>
            </w:hyperlink>
          </w:p>
        </w:tc>
        <w:tc>
          <w:tcPr>
            <w:tcW w:w="23" w:type="dxa"/>
            <w:tcBorders/>
            <w:tcMar>
              <w:bottom w:w="0" w:type="dxa"/>
            </w:tcMar>
            <w:vAlign w:val="center"/>
          </w:tcPr>
          <w:p>
            <w:pPr>
              <w:pStyle w:val="TableContents"/>
              <w:bidi w:val="0"/>
              <w:spacing w:before="0" w:after="283"/>
              <w:jc w:val="left"/>
              <w:rPr/>
            </w:pPr>
            <w:r>
              <w:rPr/>
            </w:r>
          </w:p>
        </w:tc>
        <w:tc>
          <w:tcPr>
            <w:tcW w:w="9394" w:type="dxa"/>
            <w:tcBorders>
              <w:bottom w:val="single" w:sz="12" w:space="0" w:color="000000"/>
            </w:tcBorders>
            <w:vAlign w:val="center"/>
          </w:tcPr>
          <w:p>
            <w:pPr>
              <w:pStyle w:val="TableContents"/>
              <w:bidi w:val="0"/>
              <w:spacing w:before="0" w:after="0"/>
              <w:jc w:val="left"/>
              <w:rPr/>
            </w:pPr>
            <w:r>
              <w:rPr/>
              <w:t>Form of Warrant to Purchase Common Stock, in the form issued by the Company to various entities affiliated with Hayfin Services LLP, dated as of March 23, 2022 (incorporated by reference to Exhibit 4.13 to the Company’s Annual Report on Form 10-K, filed with the SEC on March 24, 2022).</w:t>
            </w:r>
          </w:p>
        </w:tc>
      </w:tr>
      <w:tr>
        <w:trPr/>
        <w:tc>
          <w:tcPr>
            <w:tcW w:w="788" w:type="dxa"/>
            <w:tcBorders>
              <w:bottom w:val="single" w:sz="12" w:space="0" w:color="000000"/>
            </w:tcBorders>
            <w:shd w:fill="CCEEFF" w:val="clear"/>
            <w:vAlign w:val="center"/>
          </w:tcPr>
          <w:p>
            <w:pPr>
              <w:pStyle w:val="TableContents"/>
              <w:bidi w:val="0"/>
              <w:spacing w:before="0" w:after="0"/>
              <w:jc w:val="left"/>
              <w:rPr/>
            </w:pPr>
            <w:hyperlink r:id="rId15">
              <w:r>
                <w:rPr>
                  <w:rStyle w:val="InternetLink"/>
                </w:rPr>
                <w:t>4.9</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394" w:type="dxa"/>
            <w:tcBorders>
              <w:bottom w:val="single" w:sz="12" w:space="0" w:color="000000"/>
            </w:tcBorders>
            <w:shd w:fill="CCEEFF" w:val="clear"/>
            <w:vAlign w:val="center"/>
          </w:tcPr>
          <w:p>
            <w:pPr>
              <w:pStyle w:val="TableContents"/>
              <w:bidi w:val="0"/>
              <w:spacing w:before="0" w:after="0"/>
              <w:jc w:val="left"/>
              <w:rPr/>
            </w:pPr>
            <w:r>
              <w:rPr/>
              <w:t>Form of Warrant to Purchase Common Stock, in the form issued by the Company to various entities affiliated with Hayfin Services LLP, dated as of May 1, 2023 (incorporated by reference to Exhibit 4.1 to the Company’s Current Report on Form 8-K, filed with the SEC on May 2, 2023).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28" w:type="dxa"/>
          <w:right w:w="0" w:type="dxa"/>
        </w:tblCellMar>
      </w:tblPr>
      <w:tblGrid>
        <w:gridCol w:w="658"/>
        <w:gridCol w:w="23"/>
        <w:gridCol w:w="9524"/>
      </w:tblGrid>
      <w:tr>
        <w:trPr/>
        <w:tc>
          <w:tcPr>
            <w:tcW w:w="658" w:type="dxa"/>
            <w:tcBorders>
              <w:bottom w:val="single" w:sz="12" w:space="0" w:color="000000"/>
            </w:tcBorders>
            <w:shd w:fill="CCEEFF" w:val="clear"/>
            <w:vAlign w:val="center"/>
          </w:tcPr>
          <w:p>
            <w:pPr>
              <w:pStyle w:val="TableContents"/>
              <w:bidi w:val="0"/>
              <w:spacing w:before="0" w:after="0"/>
              <w:jc w:val="left"/>
              <w:rPr/>
            </w:pPr>
            <w:hyperlink r:id="rId16">
              <w:r>
                <w:rPr>
                  <w:rStyle w:val="InternetLink"/>
                </w:rPr>
                <w:t>10.1†</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24" w:type="dxa"/>
            <w:tcBorders>
              <w:bottom w:val="single" w:sz="12" w:space="0" w:color="000000"/>
            </w:tcBorders>
            <w:shd w:fill="CCEEFF" w:val="clear"/>
            <w:vAlign w:val="center"/>
          </w:tcPr>
          <w:p>
            <w:pPr>
              <w:pStyle w:val="TableContents"/>
              <w:bidi w:val="0"/>
              <w:spacing w:before="0" w:after="0"/>
              <w:jc w:val="left"/>
              <w:rPr/>
            </w:pPr>
            <w:r>
              <w:rPr/>
              <w:t>2007 Employee Stock Option Plan, as amended by Amendment No. 3 (incorporated herein by reference to Exhibit A to the Information Statement on Schedule 14C, filed with the SEC on October 29, 2012).</w:t>
            </w:r>
          </w:p>
        </w:tc>
      </w:tr>
      <w:tr>
        <w:trPr/>
        <w:tc>
          <w:tcPr>
            <w:tcW w:w="658" w:type="dxa"/>
            <w:tcBorders>
              <w:bottom w:val="single" w:sz="12" w:space="0" w:color="000000"/>
            </w:tcBorders>
            <w:vAlign w:val="center"/>
          </w:tcPr>
          <w:p>
            <w:pPr>
              <w:pStyle w:val="TableContents"/>
              <w:bidi w:val="0"/>
              <w:spacing w:before="0" w:after="0"/>
              <w:jc w:val="left"/>
              <w:rPr/>
            </w:pPr>
            <w:hyperlink r:id="rId17">
              <w:r>
                <w:rPr>
                  <w:rStyle w:val="InternetLink"/>
                </w:rPr>
                <w:t>10.2†</w:t>
              </w:r>
            </w:hyperlink>
          </w:p>
        </w:tc>
        <w:tc>
          <w:tcPr>
            <w:tcW w:w="23" w:type="dxa"/>
            <w:tcBorders/>
            <w:tcMar>
              <w:bottom w:w="0" w:type="dxa"/>
            </w:tcMar>
            <w:vAlign w:val="center"/>
          </w:tcPr>
          <w:p>
            <w:pPr>
              <w:pStyle w:val="TableContents"/>
              <w:bidi w:val="0"/>
              <w:spacing w:before="0" w:after="283"/>
              <w:jc w:val="left"/>
              <w:rPr/>
            </w:pPr>
            <w:r>
              <w:rPr/>
            </w:r>
          </w:p>
        </w:tc>
        <w:tc>
          <w:tcPr>
            <w:tcW w:w="9524" w:type="dxa"/>
            <w:tcBorders>
              <w:bottom w:val="single" w:sz="12" w:space="0" w:color="000000"/>
            </w:tcBorders>
            <w:vAlign w:val="center"/>
          </w:tcPr>
          <w:p>
            <w:pPr>
              <w:pStyle w:val="TableContents"/>
              <w:bidi w:val="0"/>
              <w:spacing w:before="0" w:after="0"/>
              <w:jc w:val="left"/>
              <w:rPr/>
            </w:pPr>
            <w:r>
              <w:rPr/>
              <w:t>Amended and Restated ADMA Biologics, Inc. 2014 Omnibus Incentive Compensation Plan (incorporated herein by reference to Exhibit 10.1 to the Company’s Registration Statement on Form S-8, filed with the SEC on August 18, 2017).</w:t>
            </w:r>
          </w:p>
        </w:tc>
      </w:tr>
      <w:tr>
        <w:trPr/>
        <w:tc>
          <w:tcPr>
            <w:tcW w:w="658" w:type="dxa"/>
            <w:tcBorders>
              <w:bottom w:val="single" w:sz="12" w:space="0" w:color="000000"/>
            </w:tcBorders>
            <w:shd w:fill="CCEEFF" w:val="clear"/>
            <w:vAlign w:val="center"/>
          </w:tcPr>
          <w:p>
            <w:pPr>
              <w:pStyle w:val="TableContents"/>
              <w:bidi w:val="0"/>
              <w:spacing w:before="0" w:after="0"/>
              <w:jc w:val="left"/>
              <w:rPr/>
            </w:pPr>
            <w:hyperlink r:id="rId18">
              <w:r>
                <w:rPr>
                  <w:rStyle w:val="InternetLink"/>
                </w:rPr>
                <w:t>10.3†</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24" w:type="dxa"/>
            <w:tcBorders>
              <w:bottom w:val="single" w:sz="12" w:space="0" w:color="000000"/>
            </w:tcBorders>
            <w:shd w:fill="CCEEFF" w:val="clear"/>
            <w:vAlign w:val="center"/>
          </w:tcPr>
          <w:p>
            <w:pPr>
              <w:pStyle w:val="TableContents"/>
              <w:bidi w:val="0"/>
              <w:spacing w:before="0" w:after="0"/>
              <w:jc w:val="left"/>
              <w:rPr/>
            </w:pPr>
            <w:r>
              <w:rPr/>
              <w:t>Amended and Restated Employment Agreement, dated January 29, 2019, by and between ADMA Biologics, Inc. and Adam Grossman (incorporated herein by reference to Exhibit 10.1 to the Company’s Current Report on Form 8-K, filed with the SEC on January 29, 2019).</w:t>
            </w:r>
          </w:p>
        </w:tc>
      </w:tr>
      <w:tr>
        <w:trPr/>
        <w:tc>
          <w:tcPr>
            <w:tcW w:w="658" w:type="dxa"/>
            <w:tcBorders>
              <w:bottom w:val="single" w:sz="12" w:space="0" w:color="000000"/>
            </w:tcBorders>
            <w:vAlign w:val="center"/>
          </w:tcPr>
          <w:p>
            <w:pPr>
              <w:pStyle w:val="TableContents"/>
              <w:bidi w:val="0"/>
              <w:spacing w:before="0" w:after="0"/>
              <w:jc w:val="left"/>
              <w:rPr/>
            </w:pPr>
            <w:hyperlink r:id="rId19">
              <w:r>
                <w:rPr>
                  <w:rStyle w:val="InternetLink"/>
                </w:rPr>
                <w:t>10.3.1†</w:t>
              </w:r>
            </w:hyperlink>
          </w:p>
        </w:tc>
        <w:tc>
          <w:tcPr>
            <w:tcW w:w="23" w:type="dxa"/>
            <w:tcBorders/>
            <w:tcMar>
              <w:bottom w:w="0" w:type="dxa"/>
            </w:tcMar>
            <w:vAlign w:val="center"/>
          </w:tcPr>
          <w:p>
            <w:pPr>
              <w:pStyle w:val="TableContents"/>
              <w:bidi w:val="0"/>
              <w:spacing w:before="0" w:after="283"/>
              <w:jc w:val="left"/>
              <w:rPr/>
            </w:pPr>
            <w:r>
              <w:rPr/>
            </w:r>
          </w:p>
        </w:tc>
        <w:tc>
          <w:tcPr>
            <w:tcW w:w="9524" w:type="dxa"/>
            <w:tcBorders>
              <w:bottom w:val="single" w:sz="12" w:space="0" w:color="000000"/>
            </w:tcBorders>
            <w:vAlign w:val="center"/>
          </w:tcPr>
          <w:p>
            <w:pPr>
              <w:pStyle w:val="TableContents"/>
              <w:bidi w:val="0"/>
              <w:spacing w:before="0" w:after="0"/>
              <w:jc w:val="left"/>
              <w:rPr/>
            </w:pPr>
            <w:r>
              <w:rPr/>
              <w:t>Amendment to Employment Agreement, dated as of September 29, 2021, by and between ADMA Biologics, Inc. and Adam Grossman (incorporated by reference to Exhibit 10.2 to the Company’s Current Report on Form 8-K, filed with the SEC on October 1, 2021).</w:t>
            </w:r>
          </w:p>
        </w:tc>
      </w:tr>
      <w:tr>
        <w:trPr/>
        <w:tc>
          <w:tcPr>
            <w:tcW w:w="658" w:type="dxa"/>
            <w:tcBorders>
              <w:bottom w:val="single" w:sz="12" w:space="0" w:color="000000"/>
            </w:tcBorders>
            <w:shd w:fill="CCEEFF" w:val="clear"/>
            <w:vAlign w:val="center"/>
          </w:tcPr>
          <w:p>
            <w:pPr>
              <w:pStyle w:val="TableContents"/>
              <w:bidi w:val="0"/>
              <w:spacing w:before="0" w:after="0"/>
              <w:jc w:val="left"/>
              <w:rPr/>
            </w:pPr>
            <w:hyperlink r:id="rId20">
              <w:r>
                <w:rPr>
                  <w:rStyle w:val="InternetLink"/>
                </w:rPr>
                <w:t>10.4†</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24" w:type="dxa"/>
            <w:tcBorders>
              <w:bottom w:val="single" w:sz="12" w:space="0" w:color="000000"/>
            </w:tcBorders>
            <w:shd w:fill="CCEEFF" w:val="clear"/>
            <w:vAlign w:val="center"/>
          </w:tcPr>
          <w:p>
            <w:pPr>
              <w:pStyle w:val="TableContents"/>
              <w:bidi w:val="0"/>
              <w:spacing w:before="0" w:after="0"/>
              <w:jc w:val="left"/>
              <w:rPr/>
            </w:pPr>
            <w:r>
              <w:rPr/>
              <w:t>Amended and Restated Employment Agreement, dated January 29, 2019, by and between ADMA Biologics, Inc. and Brian Lenz (incorporated herein by reference toExhibit 10.3 to the Company’s Current Report on Form 8-K, filed with the SEC on January 29, 2019).</w:t>
            </w:r>
          </w:p>
        </w:tc>
      </w:tr>
      <w:tr>
        <w:trPr/>
        <w:tc>
          <w:tcPr>
            <w:tcW w:w="658" w:type="dxa"/>
            <w:tcBorders>
              <w:bottom w:val="single" w:sz="12" w:space="0" w:color="000000"/>
            </w:tcBorders>
            <w:vAlign w:val="center"/>
          </w:tcPr>
          <w:p>
            <w:pPr>
              <w:pStyle w:val="TableContents"/>
              <w:bidi w:val="0"/>
              <w:spacing w:before="0" w:after="0"/>
              <w:jc w:val="left"/>
              <w:rPr/>
            </w:pPr>
            <w:hyperlink r:id="rId21">
              <w:r>
                <w:rPr>
                  <w:rStyle w:val="InternetLink"/>
                </w:rPr>
                <w:t>10.4.1†</w:t>
              </w:r>
            </w:hyperlink>
          </w:p>
        </w:tc>
        <w:tc>
          <w:tcPr>
            <w:tcW w:w="23" w:type="dxa"/>
            <w:tcBorders/>
            <w:tcMar>
              <w:bottom w:w="0" w:type="dxa"/>
            </w:tcMar>
            <w:vAlign w:val="center"/>
          </w:tcPr>
          <w:p>
            <w:pPr>
              <w:pStyle w:val="TableContents"/>
              <w:bidi w:val="0"/>
              <w:spacing w:before="0" w:after="283"/>
              <w:jc w:val="left"/>
              <w:rPr/>
            </w:pPr>
            <w:r>
              <w:rPr/>
            </w:r>
          </w:p>
        </w:tc>
        <w:tc>
          <w:tcPr>
            <w:tcW w:w="9524" w:type="dxa"/>
            <w:tcBorders>
              <w:bottom w:val="single" w:sz="12" w:space="0" w:color="000000"/>
            </w:tcBorders>
            <w:vAlign w:val="center"/>
          </w:tcPr>
          <w:p>
            <w:pPr>
              <w:pStyle w:val="TableContents"/>
              <w:bidi w:val="0"/>
              <w:spacing w:before="0" w:after="0"/>
              <w:jc w:val="left"/>
              <w:rPr/>
            </w:pPr>
            <w:r>
              <w:rPr/>
              <w:t>Amendment to Employment Agreement, dated as of September 29, 2021, by and between ADMA Biologics, Inc. and Brian Lenz (incorporated by reference to Exhibit 10.3 to the Company’s Current Report on Form 8-K, filed with the SEC on October 1, 2021).</w:t>
            </w:r>
          </w:p>
        </w:tc>
      </w:tr>
      <w:tr>
        <w:trPr/>
        <w:tc>
          <w:tcPr>
            <w:tcW w:w="658" w:type="dxa"/>
            <w:tcBorders>
              <w:bottom w:val="single" w:sz="12" w:space="0" w:color="000000"/>
            </w:tcBorders>
            <w:shd w:fill="CCEEFF" w:val="clear"/>
            <w:vAlign w:val="center"/>
          </w:tcPr>
          <w:p>
            <w:pPr>
              <w:pStyle w:val="TableContents"/>
              <w:bidi w:val="0"/>
              <w:spacing w:before="0" w:after="0"/>
              <w:jc w:val="left"/>
              <w:rPr/>
            </w:pPr>
            <w:hyperlink r:id="rId22">
              <w:r>
                <w:rPr>
                  <w:rStyle w:val="InternetLink"/>
                </w:rPr>
                <w:t>10.5+</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24" w:type="dxa"/>
            <w:tcBorders>
              <w:bottom w:val="single" w:sz="12" w:space="0" w:color="000000"/>
            </w:tcBorders>
            <w:shd w:fill="CCEEFF" w:val="clear"/>
            <w:vAlign w:val="center"/>
          </w:tcPr>
          <w:p>
            <w:pPr>
              <w:pStyle w:val="TableContents"/>
              <w:bidi w:val="0"/>
              <w:spacing w:before="0" w:after="0"/>
              <w:jc w:val="left"/>
              <w:rPr/>
            </w:pPr>
            <w:r>
              <w:rPr/>
              <w:t>Plasma Purchase Agreement, dated as of November 17, 2011, by and between Biotest Pharmaceuticals Corporation and ADMA Biologics, Inc., as amended by First Amendment to Plasma Purchase Agreement, dated as of December 1, 2011, by and between Biotest Pharmaceuticals Corporation and ADMA Biologics, Inc. (incorporated herein by reference to Exhibit 10.9 to Amendment No. 3 to the Company’s Current Report on Form 8-K/A, filed with the SEC on June 22, 2012).</w:t>
            </w:r>
          </w:p>
        </w:tc>
      </w:tr>
      <w:tr>
        <w:trPr/>
        <w:tc>
          <w:tcPr>
            <w:tcW w:w="658" w:type="dxa"/>
            <w:tcBorders>
              <w:bottom w:val="single" w:sz="12" w:space="0" w:color="000000"/>
            </w:tcBorders>
            <w:vAlign w:val="center"/>
          </w:tcPr>
          <w:p>
            <w:pPr>
              <w:pStyle w:val="TableContents"/>
              <w:bidi w:val="0"/>
              <w:spacing w:before="0" w:after="0"/>
              <w:jc w:val="left"/>
              <w:rPr/>
            </w:pPr>
            <w:hyperlink r:id="rId23">
              <w:r>
                <w:rPr>
                  <w:rStyle w:val="InternetLink"/>
                </w:rPr>
                <w:t>10.5.1+</w:t>
              </w:r>
            </w:hyperlink>
          </w:p>
        </w:tc>
        <w:tc>
          <w:tcPr>
            <w:tcW w:w="23" w:type="dxa"/>
            <w:tcBorders/>
            <w:tcMar>
              <w:bottom w:w="0" w:type="dxa"/>
            </w:tcMar>
            <w:vAlign w:val="center"/>
          </w:tcPr>
          <w:p>
            <w:pPr>
              <w:pStyle w:val="TableContents"/>
              <w:bidi w:val="0"/>
              <w:spacing w:before="0" w:after="283"/>
              <w:jc w:val="left"/>
              <w:rPr/>
            </w:pPr>
            <w:r>
              <w:rPr/>
            </w:r>
          </w:p>
        </w:tc>
        <w:tc>
          <w:tcPr>
            <w:tcW w:w="9524" w:type="dxa"/>
            <w:tcBorders>
              <w:bottom w:val="single" w:sz="12" w:space="0" w:color="000000"/>
            </w:tcBorders>
            <w:vAlign w:val="center"/>
          </w:tcPr>
          <w:p>
            <w:pPr>
              <w:pStyle w:val="TableContents"/>
              <w:bidi w:val="0"/>
              <w:spacing w:before="0" w:after="0"/>
              <w:jc w:val="left"/>
              <w:rPr/>
            </w:pPr>
            <w:r>
              <w:rPr/>
              <w:t>Second Amendment to Plasma Purchase Agreement, dated as of December 18, 2015, by and between Biotest Pharmaceuticals Corporation and ADMA Biologics, Inc. (incorporated herein by reference to Exhibit 10.3.1 to the Company’s Annual Report on Form 10-K, filed with the SEC on March 23, 2016).</w:t>
            </w:r>
          </w:p>
        </w:tc>
      </w:tr>
      <w:tr>
        <w:trPr/>
        <w:tc>
          <w:tcPr>
            <w:tcW w:w="658" w:type="dxa"/>
            <w:tcBorders>
              <w:bottom w:val="single" w:sz="12" w:space="0" w:color="000000"/>
            </w:tcBorders>
            <w:shd w:fill="CCEEFF" w:val="clear"/>
            <w:vAlign w:val="center"/>
          </w:tcPr>
          <w:p>
            <w:pPr>
              <w:pStyle w:val="TableContents"/>
              <w:bidi w:val="0"/>
              <w:spacing w:before="0" w:after="0"/>
              <w:jc w:val="left"/>
              <w:rPr/>
            </w:pPr>
            <w:hyperlink r:id="rId24">
              <w:r>
                <w:rPr>
                  <w:rStyle w:val="InternetLink"/>
                </w:rPr>
                <w:t>10.5.2</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24" w:type="dxa"/>
            <w:tcBorders>
              <w:bottom w:val="single" w:sz="12" w:space="0" w:color="000000"/>
            </w:tcBorders>
            <w:shd w:fill="CCEEFF" w:val="clear"/>
            <w:vAlign w:val="center"/>
          </w:tcPr>
          <w:p>
            <w:pPr>
              <w:pStyle w:val="TableContents"/>
              <w:bidi w:val="0"/>
              <w:spacing w:before="0" w:after="0"/>
              <w:jc w:val="left"/>
              <w:rPr/>
            </w:pPr>
            <w:r>
              <w:rPr/>
              <w:t>Third Amendment to Plasma Purchase Agreement, dated as of April 8, 2016, by and between Biotest Pharmaceuticals Corporation and ADMA Biologics, Inc. (incorporated herein by reference to Exhibit 10.3.2 to the Company’s Quarterly Report on Form 10-Q, filed with the SEC on May 13, 2016).</w:t>
            </w:r>
          </w:p>
        </w:tc>
      </w:tr>
      <w:tr>
        <w:trPr/>
        <w:tc>
          <w:tcPr>
            <w:tcW w:w="658" w:type="dxa"/>
            <w:tcBorders>
              <w:bottom w:val="single" w:sz="12" w:space="0" w:color="000000"/>
            </w:tcBorders>
            <w:vAlign w:val="center"/>
          </w:tcPr>
          <w:p>
            <w:pPr>
              <w:pStyle w:val="TableContents"/>
              <w:bidi w:val="0"/>
              <w:spacing w:before="0" w:after="0"/>
              <w:jc w:val="left"/>
              <w:rPr/>
            </w:pPr>
            <w:hyperlink r:id="rId25">
              <w:r>
                <w:rPr>
                  <w:rStyle w:val="InternetLink"/>
                </w:rPr>
                <w:t>10.5.3</w:t>
              </w:r>
            </w:hyperlink>
          </w:p>
        </w:tc>
        <w:tc>
          <w:tcPr>
            <w:tcW w:w="23" w:type="dxa"/>
            <w:tcBorders/>
            <w:tcMar>
              <w:bottom w:w="0" w:type="dxa"/>
            </w:tcMar>
            <w:vAlign w:val="center"/>
          </w:tcPr>
          <w:p>
            <w:pPr>
              <w:pStyle w:val="TableContents"/>
              <w:bidi w:val="0"/>
              <w:spacing w:before="0" w:after="283"/>
              <w:jc w:val="left"/>
              <w:rPr/>
            </w:pPr>
            <w:r>
              <w:rPr/>
            </w:r>
          </w:p>
        </w:tc>
        <w:tc>
          <w:tcPr>
            <w:tcW w:w="9524" w:type="dxa"/>
            <w:tcBorders>
              <w:bottom w:val="single" w:sz="12" w:space="0" w:color="000000"/>
            </w:tcBorders>
            <w:vAlign w:val="center"/>
          </w:tcPr>
          <w:p>
            <w:pPr>
              <w:pStyle w:val="TableContents"/>
              <w:bidi w:val="0"/>
              <w:spacing w:before="0" w:after="0"/>
              <w:jc w:val="left"/>
              <w:rPr/>
            </w:pPr>
            <w:r>
              <w:rPr/>
              <w:t>Fourth Amendment to Plasma Purchase Agreement, dated as of June 6, 2017, by and between Biotest Pharmaceuticals Corporation and ADMA Biologics, Inc. (incorporated herein by reference to Exhibit 10.9 to the Company’s Quarterly Report on Form 10-Q, filed with the SEC on August 11, 2017).</w:t>
            </w:r>
          </w:p>
        </w:tc>
      </w:tr>
      <w:tr>
        <w:trPr/>
        <w:tc>
          <w:tcPr>
            <w:tcW w:w="658" w:type="dxa"/>
            <w:tcBorders>
              <w:bottom w:val="single" w:sz="12" w:space="0" w:color="000000"/>
            </w:tcBorders>
            <w:shd w:fill="CCEEFF" w:val="clear"/>
            <w:vAlign w:val="center"/>
          </w:tcPr>
          <w:p>
            <w:pPr>
              <w:pStyle w:val="TableContents"/>
              <w:bidi w:val="0"/>
              <w:spacing w:before="0" w:after="0"/>
              <w:jc w:val="left"/>
              <w:rPr/>
            </w:pPr>
            <w:hyperlink r:id="rId26">
              <w:r>
                <w:rPr>
                  <w:rStyle w:val="InternetLink"/>
                </w:rPr>
                <w:t>10.5.4+</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24" w:type="dxa"/>
            <w:tcBorders>
              <w:bottom w:val="single" w:sz="12" w:space="0" w:color="000000"/>
            </w:tcBorders>
            <w:shd w:fill="CCEEFF" w:val="clear"/>
            <w:vAlign w:val="center"/>
          </w:tcPr>
          <w:p>
            <w:pPr>
              <w:pStyle w:val="TableContents"/>
              <w:bidi w:val="0"/>
              <w:spacing w:before="0" w:after="0"/>
              <w:jc w:val="left"/>
              <w:rPr/>
            </w:pPr>
            <w:r>
              <w:rPr/>
              <w:t>Fifth Amendment to Plasma Purchase Agreement, dated as of January 1, 2019, by and between Grifols Worldwide Operations Limited (as successor-in-interest to Biotest Pharmaceuticals Corporation) and ADMA Biologics, Inc. (incorporated herein by reference to Exhibit 10.1 to the Company’s Current Report on Form 8-K, filed with the SEC on January 2, 2019).</w:t>
            </w:r>
          </w:p>
        </w:tc>
      </w:tr>
      <w:tr>
        <w:trPr/>
        <w:tc>
          <w:tcPr>
            <w:tcW w:w="658" w:type="dxa"/>
            <w:tcBorders>
              <w:bottom w:val="single" w:sz="12" w:space="0" w:color="000000"/>
            </w:tcBorders>
            <w:vAlign w:val="center"/>
          </w:tcPr>
          <w:p>
            <w:pPr>
              <w:pStyle w:val="TableContents"/>
              <w:bidi w:val="0"/>
              <w:spacing w:before="0" w:after="0"/>
              <w:jc w:val="left"/>
              <w:rPr/>
            </w:pPr>
            <w:hyperlink r:id="rId27">
              <w:r>
                <w:rPr>
                  <w:rStyle w:val="InternetLink"/>
                </w:rPr>
                <w:t>10.6+</w:t>
              </w:r>
            </w:hyperlink>
          </w:p>
        </w:tc>
        <w:tc>
          <w:tcPr>
            <w:tcW w:w="23" w:type="dxa"/>
            <w:tcBorders/>
            <w:tcMar>
              <w:bottom w:w="0" w:type="dxa"/>
            </w:tcMar>
            <w:vAlign w:val="center"/>
          </w:tcPr>
          <w:p>
            <w:pPr>
              <w:pStyle w:val="TableContents"/>
              <w:bidi w:val="0"/>
              <w:spacing w:before="0" w:after="283"/>
              <w:jc w:val="left"/>
              <w:rPr/>
            </w:pPr>
            <w:r>
              <w:rPr/>
            </w:r>
          </w:p>
        </w:tc>
        <w:tc>
          <w:tcPr>
            <w:tcW w:w="9524" w:type="dxa"/>
            <w:tcBorders>
              <w:bottom w:val="single" w:sz="12" w:space="0" w:color="000000"/>
            </w:tcBorders>
            <w:vAlign w:val="center"/>
          </w:tcPr>
          <w:p>
            <w:pPr>
              <w:pStyle w:val="TableContents"/>
              <w:bidi w:val="0"/>
              <w:spacing w:before="0" w:after="0"/>
              <w:jc w:val="left"/>
              <w:rPr/>
            </w:pPr>
            <w:r>
              <w:rPr/>
              <w:t>Plasma Supply Agreement, dated as of June 6, 2017, by and between ADMA BioManufacturing, LLC and Biotest Pharmaceuticals Corporation (incorporated herein by reference to Exhibit 10.5 to the Company’s Quarterly Report on Form 10-Q, filed with the SEC on August 11, 2017).</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28" w:type="dxa"/>
          <w:right w:w="0" w:type="dxa"/>
        </w:tblCellMar>
      </w:tblPr>
      <w:tblGrid>
        <w:gridCol w:w="652"/>
        <w:gridCol w:w="23"/>
        <w:gridCol w:w="9530"/>
      </w:tblGrid>
      <w:tr>
        <w:trPr/>
        <w:tc>
          <w:tcPr>
            <w:tcW w:w="652" w:type="dxa"/>
            <w:tcBorders>
              <w:bottom w:val="single" w:sz="12" w:space="0" w:color="000000"/>
            </w:tcBorders>
            <w:shd w:fill="CCEEFF" w:val="clear"/>
            <w:vAlign w:val="center"/>
          </w:tcPr>
          <w:p>
            <w:pPr>
              <w:pStyle w:val="TableContents"/>
              <w:bidi w:val="0"/>
              <w:spacing w:before="0" w:after="0"/>
              <w:jc w:val="left"/>
              <w:rPr/>
            </w:pPr>
            <w:hyperlink r:id="rId28">
              <w:r>
                <w:rPr>
                  <w:rStyle w:val="InternetLink"/>
                </w:rPr>
                <w:t>10.6.1+</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30" w:type="dxa"/>
            <w:tcBorders>
              <w:bottom w:val="single" w:sz="12" w:space="0" w:color="000000"/>
            </w:tcBorders>
            <w:shd w:fill="CCEEFF" w:val="clear"/>
            <w:vAlign w:val="center"/>
          </w:tcPr>
          <w:p>
            <w:pPr>
              <w:pStyle w:val="TableContents"/>
              <w:bidi w:val="0"/>
              <w:spacing w:before="0" w:after="0"/>
              <w:jc w:val="left"/>
              <w:rPr/>
            </w:pPr>
            <w:r>
              <w:rPr/>
              <w:t>Amendment #1 to the Plasma Supply Agreement, dated as of July 19, 2018, by and between Biotest Pharmaceuticals Corporation and ADMA BioManufacturing, LLC (incorporated herein by reference to Exhibit 10.2 to the Company’s Quarterly Report on Form 10-Q, filed with the SEC on August 10, 2018).</w:t>
            </w:r>
          </w:p>
        </w:tc>
      </w:tr>
      <w:tr>
        <w:trPr/>
        <w:tc>
          <w:tcPr>
            <w:tcW w:w="652" w:type="dxa"/>
            <w:tcBorders>
              <w:bottom w:val="single" w:sz="12" w:space="0" w:color="000000"/>
            </w:tcBorders>
            <w:vAlign w:val="center"/>
          </w:tcPr>
          <w:p>
            <w:pPr>
              <w:pStyle w:val="TableContents"/>
              <w:bidi w:val="0"/>
              <w:spacing w:before="0" w:after="0"/>
              <w:jc w:val="left"/>
              <w:rPr/>
            </w:pPr>
            <w:hyperlink r:id="rId29">
              <w:r>
                <w:rPr>
                  <w:rStyle w:val="InternetLink"/>
                </w:rPr>
                <w:t>10.7</w:t>
              </w:r>
            </w:hyperlink>
          </w:p>
        </w:tc>
        <w:tc>
          <w:tcPr>
            <w:tcW w:w="23" w:type="dxa"/>
            <w:tcBorders/>
            <w:tcMar>
              <w:bottom w:w="0" w:type="dxa"/>
            </w:tcMar>
            <w:vAlign w:val="center"/>
          </w:tcPr>
          <w:p>
            <w:pPr>
              <w:pStyle w:val="TableContents"/>
              <w:bidi w:val="0"/>
              <w:spacing w:before="0" w:after="283"/>
              <w:jc w:val="left"/>
              <w:rPr/>
            </w:pPr>
            <w:r>
              <w:rPr/>
            </w:r>
          </w:p>
        </w:tc>
        <w:tc>
          <w:tcPr>
            <w:tcW w:w="9530" w:type="dxa"/>
            <w:tcBorders>
              <w:bottom w:val="single" w:sz="12" w:space="0" w:color="000000"/>
            </w:tcBorders>
            <w:vAlign w:val="center"/>
          </w:tcPr>
          <w:p>
            <w:pPr>
              <w:pStyle w:val="TableContents"/>
              <w:bidi w:val="0"/>
              <w:spacing w:before="0" w:after="0"/>
              <w:jc w:val="left"/>
              <w:rPr/>
            </w:pPr>
            <w:r>
              <w:rPr/>
              <w:t>Amended and Restated Agreement for Services, effective as of January 1, 2016, as amended, by and between ADMA BioManufacturing, LLC and Areth LLC (incorporated herein by reference to Exhibit 10.18 to the Company’s Quarterly Report on Form 10-Q, filed with the SEC on August 12, 2016).</w:t>
            </w:r>
          </w:p>
        </w:tc>
      </w:tr>
      <w:tr>
        <w:trPr/>
        <w:tc>
          <w:tcPr>
            <w:tcW w:w="652" w:type="dxa"/>
            <w:tcBorders>
              <w:bottom w:val="single" w:sz="12" w:space="0" w:color="000000"/>
            </w:tcBorders>
            <w:shd w:fill="CCEEFF" w:val="clear"/>
            <w:vAlign w:val="center"/>
          </w:tcPr>
          <w:p>
            <w:pPr>
              <w:pStyle w:val="TableContents"/>
              <w:bidi w:val="0"/>
              <w:spacing w:before="0" w:after="0"/>
              <w:jc w:val="left"/>
              <w:rPr/>
            </w:pPr>
            <w:hyperlink r:id="rId30">
              <w:r>
                <w:rPr>
                  <w:rStyle w:val="InternetLink"/>
                </w:rPr>
                <w:t>10.8</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30" w:type="dxa"/>
            <w:tcBorders>
              <w:bottom w:val="single" w:sz="12" w:space="0" w:color="000000"/>
            </w:tcBorders>
            <w:shd w:fill="CCEEFF" w:val="clear"/>
            <w:vAlign w:val="center"/>
          </w:tcPr>
          <w:p>
            <w:pPr>
              <w:pStyle w:val="TableContents"/>
              <w:bidi w:val="0"/>
              <w:spacing w:before="0" w:after="0"/>
              <w:jc w:val="left"/>
              <w:rPr/>
            </w:pPr>
            <w:r>
              <w:rPr/>
              <w:t>Form of Indemnification Agreement (incorporated herein by reference to Exhibit 10.12 to the Company’s Current Report on Form 8-K, filed with the SEC on February 13, 2012).</w:t>
            </w:r>
          </w:p>
        </w:tc>
      </w:tr>
      <w:tr>
        <w:trPr/>
        <w:tc>
          <w:tcPr>
            <w:tcW w:w="652" w:type="dxa"/>
            <w:tcBorders>
              <w:bottom w:val="single" w:sz="12" w:space="0" w:color="000000"/>
            </w:tcBorders>
            <w:vAlign w:val="center"/>
          </w:tcPr>
          <w:p>
            <w:pPr>
              <w:pStyle w:val="TableContents"/>
              <w:bidi w:val="0"/>
              <w:spacing w:before="0" w:after="0"/>
              <w:jc w:val="left"/>
              <w:rPr/>
            </w:pPr>
            <w:hyperlink r:id="rId31">
              <w:r>
                <w:rPr>
                  <w:rStyle w:val="InternetLink"/>
                </w:rPr>
                <w:t>10.9+</w:t>
              </w:r>
            </w:hyperlink>
          </w:p>
        </w:tc>
        <w:tc>
          <w:tcPr>
            <w:tcW w:w="23" w:type="dxa"/>
            <w:tcBorders/>
            <w:tcMar>
              <w:bottom w:w="0" w:type="dxa"/>
            </w:tcMar>
            <w:vAlign w:val="center"/>
          </w:tcPr>
          <w:p>
            <w:pPr>
              <w:pStyle w:val="TableContents"/>
              <w:bidi w:val="0"/>
              <w:spacing w:before="0" w:after="283"/>
              <w:jc w:val="left"/>
              <w:rPr/>
            </w:pPr>
            <w:r>
              <w:rPr/>
            </w:r>
          </w:p>
        </w:tc>
        <w:tc>
          <w:tcPr>
            <w:tcW w:w="9530" w:type="dxa"/>
            <w:tcBorders>
              <w:bottom w:val="single" w:sz="12" w:space="0" w:color="000000"/>
            </w:tcBorders>
            <w:vAlign w:val="center"/>
          </w:tcPr>
          <w:p>
            <w:pPr>
              <w:pStyle w:val="TableContents"/>
              <w:bidi w:val="0"/>
              <w:spacing w:before="0" w:after="0"/>
              <w:jc w:val="left"/>
              <w:rPr/>
            </w:pPr>
            <w:r>
              <w:rPr/>
              <w:t>License Agreement, effective as of December 31, 2012, by and between ADMA Biologics, Inc. and Biotest AG (incorporated herein by reference to Exhibit 10.21 to the Company’s Registration Statement on Form S-1, filed with the SEC on February 11, 2013).</w:t>
            </w:r>
          </w:p>
        </w:tc>
      </w:tr>
      <w:tr>
        <w:trPr/>
        <w:tc>
          <w:tcPr>
            <w:tcW w:w="652" w:type="dxa"/>
            <w:tcBorders>
              <w:bottom w:val="single" w:sz="12" w:space="0" w:color="000000"/>
            </w:tcBorders>
            <w:shd w:fill="CCEEFF" w:val="clear"/>
            <w:vAlign w:val="center"/>
          </w:tcPr>
          <w:p>
            <w:pPr>
              <w:pStyle w:val="TableContents"/>
              <w:bidi w:val="0"/>
              <w:spacing w:before="0" w:after="0"/>
              <w:jc w:val="left"/>
              <w:rPr/>
            </w:pPr>
            <w:hyperlink r:id="rId32">
              <w:r>
                <w:rPr>
                  <w:rStyle w:val="InternetLink"/>
                </w:rPr>
                <w:t>10.9.1</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30" w:type="dxa"/>
            <w:tcBorders>
              <w:bottom w:val="single" w:sz="12" w:space="0" w:color="000000"/>
            </w:tcBorders>
            <w:shd w:fill="CCEEFF" w:val="clear"/>
            <w:vAlign w:val="center"/>
          </w:tcPr>
          <w:p>
            <w:pPr>
              <w:pStyle w:val="TableContents"/>
              <w:bidi w:val="0"/>
              <w:spacing w:before="0" w:after="0"/>
              <w:jc w:val="left"/>
              <w:rPr/>
            </w:pPr>
            <w:r>
              <w:rPr/>
              <w:t>First Amendment to License Agreement, dated as of June 6, 2017, by and between the Company and Biotest AG (incorporated herein by reference to Exhibit 10.8 to the Company’s Quarterly Report on Form 10-Q, filed with the SEC on August 11, 2017).</w:t>
            </w:r>
          </w:p>
        </w:tc>
      </w:tr>
      <w:tr>
        <w:trPr/>
        <w:tc>
          <w:tcPr>
            <w:tcW w:w="652" w:type="dxa"/>
            <w:tcBorders>
              <w:bottom w:val="single" w:sz="12" w:space="0" w:color="000000"/>
            </w:tcBorders>
            <w:vAlign w:val="center"/>
          </w:tcPr>
          <w:p>
            <w:pPr>
              <w:pStyle w:val="TableContents"/>
              <w:bidi w:val="0"/>
              <w:spacing w:before="0" w:after="0"/>
              <w:jc w:val="left"/>
              <w:rPr/>
            </w:pPr>
            <w:hyperlink r:id="rId33">
              <w:r>
                <w:rPr>
                  <w:rStyle w:val="InternetLink"/>
                </w:rPr>
                <w:t>10.10</w:t>
              </w:r>
            </w:hyperlink>
          </w:p>
        </w:tc>
        <w:tc>
          <w:tcPr>
            <w:tcW w:w="23" w:type="dxa"/>
            <w:tcBorders/>
            <w:tcMar>
              <w:bottom w:w="0" w:type="dxa"/>
            </w:tcMar>
            <w:vAlign w:val="center"/>
          </w:tcPr>
          <w:p>
            <w:pPr>
              <w:pStyle w:val="TableContents"/>
              <w:bidi w:val="0"/>
              <w:spacing w:before="0" w:after="283"/>
              <w:jc w:val="left"/>
              <w:rPr/>
            </w:pPr>
            <w:r>
              <w:rPr/>
            </w:r>
          </w:p>
        </w:tc>
        <w:tc>
          <w:tcPr>
            <w:tcW w:w="9530" w:type="dxa"/>
            <w:tcBorders>
              <w:bottom w:val="single" w:sz="12" w:space="0" w:color="000000"/>
            </w:tcBorders>
            <w:vAlign w:val="center"/>
          </w:tcPr>
          <w:p>
            <w:pPr>
              <w:pStyle w:val="TableContents"/>
              <w:bidi w:val="0"/>
              <w:spacing w:before="0" w:after="0"/>
              <w:ind w:left="50" w:right="0" w:hanging="0"/>
              <w:jc w:val="left"/>
              <w:rPr/>
            </w:pPr>
            <w:r>
              <w:rPr/>
              <w:t>Amendment 3 to the Amended and Restated Agreement for Services, effective as of November 7, 2019, by and between ADMA BioManufacturing, LLC and Areth LLC (incorporated herein by reference to the Exhibit 10.27 to the Company’s Annual Report on Form 10-K filed March 12, 2020).</w:t>
            </w:r>
          </w:p>
        </w:tc>
      </w:tr>
      <w:tr>
        <w:trPr/>
        <w:tc>
          <w:tcPr>
            <w:tcW w:w="652" w:type="dxa"/>
            <w:tcBorders>
              <w:bottom w:val="single" w:sz="12" w:space="0" w:color="000000"/>
            </w:tcBorders>
            <w:shd w:fill="CCEEFF" w:val="clear"/>
            <w:vAlign w:val="center"/>
          </w:tcPr>
          <w:p>
            <w:pPr>
              <w:pStyle w:val="TableContents"/>
              <w:bidi w:val="0"/>
              <w:spacing w:before="0" w:after="0"/>
              <w:jc w:val="left"/>
              <w:rPr/>
            </w:pPr>
            <w:hyperlink r:id="rId34">
              <w:r>
                <w:rPr>
                  <w:rStyle w:val="InternetLink"/>
                </w:rPr>
                <w:t>10.11</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30" w:type="dxa"/>
            <w:tcBorders>
              <w:bottom w:val="single" w:sz="12" w:space="0" w:color="000000"/>
            </w:tcBorders>
            <w:shd w:fill="CCEEFF" w:val="clear"/>
            <w:vAlign w:val="center"/>
          </w:tcPr>
          <w:p>
            <w:pPr>
              <w:pStyle w:val="TableContents"/>
              <w:bidi w:val="0"/>
              <w:spacing w:before="0" w:after="0"/>
              <w:jc w:val="left"/>
              <w:rPr/>
            </w:pPr>
            <w:r>
              <w:rPr/>
              <w:t>Amendment 4 to the Amended and Restated Agreement For Services Between ADMA BioManufacturing, LLC and Areth LLC (incorporated by reference to Exhibit 10.1 to the Company’s Quarterly Report on Form 10-Q filed on November 9, 2022).</w:t>
            </w:r>
          </w:p>
        </w:tc>
      </w:tr>
      <w:tr>
        <w:trPr/>
        <w:tc>
          <w:tcPr>
            <w:tcW w:w="652" w:type="dxa"/>
            <w:tcBorders>
              <w:bottom w:val="single" w:sz="12" w:space="0" w:color="000000"/>
            </w:tcBorders>
            <w:vAlign w:val="center"/>
          </w:tcPr>
          <w:p>
            <w:pPr>
              <w:pStyle w:val="TableContents"/>
              <w:bidi w:val="0"/>
              <w:spacing w:before="0" w:after="0"/>
              <w:jc w:val="left"/>
              <w:rPr/>
            </w:pPr>
            <w:hyperlink r:id="rId35">
              <w:r>
                <w:rPr>
                  <w:rStyle w:val="InternetLink"/>
                </w:rPr>
                <w:t>10.12</w:t>
              </w:r>
            </w:hyperlink>
          </w:p>
        </w:tc>
        <w:tc>
          <w:tcPr>
            <w:tcW w:w="23" w:type="dxa"/>
            <w:tcBorders/>
            <w:tcMar>
              <w:bottom w:w="0" w:type="dxa"/>
            </w:tcMar>
            <w:vAlign w:val="center"/>
          </w:tcPr>
          <w:p>
            <w:pPr>
              <w:pStyle w:val="TableContents"/>
              <w:bidi w:val="0"/>
              <w:spacing w:before="0" w:after="283"/>
              <w:jc w:val="left"/>
              <w:rPr/>
            </w:pPr>
            <w:r>
              <w:rPr/>
            </w:r>
          </w:p>
        </w:tc>
        <w:tc>
          <w:tcPr>
            <w:tcW w:w="9530" w:type="dxa"/>
            <w:tcBorders>
              <w:bottom w:val="single" w:sz="12" w:space="0" w:color="000000"/>
            </w:tcBorders>
            <w:vAlign w:val="center"/>
          </w:tcPr>
          <w:p>
            <w:pPr>
              <w:pStyle w:val="TableContents"/>
              <w:bidi w:val="0"/>
              <w:spacing w:before="0" w:after="0"/>
              <w:jc w:val="left"/>
              <w:rPr/>
            </w:pPr>
            <w:r>
              <w:rPr/>
              <w:t>Distribution Agreement, dated September 3, 2021, by and between ADMA Biologics, Inc. and Raymond James &amp; Associates, Inc. (incorporated by reference to Exhibit 1.1 to the Company’s Current Report on Form 8-K filed on September 3, 2021).</w:t>
            </w:r>
          </w:p>
        </w:tc>
      </w:tr>
      <w:tr>
        <w:trPr/>
        <w:tc>
          <w:tcPr>
            <w:tcW w:w="652" w:type="dxa"/>
            <w:tcBorders>
              <w:bottom w:val="single" w:sz="12" w:space="0" w:color="000000"/>
            </w:tcBorders>
            <w:shd w:fill="CCEEFF" w:val="clear"/>
            <w:vAlign w:val="center"/>
          </w:tcPr>
          <w:p>
            <w:pPr>
              <w:pStyle w:val="TableContents"/>
              <w:bidi w:val="0"/>
              <w:spacing w:before="0" w:after="0"/>
              <w:jc w:val="left"/>
              <w:rPr/>
            </w:pPr>
            <w:hyperlink r:id="rId36">
              <w:r>
                <w:rPr>
                  <w:rStyle w:val="InternetLink"/>
                </w:rPr>
                <w:t>10.13</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30" w:type="dxa"/>
            <w:tcBorders>
              <w:bottom w:val="single" w:sz="12" w:space="0" w:color="000000"/>
            </w:tcBorders>
            <w:shd w:fill="CCEEFF" w:val="clear"/>
            <w:vAlign w:val="center"/>
          </w:tcPr>
          <w:p>
            <w:pPr>
              <w:pStyle w:val="TableContents"/>
              <w:bidi w:val="0"/>
              <w:spacing w:before="0" w:after="0"/>
              <w:jc w:val="left"/>
              <w:rPr/>
            </w:pPr>
            <w:r>
              <w:rPr/>
              <w:t>Form of Retention Bonus Agreement (incorporated by reference to Exhibit 10.1 to the Company’s Current Report on Form 8-K filed on October 1, 2021).</w:t>
            </w:r>
          </w:p>
        </w:tc>
      </w:tr>
      <w:tr>
        <w:trPr/>
        <w:tc>
          <w:tcPr>
            <w:tcW w:w="652" w:type="dxa"/>
            <w:tcBorders>
              <w:bottom w:val="single" w:sz="12" w:space="0" w:color="000000"/>
            </w:tcBorders>
            <w:vAlign w:val="center"/>
          </w:tcPr>
          <w:p>
            <w:pPr>
              <w:pStyle w:val="TableContents"/>
              <w:bidi w:val="0"/>
              <w:spacing w:before="0" w:after="0"/>
              <w:jc w:val="left"/>
              <w:rPr/>
            </w:pPr>
            <w:hyperlink r:id="rId37">
              <w:r>
                <w:rPr>
                  <w:rStyle w:val="InternetLink"/>
                </w:rPr>
                <w:t>10.14†</w:t>
              </w:r>
            </w:hyperlink>
          </w:p>
        </w:tc>
        <w:tc>
          <w:tcPr>
            <w:tcW w:w="23" w:type="dxa"/>
            <w:tcBorders/>
            <w:tcMar>
              <w:bottom w:w="0" w:type="dxa"/>
            </w:tcMar>
            <w:vAlign w:val="center"/>
          </w:tcPr>
          <w:p>
            <w:pPr>
              <w:pStyle w:val="TableContents"/>
              <w:bidi w:val="0"/>
              <w:spacing w:before="0" w:after="283"/>
              <w:jc w:val="left"/>
              <w:rPr/>
            </w:pPr>
            <w:r>
              <w:rPr/>
            </w:r>
          </w:p>
        </w:tc>
        <w:tc>
          <w:tcPr>
            <w:tcW w:w="9530" w:type="dxa"/>
            <w:tcBorders>
              <w:bottom w:val="single" w:sz="12" w:space="0" w:color="000000"/>
            </w:tcBorders>
            <w:vAlign w:val="center"/>
          </w:tcPr>
          <w:p>
            <w:pPr>
              <w:pStyle w:val="TableContents"/>
              <w:bidi w:val="0"/>
              <w:spacing w:before="0" w:after="0"/>
              <w:jc w:val="left"/>
              <w:rPr/>
            </w:pPr>
            <w:r>
              <w:rPr/>
              <w:t>ADMA Biologics, Inc. 2022 Equity Compensation Plan (incorporated herein by reference to Exhibit 10.1 to the Registrant’s Current Report on Form 8-K filed with the Commission on June 21, 2022)</w:t>
            </w:r>
          </w:p>
        </w:tc>
      </w:tr>
      <w:tr>
        <w:trPr/>
        <w:tc>
          <w:tcPr>
            <w:tcW w:w="652" w:type="dxa"/>
            <w:tcBorders>
              <w:bottom w:val="single" w:sz="12" w:space="0" w:color="000000"/>
            </w:tcBorders>
            <w:shd w:fill="CCEEFF" w:val="clear"/>
            <w:vAlign w:val="center"/>
          </w:tcPr>
          <w:p>
            <w:pPr>
              <w:pStyle w:val="TableContents"/>
              <w:bidi w:val="0"/>
              <w:spacing w:before="0" w:after="0"/>
              <w:jc w:val="left"/>
              <w:rPr/>
            </w:pPr>
            <w:hyperlink r:id="rId38">
              <w:r>
                <w:rPr>
                  <w:rStyle w:val="InternetLink"/>
                </w:rPr>
                <w:t>10.15</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530" w:type="dxa"/>
            <w:tcBorders>
              <w:bottom w:val="single" w:sz="12" w:space="0" w:color="000000"/>
            </w:tcBorders>
            <w:shd w:fill="CCEEFF" w:val="clear"/>
            <w:vAlign w:val="center"/>
          </w:tcPr>
          <w:p>
            <w:pPr>
              <w:pStyle w:val="TableContents"/>
              <w:bidi w:val="0"/>
              <w:spacing w:before="0" w:after="0"/>
              <w:jc w:val="left"/>
              <w:rPr/>
            </w:pPr>
            <w:r>
              <w:rPr/>
              <w:t>Credit Agreement, dated as of December 18, 2023, by and among the Company, as Administrative Borrower, ADMA BioManufacturing, LLC, ADMA Plasma Biologics, Inc. and ADMA BioCenters Georgia Inc., each as Borrowers, certain subsidiaries of the Company, as Guarantors, from time to time party thereto, the Lenders from time to time party thereto, Ares Capital Corporation, as Administrative Agent and as Collateral Agent, and ACF FINCO I LP, as Revolving Agent (incorporated herein by reference to Exhibit 10.1 to the Registrant’s Current Report on Form 8-K filed with the Commission on December 18, 2023)</w:t>
            </w:r>
          </w:p>
        </w:tc>
      </w:tr>
      <w:tr>
        <w:trPr/>
        <w:tc>
          <w:tcPr>
            <w:tcW w:w="652" w:type="dxa"/>
            <w:tcBorders>
              <w:bottom w:val="single" w:sz="12" w:space="0" w:color="000000"/>
            </w:tcBorders>
            <w:vAlign w:val="center"/>
          </w:tcPr>
          <w:p>
            <w:pPr>
              <w:pStyle w:val="TableContents"/>
              <w:bidi w:val="0"/>
              <w:spacing w:before="0" w:after="0"/>
              <w:jc w:val="left"/>
              <w:rPr/>
            </w:pPr>
            <w:hyperlink r:id="rId39">
              <w:r>
                <w:rPr>
                  <w:rStyle w:val="InternetLink"/>
                </w:rPr>
                <w:t>10.16</w:t>
              </w:r>
            </w:hyperlink>
          </w:p>
        </w:tc>
        <w:tc>
          <w:tcPr>
            <w:tcW w:w="23" w:type="dxa"/>
            <w:tcBorders/>
            <w:tcMar>
              <w:bottom w:w="0" w:type="dxa"/>
            </w:tcMar>
            <w:vAlign w:val="center"/>
          </w:tcPr>
          <w:p>
            <w:pPr>
              <w:pStyle w:val="TableContents"/>
              <w:bidi w:val="0"/>
              <w:spacing w:before="0" w:after="283"/>
              <w:jc w:val="left"/>
              <w:rPr/>
            </w:pPr>
            <w:r>
              <w:rPr/>
            </w:r>
          </w:p>
        </w:tc>
        <w:tc>
          <w:tcPr>
            <w:tcW w:w="9530" w:type="dxa"/>
            <w:tcBorders>
              <w:bottom w:val="single" w:sz="12" w:space="0" w:color="000000"/>
            </w:tcBorders>
            <w:vAlign w:val="center"/>
          </w:tcPr>
          <w:p>
            <w:pPr>
              <w:pStyle w:val="TableContents"/>
              <w:bidi w:val="0"/>
              <w:spacing w:before="0" w:after="0"/>
              <w:jc w:val="left"/>
              <w:rPr/>
            </w:pPr>
            <w:r>
              <w:rPr/>
              <w:t>Security Agreement, dated as of December 18, 2023, by and among the Company, ADMA BioManufacturing, LLC, ADMA Plasma Biologics, Inc. and ADMA BioCenters Georgia, Inc., as Grantors, and Ares Capital Corporation, as Collateral Agent (incorporated herein by reference to Exhibit 10.2 to the Registrant’s Current Report on Form 8-K filed with the Commission on December 18, 2023)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28" w:type="dxa"/>
          <w:right w:w="0" w:type="dxa"/>
        </w:tblCellMar>
      </w:tblPr>
      <w:tblGrid>
        <w:gridCol w:w="488"/>
        <w:gridCol w:w="23"/>
        <w:gridCol w:w="9694"/>
      </w:tblGrid>
      <w:tr>
        <w:trPr/>
        <w:tc>
          <w:tcPr>
            <w:tcW w:w="488" w:type="dxa"/>
            <w:tcBorders>
              <w:bottom w:val="single" w:sz="12" w:space="0" w:color="000000"/>
            </w:tcBorders>
            <w:shd w:fill="CCEEFF" w:val="clear"/>
            <w:vAlign w:val="center"/>
          </w:tcPr>
          <w:p>
            <w:pPr>
              <w:pStyle w:val="TableContents"/>
              <w:bidi w:val="0"/>
              <w:spacing w:before="0" w:after="0"/>
              <w:jc w:val="left"/>
              <w:rPr/>
            </w:pPr>
            <w:hyperlink w:anchor="ef20015264_ex21-1.htm">
              <w:r>
                <w:rPr>
                  <w:rStyle w:val="InternetLink"/>
                </w:rPr>
                <w:t>21.1*</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694" w:type="dxa"/>
            <w:tcBorders>
              <w:bottom w:val="single" w:sz="12" w:space="0" w:color="000000"/>
            </w:tcBorders>
            <w:shd w:fill="CCEEFF" w:val="clear"/>
            <w:vAlign w:val="center"/>
          </w:tcPr>
          <w:p>
            <w:pPr>
              <w:pStyle w:val="TableContents"/>
              <w:bidi w:val="0"/>
              <w:spacing w:before="0" w:after="0"/>
              <w:jc w:val="left"/>
              <w:rPr/>
            </w:pPr>
            <w:r>
              <w:rPr/>
              <w:t>Subsidiaries of the Company.</w:t>
            </w:r>
          </w:p>
        </w:tc>
      </w:tr>
      <w:tr>
        <w:trPr/>
        <w:tc>
          <w:tcPr>
            <w:tcW w:w="488" w:type="dxa"/>
            <w:tcBorders>
              <w:bottom w:val="single" w:sz="12" w:space="0" w:color="000000"/>
            </w:tcBorders>
            <w:vAlign w:val="center"/>
          </w:tcPr>
          <w:p>
            <w:pPr>
              <w:pStyle w:val="TableContents"/>
              <w:bidi w:val="0"/>
              <w:spacing w:before="0" w:after="0"/>
              <w:jc w:val="left"/>
              <w:rPr/>
            </w:pPr>
            <w:hyperlink w:anchor="ef20015264_ex23-1.htm">
              <w:r>
                <w:rPr>
                  <w:rStyle w:val="InternetLink"/>
                </w:rPr>
                <w:t>23.1*</w:t>
              </w:r>
            </w:hyperlink>
          </w:p>
        </w:tc>
        <w:tc>
          <w:tcPr>
            <w:tcW w:w="23" w:type="dxa"/>
            <w:tcBorders/>
            <w:tcMar>
              <w:bottom w:w="0" w:type="dxa"/>
            </w:tcMar>
            <w:vAlign w:val="center"/>
          </w:tcPr>
          <w:p>
            <w:pPr>
              <w:pStyle w:val="TableContents"/>
              <w:bidi w:val="0"/>
              <w:spacing w:before="0" w:after="283"/>
              <w:jc w:val="left"/>
              <w:rPr/>
            </w:pPr>
            <w:r>
              <w:rPr/>
            </w:r>
          </w:p>
        </w:tc>
        <w:tc>
          <w:tcPr>
            <w:tcW w:w="9694" w:type="dxa"/>
            <w:tcBorders>
              <w:bottom w:val="single" w:sz="12" w:space="0" w:color="000000"/>
            </w:tcBorders>
            <w:vAlign w:val="center"/>
          </w:tcPr>
          <w:p>
            <w:pPr>
              <w:pStyle w:val="TableContents"/>
              <w:bidi w:val="0"/>
              <w:spacing w:before="0" w:after="0"/>
              <w:jc w:val="left"/>
              <w:rPr/>
            </w:pPr>
            <w:r>
              <w:rPr/>
              <w:t>Consent of CohnReznick LLP.</w:t>
            </w:r>
          </w:p>
        </w:tc>
      </w:tr>
      <w:tr>
        <w:trPr/>
        <w:tc>
          <w:tcPr>
            <w:tcW w:w="488" w:type="dxa"/>
            <w:tcBorders>
              <w:bottom w:val="single" w:sz="12" w:space="0" w:color="000000"/>
            </w:tcBorders>
            <w:shd w:fill="CCEEFF" w:val="clear"/>
            <w:vAlign w:val="center"/>
          </w:tcPr>
          <w:p>
            <w:pPr>
              <w:pStyle w:val="TableContents"/>
              <w:bidi w:val="0"/>
              <w:spacing w:before="0" w:after="0"/>
              <w:jc w:val="left"/>
              <w:rPr/>
            </w:pPr>
            <w:hyperlink w:anchor="ef20015264_ex31-1.htm">
              <w:r>
                <w:rPr>
                  <w:rStyle w:val="InternetLink"/>
                </w:rPr>
                <w:t>31.1*</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694" w:type="dxa"/>
            <w:tcBorders>
              <w:bottom w:val="single" w:sz="12" w:space="0" w:color="000000"/>
            </w:tcBorders>
            <w:shd w:fill="CCEEFF" w:val="clear"/>
            <w:vAlign w:val="center"/>
          </w:tcPr>
          <w:p>
            <w:pPr>
              <w:pStyle w:val="TableContents"/>
              <w:bidi w:val="0"/>
              <w:spacing w:before="0" w:after="0"/>
              <w:jc w:val="left"/>
              <w:rPr/>
            </w:pPr>
            <w:r>
              <w:rPr/>
              <w:t>Certification of Principal Executive Officer pursuant to Rules 13a-14(a) and 15d-14(a), as adopted pursuant to Section 302 of the Sarbanes-Oxley Act of 2002.</w:t>
            </w:r>
          </w:p>
        </w:tc>
      </w:tr>
      <w:tr>
        <w:trPr/>
        <w:tc>
          <w:tcPr>
            <w:tcW w:w="488" w:type="dxa"/>
            <w:tcBorders>
              <w:bottom w:val="single" w:sz="12" w:space="0" w:color="000000"/>
            </w:tcBorders>
            <w:vAlign w:val="center"/>
          </w:tcPr>
          <w:p>
            <w:pPr>
              <w:pStyle w:val="TableContents"/>
              <w:bidi w:val="0"/>
              <w:spacing w:before="0" w:after="0"/>
              <w:jc w:val="left"/>
              <w:rPr/>
            </w:pPr>
            <w:hyperlink w:anchor="ef20015264_ex31-2.htm">
              <w:r>
                <w:rPr>
                  <w:rStyle w:val="InternetLink"/>
                </w:rPr>
                <w:t>31.2*</w:t>
              </w:r>
            </w:hyperlink>
          </w:p>
        </w:tc>
        <w:tc>
          <w:tcPr>
            <w:tcW w:w="23" w:type="dxa"/>
            <w:tcBorders/>
            <w:tcMar>
              <w:bottom w:w="0" w:type="dxa"/>
            </w:tcMar>
            <w:vAlign w:val="center"/>
          </w:tcPr>
          <w:p>
            <w:pPr>
              <w:pStyle w:val="TableContents"/>
              <w:bidi w:val="0"/>
              <w:spacing w:before="0" w:after="283"/>
              <w:jc w:val="left"/>
              <w:rPr/>
            </w:pPr>
            <w:r>
              <w:rPr/>
            </w:r>
          </w:p>
        </w:tc>
        <w:tc>
          <w:tcPr>
            <w:tcW w:w="9694" w:type="dxa"/>
            <w:tcBorders>
              <w:bottom w:val="single" w:sz="12" w:space="0" w:color="000000"/>
            </w:tcBorders>
            <w:vAlign w:val="center"/>
          </w:tcPr>
          <w:p>
            <w:pPr>
              <w:pStyle w:val="TableContents"/>
              <w:bidi w:val="0"/>
              <w:spacing w:before="0" w:after="0"/>
              <w:jc w:val="left"/>
              <w:rPr/>
            </w:pPr>
            <w:r>
              <w:rPr/>
              <w:t>Certification of Principal Financial Officer pursuant to Rules 13a-14(a) and 15d-14(a), as adopted pursuant to Section 302 of the Sarbanes-Oxley Act of 2002.</w:t>
            </w:r>
          </w:p>
        </w:tc>
      </w:tr>
      <w:tr>
        <w:trPr/>
        <w:tc>
          <w:tcPr>
            <w:tcW w:w="488" w:type="dxa"/>
            <w:tcBorders>
              <w:bottom w:val="single" w:sz="12" w:space="0" w:color="000000"/>
            </w:tcBorders>
            <w:shd w:fill="CCEEFF" w:val="clear"/>
            <w:vAlign w:val="center"/>
          </w:tcPr>
          <w:p>
            <w:pPr>
              <w:pStyle w:val="TableContents"/>
              <w:bidi w:val="0"/>
              <w:spacing w:before="0" w:after="0"/>
              <w:jc w:val="left"/>
              <w:rPr/>
            </w:pPr>
            <w:hyperlink w:anchor="ef20015264_ex32-1.htm">
              <w:r>
                <w:rPr>
                  <w:rStyle w:val="InternetLink"/>
                </w:rPr>
                <w:t>32.1**</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694" w:type="dxa"/>
            <w:tcBorders>
              <w:bottom w:val="single" w:sz="12" w:space="0" w:color="000000"/>
            </w:tcBorders>
            <w:shd w:fill="CCEEFF" w:val="clear"/>
            <w:vAlign w:val="center"/>
          </w:tcPr>
          <w:p>
            <w:pPr>
              <w:pStyle w:val="TableContents"/>
              <w:bidi w:val="0"/>
              <w:spacing w:before="0" w:after="0"/>
              <w:jc w:val="left"/>
              <w:rPr/>
            </w:pPr>
            <w:r>
              <w:rPr/>
              <w:t>Certification of Principal Executive Officer pursuant to 18 U.S.C. Section 1350, as adopted pursuant to Section 906 of the Sarbanes-Oxley Act of 2002.</w:t>
            </w:r>
          </w:p>
        </w:tc>
      </w:tr>
      <w:tr>
        <w:trPr/>
        <w:tc>
          <w:tcPr>
            <w:tcW w:w="488" w:type="dxa"/>
            <w:tcBorders>
              <w:bottom w:val="single" w:sz="12" w:space="0" w:color="000000"/>
            </w:tcBorders>
            <w:vAlign w:val="center"/>
          </w:tcPr>
          <w:p>
            <w:pPr>
              <w:pStyle w:val="TableContents"/>
              <w:bidi w:val="0"/>
              <w:spacing w:before="0" w:after="0"/>
              <w:jc w:val="left"/>
              <w:rPr/>
            </w:pPr>
            <w:hyperlink w:anchor="ef20015264_ex32-2.htm">
              <w:r>
                <w:rPr>
                  <w:rStyle w:val="InternetLink"/>
                </w:rPr>
                <w:t>32.2**</w:t>
              </w:r>
            </w:hyperlink>
          </w:p>
        </w:tc>
        <w:tc>
          <w:tcPr>
            <w:tcW w:w="23" w:type="dxa"/>
            <w:tcBorders/>
            <w:tcMar>
              <w:bottom w:w="0" w:type="dxa"/>
            </w:tcMar>
            <w:vAlign w:val="center"/>
          </w:tcPr>
          <w:p>
            <w:pPr>
              <w:pStyle w:val="TableContents"/>
              <w:bidi w:val="0"/>
              <w:spacing w:before="0" w:after="283"/>
              <w:jc w:val="left"/>
              <w:rPr/>
            </w:pPr>
            <w:r>
              <w:rPr/>
            </w:r>
          </w:p>
        </w:tc>
        <w:tc>
          <w:tcPr>
            <w:tcW w:w="9694" w:type="dxa"/>
            <w:tcBorders>
              <w:bottom w:val="single" w:sz="12" w:space="0" w:color="000000"/>
            </w:tcBorders>
            <w:vAlign w:val="center"/>
          </w:tcPr>
          <w:p>
            <w:pPr>
              <w:pStyle w:val="TableContents"/>
              <w:bidi w:val="0"/>
              <w:spacing w:before="0" w:after="0"/>
              <w:jc w:val="left"/>
              <w:rPr/>
            </w:pPr>
            <w:r>
              <w:rPr/>
              <w:t>Certification of Principal Financial Officer pursuant to 18 U.S.C. Section 1350, as adopted pursuant to Section 906 of the Sarbanes-Oxley Act of 2002.</w:t>
            </w:r>
          </w:p>
        </w:tc>
      </w:tr>
      <w:tr>
        <w:trPr/>
        <w:tc>
          <w:tcPr>
            <w:tcW w:w="488" w:type="dxa"/>
            <w:tcBorders>
              <w:bottom w:val="single" w:sz="12" w:space="0" w:color="000000"/>
            </w:tcBorders>
            <w:shd w:fill="CCEEFF" w:val="clear"/>
            <w:vAlign w:val="center"/>
          </w:tcPr>
          <w:p>
            <w:pPr>
              <w:pStyle w:val="TableContents"/>
              <w:bidi w:val="0"/>
              <w:spacing w:before="0" w:after="0"/>
              <w:jc w:val="left"/>
              <w:rPr/>
            </w:pPr>
            <w:hyperlink w:anchor="ef20015264_ex97.htm">
              <w:r>
                <w:rPr>
                  <w:rStyle w:val="InternetLink"/>
                </w:rPr>
                <w:t>97*</w:t>
              </w:r>
            </w:hyperlink>
          </w:p>
        </w:tc>
        <w:tc>
          <w:tcPr>
            <w:tcW w:w="23" w:type="dxa"/>
            <w:tcBorders/>
            <w:shd w:fill="CCEEFF" w:val="clear"/>
            <w:tcMar>
              <w:bottom w:w="0" w:type="dxa"/>
            </w:tcMar>
            <w:vAlign w:val="center"/>
          </w:tcPr>
          <w:p>
            <w:pPr>
              <w:pStyle w:val="TableContents"/>
              <w:bidi w:val="0"/>
              <w:spacing w:before="0" w:after="283"/>
              <w:jc w:val="left"/>
              <w:rPr/>
            </w:pPr>
            <w:r>
              <w:rPr/>
            </w:r>
          </w:p>
        </w:tc>
        <w:tc>
          <w:tcPr>
            <w:tcW w:w="9694" w:type="dxa"/>
            <w:tcBorders>
              <w:bottom w:val="single" w:sz="12" w:space="0" w:color="000000"/>
            </w:tcBorders>
            <w:shd w:fill="CCEEFF" w:val="clear"/>
            <w:vAlign w:val="center"/>
          </w:tcPr>
          <w:p>
            <w:pPr>
              <w:pStyle w:val="TableContents"/>
              <w:bidi w:val="0"/>
              <w:spacing w:before="0" w:after="0"/>
              <w:jc w:val="left"/>
              <w:rPr/>
            </w:pPr>
            <w:r>
              <w:rPr/>
              <w:t>ADMA Biologics, Inc. Compensation Recoupment Policy</w:t>
            </w:r>
          </w:p>
        </w:tc>
      </w:tr>
      <w:tr>
        <w:trPr/>
        <w:tc>
          <w:tcPr>
            <w:tcW w:w="488" w:type="dxa"/>
            <w:tcBorders/>
            <w:tcMar>
              <w:bottom w:w="0" w:type="dxa"/>
            </w:tcMar>
            <w:vAlign w:val="center"/>
          </w:tcPr>
          <w:p>
            <w:pPr>
              <w:pStyle w:val="TableContents"/>
              <w:bidi w:val="0"/>
              <w:spacing w:before="0" w:after="0"/>
              <w:jc w:val="left"/>
              <w:rPr/>
            </w:pPr>
            <w:r>
              <w:rPr/>
              <w:t>101*</w:t>
            </w:r>
          </w:p>
        </w:tc>
        <w:tc>
          <w:tcPr>
            <w:tcW w:w="23" w:type="dxa"/>
            <w:tcBorders/>
            <w:tcMar>
              <w:bottom w:w="0" w:type="dxa"/>
            </w:tcMar>
            <w:vAlign w:val="center"/>
          </w:tcPr>
          <w:p>
            <w:pPr>
              <w:pStyle w:val="TableContents"/>
              <w:bidi w:val="0"/>
              <w:spacing w:before="0" w:after="283"/>
              <w:jc w:val="left"/>
              <w:rPr/>
            </w:pPr>
            <w:r>
              <w:rPr/>
            </w:r>
          </w:p>
        </w:tc>
        <w:tc>
          <w:tcPr>
            <w:tcW w:w="9694" w:type="dxa"/>
            <w:tcBorders/>
            <w:tcMar>
              <w:bottom w:w="0" w:type="dxa"/>
            </w:tcMar>
            <w:vAlign w:val="center"/>
          </w:tcPr>
          <w:p>
            <w:pPr>
              <w:pStyle w:val="TableContents"/>
              <w:bidi w:val="0"/>
              <w:spacing w:before="0" w:after="0"/>
              <w:jc w:val="left"/>
              <w:rPr/>
            </w:pPr>
            <w:r>
              <w:rPr/>
              <w:t>The following materials from ADMA Biologics, Inc. Form 10-K for the year ended December 31, 2023, formatted in Extensible Business Reporting Language (XBRL): (i) Consolidated Balance Sheets at December 31, 2023 and December 31, 2022, (ii) Consolidated Statements of Operations for the years ended December 31, 2023, 2022 and 2021, (iii) Consolidated Statements of Changes in Stockholders’ Equity for the years ended December 31, 2023, 2022 and 2021, (iv) Consolidated Statements of Cash Flows for the years ended December 31, 2023, 2022 and 2021; and (v) Notes to Consolidated Financial Statements.</w:t>
            </w:r>
          </w:p>
        </w:tc>
      </w:tr>
    </w:tbl>
    <w:tbl>
      <w:tblPr>
        <w:tblW w:w="9078" w:type="dxa"/>
        <w:jc w:val="left"/>
        <w:tblInd w:w="0" w:type="dxa"/>
        <w:tblLayout w:type="fixed"/>
        <w:tblCellMar>
          <w:top w:w="0" w:type="dxa"/>
          <w:left w:w="0" w:type="dxa"/>
          <w:bottom w:w="28" w:type="dxa"/>
          <w:right w:w="0" w:type="dxa"/>
        </w:tblCellMar>
      </w:tblPr>
      <w:tblGrid>
        <w:gridCol w:w="395"/>
        <w:gridCol w:w="23"/>
        <w:gridCol w:w="8660"/>
      </w:tblGrid>
      <w:tr>
        <w:trPr/>
        <w:tc>
          <w:tcPr>
            <w:tcW w:w="395" w:type="dxa"/>
            <w:tcBorders>
              <w:bottom w:val="single" w:sz="12" w:space="0" w:color="000000"/>
            </w:tcBorders>
            <w:shd w:fill="CCEEFF" w:val="clear"/>
            <w:vAlign w:val="center"/>
          </w:tcPr>
          <w:p>
            <w:pPr>
              <w:pStyle w:val="TableContents"/>
              <w:bidi w:val="0"/>
              <w:spacing w:before="0" w:after="0"/>
              <w:jc w:val="left"/>
              <w:rPr/>
            </w:pPr>
            <w:r>
              <w:rPr/>
              <w:t>104</w:t>
            </w:r>
          </w:p>
        </w:tc>
        <w:tc>
          <w:tcPr>
            <w:tcW w:w="23" w:type="dxa"/>
            <w:tcBorders/>
            <w:shd w:fill="CCEEFF" w:val="clear"/>
            <w:tcMar>
              <w:bottom w:w="0" w:type="dxa"/>
            </w:tcMar>
            <w:vAlign w:val="center"/>
          </w:tcPr>
          <w:p>
            <w:pPr>
              <w:pStyle w:val="TableContents"/>
              <w:bidi w:val="0"/>
              <w:spacing w:before="0" w:after="283"/>
              <w:jc w:val="left"/>
              <w:rPr/>
            </w:pPr>
            <w:r>
              <w:rPr/>
            </w:r>
          </w:p>
        </w:tc>
        <w:tc>
          <w:tcPr>
            <w:tcW w:w="8660" w:type="dxa"/>
            <w:tcBorders>
              <w:bottom w:val="single" w:sz="12" w:space="0" w:color="000000"/>
            </w:tcBorders>
            <w:shd w:fill="CCEEFF" w:val="clear"/>
            <w:vAlign w:val="center"/>
          </w:tcPr>
          <w:p>
            <w:pPr>
              <w:pStyle w:val="TableContents"/>
              <w:bidi w:val="0"/>
              <w:spacing w:before="0" w:after="0"/>
              <w:jc w:val="left"/>
              <w:rPr/>
            </w:pPr>
            <w:r>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Confidential treatment has been granted with respect as to certain portions of this exhibit. Such portions have been redacted and submitted separately to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Portions of this exhibit and the schedules thereto have been omitted pursuant to Item 601(b)(10)(iv) of Regulation S-K.</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Filed herewith.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Furnished herewith.</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Management compensatory plan, contract or arrangement.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Item16."/>
      <w:bookmarkStart w:id="46" w:name="Item16."/>
      <w:bookmarkEnd w:id="46"/>
    </w:p>
    <w:tbl>
      <w:tblPr>
        <w:tblW w:w="3085" w:type="dxa"/>
        <w:jc w:val="left"/>
        <w:tblInd w:w="0" w:type="dxa"/>
        <w:tblLayout w:type="fixed"/>
        <w:tblCellMar>
          <w:top w:w="0" w:type="dxa"/>
          <w:left w:w="0" w:type="dxa"/>
          <w:bottom w:w="0" w:type="dxa"/>
          <w:right w:w="0" w:type="dxa"/>
        </w:tblCellMar>
      </w:tblPr>
      <w:tblGrid>
        <w:gridCol w:w="860"/>
        <w:gridCol w:w="2225"/>
      </w:tblGrid>
      <w:tr>
        <w:trPr/>
        <w:tc>
          <w:tcPr>
            <w:tcW w:w="860" w:type="dxa"/>
            <w:tcBorders/>
            <w:vAlign w:val="center"/>
          </w:tcPr>
          <w:p>
            <w:pPr>
              <w:pStyle w:val="TableContents"/>
              <w:bidi w:val="0"/>
              <w:spacing w:before="0" w:after="283"/>
              <w:jc w:val="left"/>
              <w:rPr>
                <w:b/>
              </w:rPr>
            </w:pPr>
            <w:r>
              <w:rPr>
                <w:b/>
              </w:rPr>
              <w:t>Item 16.</w:t>
            </w:r>
          </w:p>
        </w:tc>
        <w:tc>
          <w:tcPr>
            <w:tcW w:w="2225" w:type="dxa"/>
            <w:tcBorders/>
            <w:vAlign w:val="center"/>
          </w:tcPr>
          <w:p>
            <w:pPr>
              <w:pStyle w:val="TableContents"/>
              <w:bidi w:val="0"/>
              <w:spacing w:before="0" w:after="0"/>
              <w:jc w:val="left"/>
              <w:rPr>
                <w:b/>
              </w:rPr>
            </w:pPr>
            <w:r>
              <w:rPr>
                <w:b/>
              </w:rPr>
              <w:t>Form 10-K Summary</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center"/>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r>
    </w:p>
    <w:tbl>
      <w:tblPr>
        <w:tblW w:w="6615" w:type="dxa"/>
        <w:jc w:val="left"/>
        <w:tblInd w:w="0" w:type="dxa"/>
        <w:tblLayout w:type="fixed"/>
        <w:tblCellMar>
          <w:top w:w="0" w:type="dxa"/>
          <w:left w:w="0" w:type="dxa"/>
          <w:bottom w:w="0" w:type="dxa"/>
          <w:right w:w="0" w:type="dxa"/>
        </w:tblCellMar>
      </w:tblPr>
      <w:tblGrid>
        <w:gridCol w:w="2345"/>
        <w:gridCol w:w="650"/>
        <w:gridCol w:w="3620"/>
      </w:tblGrid>
      <w:tr>
        <w:trPr/>
        <w:tc>
          <w:tcPr>
            <w:tcW w:w="2345" w:type="dxa"/>
            <w:tcBorders/>
            <w:vAlign w:val="center"/>
          </w:tcPr>
          <w:p>
            <w:pPr>
              <w:pStyle w:val="TableContents"/>
              <w:bidi w:val="0"/>
              <w:spacing w:before="0" w:after="283"/>
              <w:jc w:val="left"/>
              <w:rPr/>
            </w:pPr>
            <w:r>
              <w:rPr/>
            </w:r>
          </w:p>
        </w:tc>
        <w:tc>
          <w:tcPr>
            <w:tcW w:w="4270" w:type="dxa"/>
            <w:gridSpan w:val="2"/>
            <w:tcBorders/>
            <w:vAlign w:val="center"/>
          </w:tcPr>
          <w:p>
            <w:pPr>
              <w:pStyle w:val="TableContents"/>
              <w:bidi w:val="0"/>
              <w:spacing w:before="0" w:after="0"/>
              <w:jc w:val="left"/>
              <w:rPr>
                <w:b/>
              </w:rPr>
            </w:pPr>
            <w:r>
              <w:rPr>
                <w:b/>
              </w:rPr>
              <w:t>ADMA Biologics, Inc.</w:t>
            </w:r>
          </w:p>
        </w:tc>
      </w:tr>
      <w:tr>
        <w:trPr/>
        <w:tc>
          <w:tcPr>
            <w:tcW w:w="2345" w:type="dxa"/>
            <w:tcBorders/>
            <w:vAlign w:val="center"/>
          </w:tcPr>
          <w:p>
            <w:pPr>
              <w:pStyle w:val="TableContents"/>
              <w:bidi w:val="0"/>
              <w:spacing w:before="0" w:after="283"/>
              <w:jc w:val="left"/>
              <w:rPr/>
            </w:pPr>
            <w:r>
              <w:rPr/>
            </w:r>
          </w:p>
        </w:tc>
        <w:tc>
          <w:tcPr>
            <w:tcW w:w="4270" w:type="dxa"/>
            <w:gridSpan w:val="2"/>
            <w:tcBorders/>
            <w:vAlign w:val="center"/>
          </w:tcPr>
          <w:p>
            <w:pPr>
              <w:pStyle w:val="TableContents"/>
              <w:bidi w:val="0"/>
              <w:spacing w:before="0" w:after="283"/>
              <w:jc w:val="left"/>
              <w:rPr/>
            </w:pPr>
            <w:r>
              <w:rPr/>
            </w:r>
          </w:p>
        </w:tc>
      </w:tr>
      <w:tr>
        <w:trPr/>
        <w:tc>
          <w:tcPr>
            <w:tcW w:w="2345" w:type="dxa"/>
            <w:tcBorders/>
            <w:vAlign w:val="center"/>
          </w:tcPr>
          <w:p>
            <w:pPr>
              <w:pStyle w:val="TableContents"/>
              <w:bidi w:val="0"/>
              <w:spacing w:before="0" w:after="0"/>
              <w:jc w:val="left"/>
              <w:rPr/>
            </w:pPr>
            <w:r>
              <w:rPr/>
              <w:t>Date: February 28, 2024</w:t>
            </w:r>
          </w:p>
        </w:tc>
        <w:tc>
          <w:tcPr>
            <w:tcW w:w="650" w:type="dxa"/>
            <w:tcBorders/>
            <w:vAlign w:val="center"/>
          </w:tcPr>
          <w:p>
            <w:pPr>
              <w:pStyle w:val="TableContents"/>
              <w:bidi w:val="0"/>
              <w:spacing w:before="0" w:after="0"/>
              <w:jc w:val="left"/>
              <w:rPr/>
            </w:pPr>
            <w:r>
              <w:rPr/>
              <w:t>By:</w:t>
            </w:r>
          </w:p>
        </w:tc>
        <w:tc>
          <w:tcPr>
            <w:tcW w:w="3620" w:type="dxa"/>
            <w:tcBorders>
              <w:bottom w:val="single" w:sz="12" w:space="0" w:color="000000"/>
            </w:tcBorders>
            <w:tcMar>
              <w:bottom w:w="28" w:type="dxa"/>
            </w:tcMar>
            <w:vAlign w:val="center"/>
          </w:tcPr>
          <w:p>
            <w:pPr>
              <w:pStyle w:val="TableContents"/>
              <w:bidi w:val="0"/>
              <w:spacing w:before="0" w:after="0"/>
              <w:jc w:val="left"/>
              <w:rPr/>
            </w:pPr>
            <w:r>
              <w:rPr/>
              <w:t>/s/ Adam S. Grossman</w:t>
            </w:r>
          </w:p>
        </w:tc>
      </w:tr>
      <w:tr>
        <w:trPr/>
        <w:tc>
          <w:tcPr>
            <w:tcW w:w="2345"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0"/>
              <w:jc w:val="left"/>
              <w:rPr/>
            </w:pPr>
            <w:r>
              <w:rPr/>
              <w:t>Name:</w:t>
            </w:r>
          </w:p>
        </w:tc>
        <w:tc>
          <w:tcPr>
            <w:tcW w:w="3620" w:type="dxa"/>
            <w:tcBorders/>
            <w:vAlign w:val="center"/>
          </w:tcPr>
          <w:p>
            <w:pPr>
              <w:pStyle w:val="TableContents"/>
              <w:bidi w:val="0"/>
              <w:spacing w:before="0" w:after="0"/>
              <w:jc w:val="left"/>
              <w:rPr/>
            </w:pPr>
            <w:r>
              <w:rPr/>
              <w:t>Adam S. Grossman</w:t>
            </w:r>
          </w:p>
        </w:tc>
      </w:tr>
      <w:tr>
        <w:trPr/>
        <w:tc>
          <w:tcPr>
            <w:tcW w:w="2345"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0"/>
              <w:jc w:val="left"/>
              <w:rPr/>
            </w:pPr>
            <w:r>
              <w:rPr/>
              <w:t>Title:</w:t>
            </w:r>
          </w:p>
        </w:tc>
        <w:tc>
          <w:tcPr>
            <w:tcW w:w="3620" w:type="dxa"/>
            <w:tcBorders/>
            <w:vAlign w:val="center"/>
          </w:tcPr>
          <w:p>
            <w:pPr>
              <w:pStyle w:val="TableContents"/>
              <w:bidi w:val="0"/>
              <w:spacing w:before="0" w:after="0"/>
              <w:jc w:val="left"/>
              <w:rPr/>
            </w:pPr>
            <w:r>
              <w:rPr/>
              <w:t>President and Chief Executive Officer</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report has been signed below by the following persons on behalf of the registrant and in the capacities and on the dates indicated:</w:t>
      </w:r>
    </w:p>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28" w:type="dxa"/>
          <w:right w:w="0" w:type="dxa"/>
        </w:tblCellMar>
      </w:tblPr>
      <w:tblGrid>
        <w:gridCol w:w="1928"/>
        <w:gridCol w:w="60"/>
        <w:gridCol w:w="6767"/>
        <w:gridCol w:w="60"/>
        <w:gridCol w:w="1390"/>
      </w:tblGrid>
      <w:tr>
        <w:trPr/>
        <w:tc>
          <w:tcPr>
            <w:tcW w:w="1928" w:type="dxa"/>
            <w:tcBorders>
              <w:bottom w:val="single" w:sz="12" w:space="0" w:color="000000"/>
            </w:tcBorders>
            <w:vAlign w:val="center"/>
          </w:tcPr>
          <w:p>
            <w:pPr>
              <w:pStyle w:val="TableContents"/>
              <w:bidi w:val="0"/>
              <w:spacing w:before="0" w:after="0"/>
              <w:jc w:val="left"/>
              <w:rPr>
                <w:b/>
              </w:rPr>
            </w:pPr>
            <w:r>
              <w:rPr>
                <w:b/>
              </w:rPr>
              <w:t>Signature</w:t>
            </w:r>
          </w:p>
        </w:tc>
        <w:tc>
          <w:tcPr>
            <w:tcW w:w="60" w:type="dxa"/>
            <w:tcBorders/>
            <w:tcMar>
              <w:bottom w:w="0" w:type="dxa"/>
            </w:tcMar>
            <w:vAlign w:val="center"/>
          </w:tcPr>
          <w:p>
            <w:pPr>
              <w:pStyle w:val="TableContents"/>
              <w:bidi w:val="0"/>
              <w:spacing w:before="0" w:after="283"/>
              <w:jc w:val="left"/>
              <w:rPr/>
            </w:pPr>
            <w:r>
              <w:rPr/>
            </w:r>
          </w:p>
        </w:tc>
        <w:tc>
          <w:tcPr>
            <w:tcW w:w="6767" w:type="dxa"/>
            <w:tcBorders>
              <w:bottom w:val="single" w:sz="12" w:space="0" w:color="000000"/>
            </w:tcBorders>
            <w:vAlign w:val="center"/>
          </w:tcPr>
          <w:p>
            <w:pPr>
              <w:pStyle w:val="TableContents"/>
              <w:bidi w:val="0"/>
              <w:spacing w:before="0" w:after="0"/>
              <w:jc w:val="left"/>
              <w:rPr>
                <w:b/>
              </w:rPr>
            </w:pPr>
            <w:r>
              <w:rPr>
                <w:b/>
              </w:rPr>
              <w:t>Title</w:t>
            </w:r>
          </w:p>
        </w:tc>
        <w:tc>
          <w:tcPr>
            <w:tcW w:w="60" w:type="dxa"/>
            <w:tcBorders/>
            <w:tcMar>
              <w:bottom w:w="0" w:type="dxa"/>
            </w:tcMar>
            <w:vAlign w:val="center"/>
          </w:tcPr>
          <w:p>
            <w:pPr>
              <w:pStyle w:val="TableContents"/>
              <w:bidi w:val="0"/>
              <w:spacing w:before="0" w:after="283"/>
              <w:jc w:val="left"/>
              <w:rPr/>
            </w:pPr>
            <w:r>
              <w:rPr/>
            </w:r>
          </w:p>
        </w:tc>
        <w:tc>
          <w:tcPr>
            <w:tcW w:w="1390" w:type="dxa"/>
            <w:tcBorders>
              <w:bottom w:val="single" w:sz="12" w:space="0" w:color="000000"/>
            </w:tcBorders>
            <w:vAlign w:val="center"/>
          </w:tcPr>
          <w:p>
            <w:pPr>
              <w:pStyle w:val="TableContents"/>
              <w:bidi w:val="0"/>
              <w:spacing w:before="0" w:after="0"/>
              <w:jc w:val="left"/>
              <w:rPr>
                <w:b/>
              </w:rPr>
            </w:pPr>
            <w:r>
              <w:rPr>
                <w:b/>
              </w:rPr>
              <w:t>Date</w:t>
            </w:r>
          </w:p>
        </w:tc>
      </w:tr>
      <w:tr>
        <w:trPr/>
        <w:tc>
          <w:tcPr>
            <w:tcW w:w="1928"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bottom w:val="single" w:sz="12" w:space="0" w:color="000000"/>
            </w:tcBorders>
            <w:vAlign w:val="center"/>
          </w:tcPr>
          <w:p>
            <w:pPr>
              <w:pStyle w:val="TableContents"/>
              <w:bidi w:val="0"/>
              <w:spacing w:before="0" w:after="0"/>
              <w:jc w:val="left"/>
              <w:rPr/>
            </w:pPr>
            <w:r>
              <w:rPr/>
              <w:t>/s/ Adam S. Grossman</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tcMar>
              <w:bottom w:w="0" w:type="dxa"/>
            </w:tcMar>
            <w:vAlign w:val="center"/>
          </w:tcPr>
          <w:p>
            <w:pPr>
              <w:pStyle w:val="TableContents"/>
              <w:bidi w:val="0"/>
              <w:spacing w:before="0" w:after="0"/>
              <w:jc w:val="left"/>
              <w:rPr/>
            </w:pPr>
            <w:r>
              <w:rPr/>
              <w:t>Adam S. Grossman</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0"/>
              <w:jc w:val="left"/>
              <w:rPr/>
            </w:pPr>
            <w:r>
              <w:rPr/>
              <w:t>President and Chief Executive Officer (Principal Executive Officer) and Director</w:t>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0"/>
              <w:jc w:val="center"/>
              <w:rPr/>
            </w:pPr>
            <w:r>
              <w:rPr/>
              <w:t>February 28, 2024</w:t>
            </w:r>
          </w:p>
        </w:tc>
      </w:tr>
      <w:tr>
        <w:trPr/>
        <w:tc>
          <w:tcPr>
            <w:tcW w:w="1928"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bottom w:val="single" w:sz="12" w:space="0" w:color="000000"/>
            </w:tcBorders>
            <w:vAlign w:val="center"/>
          </w:tcPr>
          <w:p>
            <w:pPr>
              <w:pStyle w:val="TableContents"/>
              <w:bidi w:val="0"/>
              <w:spacing w:before="0" w:after="0"/>
              <w:jc w:val="left"/>
              <w:rPr/>
            </w:pPr>
            <w:r>
              <w:rPr/>
              <w:t>/s/ Brian Lenz</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tcMar>
              <w:bottom w:w="0" w:type="dxa"/>
            </w:tcMar>
            <w:vAlign w:val="center"/>
          </w:tcPr>
          <w:p>
            <w:pPr>
              <w:pStyle w:val="TableContents"/>
              <w:bidi w:val="0"/>
              <w:spacing w:before="0" w:after="0"/>
              <w:jc w:val="left"/>
              <w:rPr/>
            </w:pPr>
            <w:r>
              <w:rPr/>
              <w:t>Brian Lenz</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0"/>
              <w:jc w:val="left"/>
              <w:rPr/>
            </w:pPr>
            <w:r>
              <w:rPr/>
              <w:t>Executive Vice President and Chief Financial Officer (Principal Financial Officer and Principal Accounting Officer)</w:t>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0"/>
              <w:jc w:val="center"/>
              <w:rPr/>
            </w:pPr>
            <w:r>
              <w:rPr/>
              <w:t>February 28, 2024</w:t>
            </w:r>
          </w:p>
        </w:tc>
      </w:tr>
      <w:tr>
        <w:trPr/>
        <w:tc>
          <w:tcPr>
            <w:tcW w:w="1928"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bottom w:val="single" w:sz="12" w:space="0" w:color="000000"/>
            </w:tcBorders>
            <w:vAlign w:val="center"/>
          </w:tcPr>
          <w:p>
            <w:pPr>
              <w:pStyle w:val="TableContents"/>
              <w:bidi w:val="0"/>
              <w:spacing w:before="0" w:after="0"/>
              <w:jc w:val="left"/>
              <w:rPr/>
            </w:pPr>
            <w:r>
              <w:rPr/>
              <w:t>/s/ Steven A. Elms</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tcMar>
              <w:bottom w:w="0" w:type="dxa"/>
            </w:tcMar>
            <w:vAlign w:val="center"/>
          </w:tcPr>
          <w:p>
            <w:pPr>
              <w:pStyle w:val="TableContents"/>
              <w:bidi w:val="0"/>
              <w:spacing w:before="0" w:after="0"/>
              <w:jc w:val="left"/>
              <w:rPr/>
            </w:pPr>
            <w:r>
              <w:rPr/>
              <w:t>Steven A. Elms</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0"/>
              <w:jc w:val="left"/>
              <w:rPr/>
            </w:pPr>
            <w:r>
              <w:rPr/>
              <w:t>Chairman of the Board of Directors</w:t>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0"/>
              <w:jc w:val="center"/>
              <w:rPr/>
            </w:pPr>
            <w:r>
              <w:rPr/>
              <w:t>February 28, 2024</w:t>
            </w:r>
          </w:p>
        </w:tc>
      </w:tr>
      <w:tr>
        <w:trPr/>
        <w:tc>
          <w:tcPr>
            <w:tcW w:w="1928"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bottom w:val="single" w:sz="12" w:space="0" w:color="000000"/>
            </w:tcBorders>
            <w:vAlign w:val="center"/>
          </w:tcPr>
          <w:p>
            <w:pPr>
              <w:pStyle w:val="TableContents"/>
              <w:bidi w:val="0"/>
              <w:spacing w:before="0" w:after="0"/>
              <w:jc w:val="left"/>
              <w:rPr/>
            </w:pPr>
            <w:r>
              <w:rPr/>
              <w:t>/s/ Dr. Jerrold B. Grossman</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tcMar>
              <w:bottom w:w="0" w:type="dxa"/>
            </w:tcMar>
            <w:vAlign w:val="center"/>
          </w:tcPr>
          <w:p>
            <w:pPr>
              <w:pStyle w:val="TableContents"/>
              <w:bidi w:val="0"/>
              <w:spacing w:before="0" w:after="0"/>
              <w:jc w:val="left"/>
              <w:rPr/>
            </w:pPr>
            <w:r>
              <w:rPr/>
              <w:t>Dr. Jerrold B. Grossman</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0"/>
              <w:jc w:val="left"/>
              <w:rPr/>
            </w:pPr>
            <w:r>
              <w:rPr/>
              <w:t>Vice Chairman of the Board of Directors</w:t>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0"/>
              <w:jc w:val="center"/>
              <w:rPr/>
            </w:pPr>
            <w:r>
              <w:rPr/>
              <w:t>February 28, 2024</w:t>
            </w:r>
          </w:p>
        </w:tc>
      </w:tr>
      <w:tr>
        <w:trPr/>
        <w:tc>
          <w:tcPr>
            <w:tcW w:w="1928"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bottom w:val="single" w:sz="12" w:space="0" w:color="000000"/>
            </w:tcBorders>
            <w:vAlign w:val="center"/>
          </w:tcPr>
          <w:p>
            <w:pPr>
              <w:pStyle w:val="TableContents"/>
              <w:bidi w:val="0"/>
              <w:spacing w:before="0" w:after="0"/>
              <w:jc w:val="left"/>
              <w:rPr/>
            </w:pPr>
            <w:r>
              <w:rPr/>
              <w:t>/s/ Alison Finger</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tcMar>
              <w:bottom w:w="0" w:type="dxa"/>
            </w:tcMar>
            <w:vAlign w:val="center"/>
          </w:tcPr>
          <w:p>
            <w:pPr>
              <w:pStyle w:val="TableContents"/>
              <w:bidi w:val="0"/>
              <w:spacing w:before="0" w:after="0"/>
              <w:jc w:val="left"/>
              <w:rPr/>
            </w:pPr>
            <w:r>
              <w:rPr/>
              <w:t>Alison Finger</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0"/>
              <w:jc w:val="left"/>
              <w:rPr/>
            </w:pPr>
            <w:r>
              <w:rPr/>
              <w:t>Director</w:t>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0"/>
              <w:jc w:val="center"/>
              <w:rPr/>
            </w:pPr>
            <w:r>
              <w:rPr/>
              <w:t>February 28, 2024</w:t>
            </w:r>
          </w:p>
        </w:tc>
      </w:tr>
      <w:tr>
        <w:trPr/>
        <w:tc>
          <w:tcPr>
            <w:tcW w:w="1928"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bottom w:val="single" w:sz="12" w:space="0" w:color="000000"/>
            </w:tcBorders>
            <w:vAlign w:val="center"/>
          </w:tcPr>
          <w:p>
            <w:pPr>
              <w:pStyle w:val="TableContents"/>
              <w:bidi w:val="0"/>
              <w:spacing w:before="0" w:after="0"/>
              <w:jc w:val="left"/>
              <w:rPr/>
            </w:pPr>
            <w:r>
              <w:rPr/>
              <w:t>/s/ Bryant E. Fong</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tcMar>
              <w:bottom w:w="0" w:type="dxa"/>
            </w:tcMar>
            <w:vAlign w:val="center"/>
          </w:tcPr>
          <w:p>
            <w:pPr>
              <w:pStyle w:val="TableContents"/>
              <w:bidi w:val="0"/>
              <w:spacing w:before="0" w:after="0"/>
              <w:jc w:val="left"/>
              <w:rPr/>
            </w:pPr>
            <w:r>
              <w:rPr/>
              <w:t>Bryant E. Fong</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0"/>
              <w:jc w:val="left"/>
              <w:rPr/>
            </w:pPr>
            <w:r>
              <w:rPr/>
              <w:t>Director</w:t>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0"/>
              <w:jc w:val="center"/>
              <w:rPr/>
            </w:pPr>
            <w:r>
              <w:rPr/>
              <w:t>February 28, 2024</w:t>
            </w:r>
          </w:p>
        </w:tc>
      </w:tr>
      <w:tr>
        <w:trPr/>
        <w:tc>
          <w:tcPr>
            <w:tcW w:w="1928"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390" w:type="dxa"/>
            <w:tcBorders/>
            <w:tcMar>
              <w:bottom w:w="0" w:type="dxa"/>
            </w:tcMar>
            <w:vAlign w:val="center"/>
          </w:tcPr>
          <w:p>
            <w:pPr>
              <w:pStyle w:val="TableContents"/>
              <w:bidi w:val="0"/>
              <w:spacing w:before="0" w:after="283"/>
              <w:jc w:val="left"/>
              <w:rPr/>
            </w:pPr>
            <w:r>
              <w:rPr/>
            </w:r>
          </w:p>
        </w:tc>
      </w:tr>
      <w:tr>
        <w:trPr/>
        <w:tc>
          <w:tcPr>
            <w:tcW w:w="1928" w:type="dxa"/>
            <w:tcBorders>
              <w:bottom w:val="single" w:sz="12" w:space="0" w:color="000000"/>
            </w:tcBorders>
            <w:vAlign w:val="center"/>
          </w:tcPr>
          <w:p>
            <w:pPr>
              <w:pStyle w:val="TableContents"/>
              <w:bidi w:val="0"/>
              <w:spacing w:before="0" w:after="0"/>
              <w:jc w:val="left"/>
              <w:rPr/>
            </w:pPr>
            <w:r>
              <w:rPr/>
              <w:t>/s/ Lawrence P. Guiheen</w:t>
            </w:r>
          </w:p>
        </w:tc>
        <w:tc>
          <w:tcPr>
            <w:tcW w:w="60" w:type="dxa"/>
            <w:tcBorders/>
            <w:tcMar>
              <w:bottom w:w="0" w:type="dxa"/>
            </w:tcMar>
            <w:vAlign w:val="center"/>
          </w:tcPr>
          <w:p>
            <w:pPr>
              <w:pStyle w:val="TableContents"/>
              <w:bidi w:val="0"/>
              <w:spacing w:before="0" w:after="283"/>
              <w:jc w:val="left"/>
              <w:rPr/>
            </w:pPr>
            <w:r>
              <w:rPr/>
            </w:r>
          </w:p>
        </w:tc>
        <w:tc>
          <w:tcPr>
            <w:tcW w:w="6767"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28" w:type="dxa"/>
            <w:tcBorders/>
            <w:tcMar>
              <w:bottom w:w="0" w:type="dxa"/>
            </w:tcMar>
            <w:vAlign w:val="center"/>
          </w:tcPr>
          <w:p>
            <w:pPr>
              <w:pStyle w:val="TableContents"/>
              <w:bidi w:val="0"/>
              <w:spacing w:before="0" w:after="0"/>
              <w:jc w:val="left"/>
              <w:rPr/>
            </w:pPr>
            <w:r>
              <w:rPr/>
              <w:t>Lawrence P. Guiheen</w:t>
            </w:r>
          </w:p>
        </w:tc>
        <w:tc>
          <w:tcPr>
            <w:tcW w:w="60" w:type="dxa"/>
            <w:tcBorders/>
            <w:tcMar>
              <w:bottom w:w="0" w:type="dxa"/>
            </w:tcMar>
            <w:vAlign w:val="center"/>
          </w:tcPr>
          <w:p>
            <w:pPr>
              <w:pStyle w:val="TableContents"/>
              <w:bidi w:val="0"/>
              <w:spacing w:before="0" w:after="283"/>
              <w:jc w:val="left"/>
              <w:rPr/>
            </w:pPr>
            <w:r>
              <w:rPr/>
              <w:t> </w:t>
            </w:r>
          </w:p>
        </w:tc>
        <w:tc>
          <w:tcPr>
            <w:tcW w:w="6767" w:type="dxa"/>
            <w:tcBorders/>
            <w:tcMar>
              <w:bottom w:w="0" w:type="dxa"/>
            </w:tcMar>
            <w:vAlign w:val="center"/>
          </w:tcPr>
          <w:p>
            <w:pPr>
              <w:pStyle w:val="TableContents"/>
              <w:bidi w:val="0"/>
              <w:spacing w:before="0" w:after="0"/>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0"/>
              <w:jc w:val="center"/>
              <w:rPr/>
            </w:pPr>
            <w:r>
              <w:rPr/>
              <w:t>February 28, 2024</w:t>
            </w:r>
          </w:p>
        </w:tc>
      </w:tr>
      <w:tr>
        <w:trPr/>
        <w:tc>
          <w:tcPr>
            <w:tcW w:w="1928"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6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28" w:type="dxa"/>
            <w:tcBorders>
              <w:bottom w:val="single" w:sz="12" w:space="0" w:color="000000"/>
            </w:tcBorders>
            <w:vAlign w:val="center"/>
          </w:tcPr>
          <w:p>
            <w:pPr>
              <w:pStyle w:val="TableContents"/>
              <w:bidi w:val="0"/>
              <w:spacing w:before="0" w:after="0"/>
              <w:jc w:val="left"/>
              <w:rPr/>
            </w:pPr>
            <w:r>
              <w:rPr/>
              <w:t>/s/ Young T. Kwon</w:t>
            </w:r>
          </w:p>
        </w:tc>
        <w:tc>
          <w:tcPr>
            <w:tcW w:w="60" w:type="dxa"/>
            <w:tcBorders/>
            <w:tcMar>
              <w:bottom w:w="0" w:type="dxa"/>
            </w:tcMar>
            <w:vAlign w:val="center"/>
          </w:tcPr>
          <w:p>
            <w:pPr>
              <w:pStyle w:val="TableContents"/>
              <w:bidi w:val="0"/>
              <w:spacing w:before="0" w:after="283"/>
              <w:jc w:val="left"/>
              <w:rPr/>
            </w:pPr>
            <w:r>
              <w:rPr/>
              <w:t> </w:t>
            </w:r>
          </w:p>
        </w:tc>
        <w:tc>
          <w:tcPr>
            <w:tcW w:w="6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left"/>
              <w:rPr/>
            </w:pPr>
            <w:r>
              <w:rPr/>
              <w:t> </w:t>
            </w:r>
          </w:p>
        </w:tc>
      </w:tr>
      <w:tr>
        <w:trPr/>
        <w:tc>
          <w:tcPr>
            <w:tcW w:w="1928" w:type="dxa"/>
            <w:tcBorders/>
            <w:tcMar>
              <w:bottom w:w="0" w:type="dxa"/>
            </w:tcMar>
            <w:vAlign w:val="center"/>
          </w:tcPr>
          <w:p>
            <w:pPr>
              <w:pStyle w:val="TableContents"/>
              <w:bidi w:val="0"/>
              <w:spacing w:before="0" w:after="0"/>
              <w:jc w:val="left"/>
              <w:rPr/>
            </w:pPr>
            <w:r>
              <w:rPr/>
              <w:t>Young T. Kwon</w:t>
            </w:r>
          </w:p>
        </w:tc>
        <w:tc>
          <w:tcPr>
            <w:tcW w:w="60" w:type="dxa"/>
            <w:tcBorders/>
            <w:tcMar>
              <w:bottom w:w="0" w:type="dxa"/>
            </w:tcMar>
            <w:vAlign w:val="center"/>
          </w:tcPr>
          <w:p>
            <w:pPr>
              <w:pStyle w:val="TableContents"/>
              <w:bidi w:val="0"/>
              <w:spacing w:before="0" w:after="283"/>
              <w:jc w:val="left"/>
              <w:rPr/>
            </w:pPr>
            <w:r>
              <w:rPr/>
              <w:t> </w:t>
            </w:r>
          </w:p>
        </w:tc>
        <w:tc>
          <w:tcPr>
            <w:tcW w:w="6767" w:type="dxa"/>
            <w:tcBorders/>
            <w:tcMar>
              <w:bottom w:w="0" w:type="dxa"/>
            </w:tcMar>
            <w:vAlign w:val="center"/>
          </w:tcPr>
          <w:p>
            <w:pPr>
              <w:pStyle w:val="TableContents"/>
              <w:bidi w:val="0"/>
              <w:spacing w:before="0" w:after="0"/>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0"/>
              <w:jc w:val="center"/>
              <w:rPr/>
            </w:pPr>
            <w:r>
              <w:rPr/>
              <w:t>February 28, 2024</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ADMA BIOLOGICS, INC. AND SUBSIDIARIES</w:t>
      </w:r>
    </w:p>
    <w:p>
      <w:pPr>
        <w:pStyle w:val="TextBody"/>
        <w:bidi w:val="0"/>
        <w:spacing w:before="0" w:after="0"/>
        <w:ind w:left="0" w:right="0" w:hanging="0"/>
        <w:jc w:val="center"/>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CONSOLIDATED FINANCIAL STATEMENTS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TABLE OF CONTENTS</w:t>
      </w:r>
    </w:p>
    <w:p>
      <w:pPr>
        <w:pStyle w:val="TextBody"/>
        <w:bidi w:val="0"/>
        <w:spacing w:before="0" w:after="0"/>
        <w:ind w:left="0" w:right="0" w:hanging="0"/>
        <w:jc w:val="left"/>
        <w:rPr/>
      </w:pPr>
      <w:r>
        <w:rPr/>
      </w:r>
    </w:p>
    <w:tbl>
      <w:tblPr>
        <w:tblW w:w="9910" w:type="dxa"/>
        <w:jc w:val="left"/>
        <w:tblInd w:w="0" w:type="dxa"/>
        <w:tblLayout w:type="fixed"/>
        <w:tblCellMar>
          <w:top w:w="0" w:type="dxa"/>
          <w:left w:w="0" w:type="dxa"/>
          <w:bottom w:w="0" w:type="dxa"/>
          <w:right w:w="0" w:type="dxa"/>
        </w:tblCellMar>
      </w:tblPr>
      <w:tblGrid>
        <w:gridCol w:w="9500"/>
        <w:gridCol w:w="410"/>
      </w:tblGrid>
      <w:tr>
        <w:trPr/>
        <w:tc>
          <w:tcPr>
            <w:tcW w:w="9500" w:type="dxa"/>
            <w:tcBorders/>
            <w:vAlign w:val="center"/>
          </w:tcPr>
          <w:p>
            <w:pPr>
              <w:pStyle w:val="TableContents"/>
              <w:bidi w:val="0"/>
              <w:spacing w:before="0" w:after="0"/>
              <w:jc w:val="left"/>
              <w:rPr/>
            </w:pPr>
            <w:r>
              <w:rPr/>
              <w:t> </w:t>
            </w:r>
          </w:p>
        </w:tc>
        <w:tc>
          <w:tcPr>
            <w:tcW w:w="41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Page</w:t>
            </w:r>
          </w:p>
        </w:tc>
      </w:tr>
      <w:tr>
        <w:trPr/>
        <w:tc>
          <w:tcPr>
            <w:tcW w:w="9500" w:type="dxa"/>
            <w:tcBorders/>
            <w:shd w:fill="CCEEFF" w:val="clear"/>
            <w:vAlign w:val="center"/>
          </w:tcPr>
          <w:p>
            <w:pPr>
              <w:pStyle w:val="TableContents"/>
              <w:bidi w:val="0"/>
              <w:spacing w:before="0" w:after="0"/>
              <w:jc w:val="left"/>
              <w:rPr/>
            </w:pPr>
            <w:hyperlink w:anchor="ManagementsAnnualReporton">
              <w:r>
                <w:rPr>
                  <w:rStyle w:val="InternetLink"/>
                  <w:rFonts w:ascii="Times New Roman;Times;serif" w:hAnsi="Times New Roman;Times;serif"/>
                  <w:sz w:val="20"/>
                </w:rPr>
                <w:t>Management’s Annual Report on Internal Control Over Financial Reporting</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F-2</w:t>
            </w:r>
          </w:p>
        </w:tc>
      </w:tr>
      <w:tr>
        <w:trPr/>
        <w:tc>
          <w:tcPr>
            <w:tcW w:w="9500" w:type="dxa"/>
            <w:tcBorders/>
            <w:vAlign w:val="center"/>
          </w:tcPr>
          <w:p>
            <w:pPr>
              <w:pStyle w:val="TableContents"/>
              <w:bidi w:val="0"/>
              <w:spacing w:before="0" w:after="0"/>
              <w:jc w:val="left"/>
              <w:rPr/>
            </w:pPr>
            <w:hyperlink w:anchor="ReportofIndependentRegist">
              <w:r>
                <w:rPr>
                  <w:rStyle w:val="InternetLink"/>
                  <w:rFonts w:ascii="Times New Roman;Times;serif" w:hAnsi="Times New Roman;Times;serif"/>
                  <w:sz w:val="20"/>
                </w:rPr>
                <w:t>Report of Independent Registered Public Accounting Firm (PCAOB ID</w:t>
              </w:r>
            </w:hyperlink>
            <w:r>
              <w:rPr>
                <w:rFonts w:ascii="Times New Roman;Times;serif" w:hAnsi="Times New Roman;Times;serif"/>
                <w:sz w:val="20"/>
              </w:rPr>
              <w:t xml:space="preserve"> 596)</w:t>
            </w:r>
          </w:p>
        </w:tc>
        <w:tc>
          <w:tcPr>
            <w:tcW w:w="4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F-3</w:t>
            </w:r>
          </w:p>
        </w:tc>
      </w:tr>
      <w:tr>
        <w:trPr/>
        <w:tc>
          <w:tcPr>
            <w:tcW w:w="9500" w:type="dxa"/>
            <w:tcBorders/>
            <w:shd w:fill="CCEEFF" w:val="clear"/>
            <w:vAlign w:val="center"/>
          </w:tcPr>
          <w:p>
            <w:pPr>
              <w:pStyle w:val="TableContents"/>
              <w:bidi w:val="0"/>
              <w:spacing w:before="0" w:after="0"/>
              <w:jc w:val="left"/>
              <w:rPr/>
            </w:pPr>
            <w:hyperlink w:anchor="BALANCESHEETS">
              <w:r>
                <w:rPr>
                  <w:rStyle w:val="InternetLink"/>
                  <w:rFonts w:ascii="Times New Roman;Times;serif" w:hAnsi="Times New Roman;Times;serif"/>
                  <w:sz w:val="20"/>
                </w:rPr>
                <w:t>Consolidated Balance Sheets as of December 31, 2023 and 2022</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F-5</w:t>
            </w:r>
          </w:p>
        </w:tc>
      </w:tr>
      <w:tr>
        <w:trPr/>
        <w:tc>
          <w:tcPr>
            <w:tcW w:w="9500" w:type="dxa"/>
            <w:tcBorders/>
            <w:vAlign w:val="center"/>
          </w:tcPr>
          <w:p>
            <w:pPr>
              <w:pStyle w:val="TableContents"/>
              <w:bidi w:val="0"/>
              <w:spacing w:before="0" w:after="0"/>
              <w:jc w:val="left"/>
              <w:rPr/>
            </w:pPr>
            <w:hyperlink w:anchor="STATEMENTSOFOPERATIONS">
              <w:r>
                <w:rPr>
                  <w:rStyle w:val="InternetLink"/>
                  <w:rFonts w:ascii="Times New Roman;Times;serif" w:hAnsi="Times New Roman;Times;serif"/>
                  <w:sz w:val="20"/>
                </w:rPr>
                <w:t>Consolidated Statements of Operations for the years ended December 31, 2023, 2022 and 2021</w:t>
              </w:r>
            </w:hyperlink>
          </w:p>
        </w:tc>
        <w:tc>
          <w:tcPr>
            <w:tcW w:w="4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F-6</w:t>
            </w:r>
          </w:p>
        </w:tc>
      </w:tr>
      <w:tr>
        <w:trPr/>
        <w:tc>
          <w:tcPr>
            <w:tcW w:w="9500" w:type="dxa"/>
            <w:tcBorders/>
            <w:shd w:fill="CCEEFF" w:val="clear"/>
            <w:vAlign w:val="center"/>
          </w:tcPr>
          <w:p>
            <w:pPr>
              <w:pStyle w:val="TableContents"/>
              <w:bidi w:val="0"/>
              <w:spacing w:before="0" w:after="0"/>
              <w:jc w:val="left"/>
              <w:rPr/>
            </w:pPr>
            <w:hyperlink w:anchor="STOCKHOLDERSEQUITY">
              <w:r>
                <w:rPr>
                  <w:rStyle w:val="InternetLink"/>
                  <w:rFonts w:ascii="Times New Roman;Times;serif" w:hAnsi="Times New Roman;Times;serif"/>
                  <w:sz w:val="20"/>
                </w:rPr>
                <w:t>Consolidated Statements of Changes in Stockholders’ Equity for the years ended December 31, 2023, 2022 and 2021</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F-7</w:t>
            </w:r>
          </w:p>
        </w:tc>
      </w:tr>
      <w:tr>
        <w:trPr/>
        <w:tc>
          <w:tcPr>
            <w:tcW w:w="9500" w:type="dxa"/>
            <w:tcBorders/>
            <w:vAlign w:val="center"/>
          </w:tcPr>
          <w:p>
            <w:pPr>
              <w:pStyle w:val="TableContents"/>
              <w:bidi w:val="0"/>
              <w:spacing w:before="0" w:after="0"/>
              <w:jc w:val="left"/>
              <w:rPr/>
            </w:pPr>
            <w:hyperlink w:anchor="CASHFLOWS">
              <w:r>
                <w:rPr>
                  <w:rStyle w:val="InternetLink"/>
                  <w:rFonts w:ascii="Times New Roman;Times;serif" w:hAnsi="Times New Roman;Times;serif"/>
                  <w:sz w:val="20"/>
                </w:rPr>
                <w:t>Consolidated Statements of Cash Flows for the years ended December 31, 2023, 2022 and 2021</w:t>
              </w:r>
            </w:hyperlink>
          </w:p>
        </w:tc>
        <w:tc>
          <w:tcPr>
            <w:tcW w:w="41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F-8</w:t>
            </w:r>
          </w:p>
        </w:tc>
      </w:tr>
      <w:tr>
        <w:trPr/>
        <w:tc>
          <w:tcPr>
            <w:tcW w:w="9500" w:type="dxa"/>
            <w:tcBorders/>
            <w:shd w:fill="CCEEFF" w:val="clear"/>
            <w:vAlign w:val="center"/>
          </w:tcPr>
          <w:p>
            <w:pPr>
              <w:pStyle w:val="TableContents"/>
              <w:bidi w:val="0"/>
              <w:spacing w:before="0" w:after="0"/>
              <w:jc w:val="left"/>
              <w:rPr/>
            </w:pPr>
            <w:hyperlink w:anchor="NOTESTO">
              <w:r>
                <w:rPr>
                  <w:rStyle w:val="InternetLink"/>
                  <w:rFonts w:ascii="Times New Roman;Times;serif" w:hAnsi="Times New Roman;Times;serif"/>
                  <w:sz w:val="20"/>
                </w:rPr>
                <w:t>Notes to Consolidated Financial Statements</w:t>
              </w:r>
            </w:hyperlink>
          </w:p>
        </w:tc>
        <w:tc>
          <w:tcPr>
            <w:tcW w:w="41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F-9</w:t>
            </w:r>
          </w:p>
        </w:tc>
      </w:tr>
    </w:tbl>
    <w:p>
      <w:pPr>
        <w:pStyle w:val="TextBody"/>
        <w:bidi w:val="0"/>
        <w:jc w:val="left"/>
        <w:rPr/>
      </w:pPr>
      <w:r>
        <w:rPr/>
      </w:r>
    </w:p>
    <w:p>
      <w:pPr>
        <w:pStyle w:val="TextBody"/>
        <w:bidi w:val="0"/>
        <w:spacing w:before="200" w:after="200"/>
        <w:ind w:left="0" w:right="0" w:hanging="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u w:val="single"/>
          <w:shd w:fill="FFFFFF" w:val="clear"/>
        </w:rPr>
      </w:pPr>
      <w:bookmarkStart w:id="47" w:name="ManagementsAnnualReporton"/>
      <w:bookmarkEnd w:id="47"/>
      <w:r>
        <w:rPr>
          <w:rFonts w:ascii="Times New Roman" w:hAnsi="Times New Roman"/>
          <w:b w:val="false"/>
          <w:i w:val="false"/>
          <w:caps w:val="false"/>
          <w:smallCaps w:val="false"/>
          <w:color w:val="000000"/>
          <w:spacing w:val="0"/>
          <w:sz w:val="20"/>
          <w:u w:val="single"/>
          <w:shd w:fill="FFFFFF" w:val="clear"/>
        </w:rPr>
        <w:t>Management’s Annual Report on Internal Control Over Financial Reporting</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Management of ADMA Biologics, Inc. (the “Company”) is responsible for establishing and maintaining adequate internal control over financial reporting for the Company.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r>
        <w:rPr>
          <w:rFonts w:ascii="Times New Roman" w:hAnsi="Times New Roman"/>
          <w:b w:val="false"/>
          <w:i w:val="false"/>
          <w:caps w:val="false"/>
          <w:smallCaps w:val="false"/>
          <w:color w:val="000000"/>
          <w:spacing w:val="0"/>
          <w:sz w:val="20"/>
          <w:shd w:fill="FFFFFF" w:val="clear"/>
        </w:rPr>
        <w:t>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r>
        <w:rPr>
          <w:rFonts w:ascii="Times New Roman" w:hAnsi="Times New Roman"/>
          <w:b w:val="false"/>
          <w:i w:val="false"/>
          <w:caps w:val="false"/>
          <w:smallCaps w:val="false"/>
          <w:color w:val="000000"/>
          <w:spacing w:val="0"/>
          <w:sz w:val="20"/>
          <w:shd w:fill="FFFFFF" w:val="clear"/>
        </w:rPr>
        <w:t>Management, with the participation of the Company’s Chief Executive Officer and Chief Financial Officer, assessed the effectiveness of its internal control over financial reporting as of December 31, 2023.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2023 based on those criteria.</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r>
        <w:rPr>
          <w:rFonts w:ascii="Times New Roman" w:hAnsi="Times New Roman"/>
          <w:b w:val="false"/>
          <w:i w:val="false"/>
          <w:caps w:val="false"/>
          <w:smallCaps w:val="false"/>
          <w:color w:val="000000"/>
          <w:spacing w:val="0"/>
          <w:sz w:val="20"/>
          <w:shd w:fill="FFFFFF" w:val="clear"/>
        </w:rPr>
        <w:t>Our independent registered public accounting firm, which has audited the consolidated financial statements included in this Annual Report on Form 10-K, has also issued an audit report on the effectiveness of our internal control over financial reporting as of December 31, 2023. Their report appears on page F-3 of this Annual Report on Form 10-K.</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8680" w:type="dxa"/>
        <w:jc w:val="left"/>
        <w:tblInd w:w="0" w:type="dxa"/>
        <w:shd w:fill="FFFFFF" w:val="clear"/>
        <w:tblLayout w:type="fixed"/>
        <w:tblCellMar>
          <w:top w:w="0" w:type="dxa"/>
          <w:left w:w="0" w:type="dxa"/>
          <w:bottom w:w="0" w:type="dxa"/>
          <w:right w:w="0" w:type="dxa"/>
        </w:tblCellMar>
      </w:tblPr>
      <w:tblGrid>
        <w:gridCol w:w="3620"/>
        <w:gridCol w:w="5060"/>
      </w:tblGrid>
      <w:tr>
        <w:trPr/>
        <w:tc>
          <w:tcPr>
            <w:tcW w:w="3620" w:type="dxa"/>
            <w:tcBorders/>
            <w:shd w:fill="FFFFFF" w:val="clear"/>
            <w:vAlign w:val="center"/>
          </w:tcPr>
          <w:p>
            <w:pPr>
              <w:pStyle w:val="TableContents"/>
              <w:bidi w:val="0"/>
              <w:spacing w:before="0" w:after="0"/>
              <w:jc w:val="left"/>
              <w:rPr>
                <w:u w:val="single"/>
              </w:rPr>
            </w:pPr>
            <w:r>
              <w:rPr>
                <w:u w:val="single"/>
              </w:rPr>
              <w:t>/s/ Adam S. Grossman</w:t>
            </w:r>
          </w:p>
        </w:tc>
        <w:tc>
          <w:tcPr>
            <w:tcW w:w="5060" w:type="dxa"/>
            <w:tcBorders/>
            <w:shd w:fill="FFFFFF" w:val="clear"/>
            <w:vAlign w:val="center"/>
          </w:tcPr>
          <w:p>
            <w:pPr>
              <w:pStyle w:val="TableContents"/>
              <w:bidi w:val="0"/>
              <w:spacing w:before="0" w:after="0"/>
              <w:jc w:val="left"/>
              <w:rPr>
                <w:u w:val="single"/>
              </w:rPr>
            </w:pPr>
            <w:r>
              <w:rPr>
                <w:u w:val="single"/>
              </w:rPr>
              <w:t>/s/ Brian Lenz</w:t>
            </w:r>
          </w:p>
        </w:tc>
      </w:tr>
      <w:tr>
        <w:trPr/>
        <w:tc>
          <w:tcPr>
            <w:tcW w:w="3620" w:type="dxa"/>
            <w:tcBorders/>
            <w:shd w:fill="FFFFFF" w:val="clear"/>
            <w:vAlign w:val="center"/>
          </w:tcPr>
          <w:p>
            <w:pPr>
              <w:pStyle w:val="TableContents"/>
              <w:bidi w:val="0"/>
              <w:spacing w:before="0" w:after="0"/>
              <w:jc w:val="left"/>
              <w:rPr/>
            </w:pPr>
            <w:r>
              <w:rPr/>
              <w:t>Adam S. Grossman</w:t>
            </w:r>
          </w:p>
        </w:tc>
        <w:tc>
          <w:tcPr>
            <w:tcW w:w="5060" w:type="dxa"/>
            <w:tcBorders/>
            <w:shd w:fill="FFFFFF" w:val="clear"/>
            <w:vAlign w:val="center"/>
          </w:tcPr>
          <w:p>
            <w:pPr>
              <w:pStyle w:val="TableContents"/>
              <w:bidi w:val="0"/>
              <w:spacing w:before="0" w:after="0"/>
              <w:jc w:val="left"/>
              <w:rPr/>
            </w:pPr>
            <w:r>
              <w:rPr/>
              <w:t>Brian Lenz</w:t>
            </w:r>
          </w:p>
        </w:tc>
      </w:tr>
      <w:tr>
        <w:trPr/>
        <w:tc>
          <w:tcPr>
            <w:tcW w:w="3620" w:type="dxa"/>
            <w:tcBorders/>
            <w:shd w:fill="FFFFFF" w:val="clear"/>
            <w:vAlign w:val="center"/>
          </w:tcPr>
          <w:p>
            <w:pPr>
              <w:pStyle w:val="TableContents"/>
              <w:bidi w:val="0"/>
              <w:spacing w:before="0" w:after="0"/>
              <w:jc w:val="left"/>
              <w:rPr/>
            </w:pPr>
            <w:r>
              <w:rPr/>
              <w:t>President and Chief Executive Officer</w:t>
            </w:r>
          </w:p>
        </w:tc>
        <w:tc>
          <w:tcPr>
            <w:tcW w:w="5060" w:type="dxa"/>
            <w:tcBorders/>
            <w:shd w:fill="FFFFFF" w:val="clear"/>
            <w:vAlign w:val="center"/>
          </w:tcPr>
          <w:p>
            <w:pPr>
              <w:pStyle w:val="TableContents"/>
              <w:bidi w:val="0"/>
              <w:spacing w:before="0" w:after="0"/>
              <w:jc w:val="left"/>
              <w:rPr/>
            </w:pPr>
            <w:r>
              <w:rPr/>
              <w:t>Executive Vice President and Chief Financial Officer</w:t>
            </w:r>
          </w:p>
        </w:tc>
      </w:tr>
      <w:tr>
        <w:trPr/>
        <w:tc>
          <w:tcPr>
            <w:tcW w:w="3620" w:type="dxa"/>
            <w:tcBorders/>
            <w:shd w:fill="FFFFFF" w:val="clear"/>
            <w:vAlign w:val="center"/>
          </w:tcPr>
          <w:p>
            <w:pPr>
              <w:pStyle w:val="TableContents"/>
              <w:bidi w:val="0"/>
              <w:spacing w:before="0" w:after="283"/>
              <w:jc w:val="left"/>
              <w:rPr/>
            </w:pPr>
            <w:r>
              <w:rPr/>
              <w:t> </w:t>
            </w:r>
          </w:p>
        </w:tc>
        <w:tc>
          <w:tcPr>
            <w:tcW w:w="5060" w:type="dxa"/>
            <w:tcBorders/>
            <w:shd w:fill="FFFF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jc w:val="left"/>
              <w:rPr/>
            </w:pPr>
            <w:r>
              <w:rPr/>
              <w:t>February 28, 2024</w:t>
            </w:r>
          </w:p>
        </w:tc>
        <w:tc>
          <w:tcPr>
            <w:tcW w:w="5060" w:type="dxa"/>
            <w:tcBorders/>
            <w:shd w:fill="FFFFFF" w:val="clear"/>
            <w:vAlign w:val="center"/>
          </w:tcPr>
          <w:p>
            <w:pPr>
              <w:pStyle w:val="TableContents"/>
              <w:bidi w:val="0"/>
              <w:spacing w:before="0" w:after="0"/>
              <w:jc w:val="left"/>
              <w:rPr/>
            </w:pPr>
            <w:r>
              <w:rPr/>
              <w:t>February 28, 2024</w:t>
            </w:r>
          </w:p>
        </w:tc>
      </w:tr>
    </w:tbl>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val="false"/>
          <w:i/>
          <w:caps w:val="false"/>
          <w:smallCaps w:val="false"/>
          <w:color w:val="000000"/>
          <w:sz w:val="20"/>
          <w:shd w:fill="FFFFFF" w:val="clear"/>
        </w:rPr>
      </w:pPr>
      <w:bookmarkStart w:id="48" w:name="ReportofIndependentRegist"/>
      <w:bookmarkEnd w:id="48"/>
      <w:r>
        <w:rPr>
          <w:rFonts w:ascii="Times New Roman" w:hAnsi="Times New Roman"/>
          <w:b w:val="false"/>
          <w:i/>
          <w:caps w:val="false"/>
          <w:smallCaps w:val="false"/>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Board of Directors and Stockholders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ADMA Biologics, Inc.</w:t>
      </w:r>
    </w:p>
    <w:p>
      <w:pPr>
        <w:pStyle w:val="TextBody"/>
        <w:bidi w:val="0"/>
        <w:spacing w:before="0" w:after="0"/>
        <w:jc w:val="left"/>
        <w:rPr/>
      </w:pPr>
      <w:r>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Opinion on the Consolidated Financial Statements and Internal Control Over Financial Reporting</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We have audited the accompanying consolidated balance sheets of ADMA Biologics, Inc. and subsidiaries (the “Company”) as of December 31, 2023 and 2022, and the related consolidated statements of operations, changes in stockholders’ equity, and cash flows for each of the years in the three-year period ended December 31, 2023 and the related notes and financial statement schedule II – valuation and qualifying accounts (collectively referred to as the “consolidated financial statements”). We also have audited the Company’s internal control over financial reporting as of December 31, 2023, based on criteria established in Internal Control-Integrated Framework (2013) issued by the Committee of Sponsoring Organizations of the Treadway Commission.</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Control-Integrated Framework (2013) issued by the Committee of Sponsoring Organizations of the Treadway Commission.</w:t>
      </w:r>
    </w:p>
    <w:p>
      <w:pPr>
        <w:pStyle w:val="TextBody"/>
        <w:bidi w:val="0"/>
        <w:spacing w:before="0" w:after="0"/>
        <w:jc w:val="left"/>
        <w:rPr/>
      </w:pPr>
      <w:r>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Basis for Opinion</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entity’s consolidated financial statements and on the entity’s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Definition and Limitations of Internal Control Over Financial Reporting</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An entity’s internal control over financial reporting is a process designed to provide reasonable assurance regarding the reliability of financial reporting and the preparation of consolidated financial statements for external purposes in accordance with accounting principles generally accepted in the United States of America. An entity’s internal control over financial reporting includes those policies and procedures that (i) pertain to the maintenance of records that, in reasonable detail, accurately and fairly reflect the transactions and dispositions of the assets of the entity; (ii) provide reasonable assurance that transactions are recorded as necessary to permit preparation of consolidated financial statements in accordance with accounting principles generally accepted in the United States of America, and that receipts and expenditures of the entity are being made only in accordance with authorizations of management and directors of the entity; and (iii) provide reasonable assurance regarding prevention or timely detection of unauthorized acquisition, use, or disposition of the entity’s assets that could have a material effect on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F-3</w:t>
      </w:r>
    </w:p>
    <w:p>
      <w:pPr>
        <w:pStyle w:val="HorizontalLine"/>
        <w:bidi w:val="0"/>
        <w:spacing w:before="200" w:after="200"/>
        <w:jc w:val="center"/>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Critical Audit Matters</w:t>
      </w:r>
    </w:p>
    <w:p>
      <w:pPr>
        <w:pStyle w:val="TextBody"/>
        <w:bidi w:val="0"/>
        <w:spacing w:before="0" w:after="0"/>
        <w:jc w:val="center"/>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Valuation of Inventory</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Description of the matter</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December 31, 2023, the Company’s inventory totaled $172.9 million. As described in the notes to the consolidated financial statements, the valuation of inventory involves significant estimates relating to the capitalization of labor and overhead costs to the work in process and finished goods inventories as well as lower of cost or net realizable value considerations. Given the significance of the inventory value, the importance of inventory to the Company’s operations, the various components and the multiple locations and the complexity of the computations, auditing the inventory was challenging and involved a relatively high degree of auditor judgment and subjectivity, extensive testing, and the involvement of more senior members of the engagement team to design the appropriate responsive audit procedures and to supervise, execute and review the test results.</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How we addressed the matter in our audit</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We obtained an understanding of, and tested controls related to the Company’s process to estimate labor and overhead in the inventory as well as controls over estimating the lower of cost or net realizable value. We performed substantive procedures relating to the inventory valuation, which included verifying significant components of the valuation to supporting records, assessing the application of direct labor costs included in the valuation and assessing the appropriateness of the components of the indirect overhead pools as well as the application of such pool to the valuation. We tested the completeness and accuracy of the data used in management’s valuation and the mathematical accuracy of the direct labor and overhead applications. To assess management’s assertion that inventory is carried at the lower of cost or net realizable value, we tested subsequent sales transactions and net sales proceeds.</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Variable Consideration Estimates - Rebates</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Description of the matter</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disclosed in Note 2 to the consolidated financial statements, revenue from the sale of the Company’s products is recorded net of estimated rebates, price protection arrangements and customer incentives, including prompt pay discounts, wholesaler chargebacks and other wholesaler fees. Estimated rebates are also attributable to government programs that mandate various reductions from list price, which are reflected as liabilities and settled through cash payments.</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Auditing the variable consideration estimates, more specifically rebates related to U.S. Medicaid, Medicare Part D, and managed care is complex because of the subjectivity of certain assumptions and judgements required to develop estimates. These significant assumptions and judgments include consideration of legal interpretations of applicable laws and regulations, historical claims experience, payer channel mix, current contract prices, unbilled claims and claims submission time lags. Additionally, auditing this matter is challenging given the Company’s limited history in selling certain of its products.</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How we addressed the matter in our audit</w:t>
      </w:r>
    </w:p>
    <w:p>
      <w:pPr>
        <w:pStyle w:val="TextBody"/>
        <w:bidi w:val="0"/>
        <w:spacing w:before="0" w:after="0"/>
        <w:jc w:val="center"/>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We obtained an understanding of, and tested controls related to the Company’s process to estimate variable consideration as it relates to rebates, specifically U.S. Medicaid, Medicare Part D and managed care. We performed a combination of substantive procedures including recalculations of the percentages of rebates processed against related rebate eligible revenue for certain products, confirmations of underlying data used in the calculations and an evaluation of actual rebates processed against historical estimates. Our testing focused on the appropriateness of significant assumptions and mathematical accuracy used in the calculation and the completeness and accuracy of the data used in the estimates. To address the completeness of the reserves, we also assessed the historical accuracy of management’s estimates by comparing actual activity to previous estimates (lookback). Finally, we considered subsequent events and any new information after the financial statement date that would require an adjustment to the accruals.</w:t>
      </w:r>
    </w:p>
    <w:p>
      <w:pPr>
        <w:pStyle w:val="TextBody"/>
        <w:bidi w:val="0"/>
        <w:spacing w:before="120" w:after="120"/>
        <w:jc w:val="both"/>
        <w:rPr>
          <w:rFonts w:ascii="Times New Roman" w:hAnsi="Times New Roman"/>
          <w:sz w:val="20"/>
        </w:rPr>
      </w:pPr>
      <w:r>
        <w:rPr>
          <w:rFonts w:ascii="Times New Roman" w:hAnsi="Times New Roman"/>
          <w:sz w:val="20"/>
        </w:rPr>
      </w:r>
    </w:p>
    <w:tbl>
      <w:tblPr>
        <w:tblW w:w="5150" w:type="dxa"/>
        <w:jc w:val="left"/>
        <w:tblInd w:w="0" w:type="dxa"/>
        <w:shd w:fill="FFFFFF" w:val="clear"/>
        <w:tblLayout w:type="fixed"/>
        <w:tblCellMar>
          <w:top w:w="0" w:type="dxa"/>
          <w:left w:w="0" w:type="dxa"/>
          <w:bottom w:w="0" w:type="dxa"/>
          <w:right w:w="0" w:type="dxa"/>
        </w:tblCellMar>
      </w:tblPr>
      <w:tblGrid>
        <w:gridCol w:w="5150"/>
      </w:tblGrid>
      <w:tr>
        <w:trPr/>
        <w:tc>
          <w:tcPr>
            <w:tcW w:w="5150" w:type="dxa"/>
            <w:tcBorders/>
            <w:shd w:fill="FFFFFF" w:val="clear"/>
            <w:vAlign w:val="center"/>
          </w:tcPr>
          <w:p>
            <w:pPr>
              <w:pStyle w:val="TableContents"/>
              <w:bidi w:val="0"/>
              <w:spacing w:before="0" w:after="0"/>
              <w:jc w:val="left"/>
              <w:rPr/>
            </w:pPr>
            <w:r>
              <w:rPr/>
              <w:t>/s/ CohnReznick LLP</w:t>
            </w:r>
          </w:p>
        </w:tc>
      </w:tr>
      <w:tr>
        <w:trPr/>
        <w:tc>
          <w:tcPr>
            <w:tcW w:w="5150"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jc w:val="left"/>
              <w:rPr/>
            </w:pPr>
            <w:r>
              <w:rPr/>
              <w:t>We have served as the Company’s auditor since 2008.</w:t>
            </w:r>
          </w:p>
        </w:tc>
      </w:tr>
      <w:tr>
        <w:trPr/>
        <w:tc>
          <w:tcPr>
            <w:tcW w:w="5150"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jc w:val="left"/>
              <w:rPr/>
            </w:pPr>
            <w:r>
              <w:rPr/>
              <w:t>Parsippany, New Jersey</w:t>
            </w:r>
          </w:p>
        </w:tc>
      </w:tr>
      <w:tr>
        <w:trPr/>
        <w:tc>
          <w:tcPr>
            <w:tcW w:w="5150"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jc w:val="left"/>
              <w:rPr/>
            </w:pPr>
            <w:r>
              <w:rPr/>
              <w:t>February 28, 2024</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ADMA BIOLOGICS, INC. AND SUBSIDIARIES</w:t>
      </w:r>
    </w:p>
    <w:p>
      <w:pPr>
        <w:pStyle w:val="TextBody"/>
        <w:bidi w:val="0"/>
        <w:spacing w:before="0" w:after="0"/>
        <w:ind w:left="0" w:right="0" w:hanging="0"/>
        <w:jc w:val="center"/>
        <w:rPr/>
      </w:pPr>
      <w:bookmarkStart w:id="49" w:name="BALANCESHEETS"/>
      <w:bookmarkEnd w:id="49"/>
      <w:r>
        <w:rPr>
          <w:rStyle w:val="StrongEmphasis"/>
          <w:rFonts w:ascii="Times New Roman" w:hAnsi="Times New Roman"/>
          <w:b w:val="false"/>
          <w:i w:val="false"/>
          <w:caps w:val="false"/>
          <w:smallCaps w:val="false"/>
          <w:color w:val="000000"/>
          <w:sz w:val="20"/>
          <w:shd w:fill="FFFFFF" w:val="clear"/>
        </w:rPr>
        <w:t>CONSOLIDATED BALANCE SHEETS</w:t>
      </w:r>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Years Ended December 31, 2023 and 2022</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098"/>
        <w:gridCol w:w="90"/>
        <w:gridCol w:w="207"/>
        <w:gridCol w:w="1111"/>
        <w:gridCol w:w="130"/>
        <w:gridCol w:w="94"/>
        <w:gridCol w:w="207"/>
        <w:gridCol w:w="1111"/>
        <w:gridCol w:w="157"/>
      </w:tblGrid>
      <w:tr>
        <w:trPr/>
        <w:tc>
          <w:tcPr>
            <w:tcW w:w="70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318" w:type="dxa"/>
            <w:gridSpan w:val="2"/>
            <w:tcBorders/>
            <w:vAlign w:val="bottom"/>
          </w:tcPr>
          <w:p>
            <w:pPr>
              <w:pStyle w:val="TableContents"/>
              <w:bidi w:val="0"/>
              <w:spacing w:before="0" w:after="0"/>
              <w:ind w:left="0" w:right="0" w:hanging="0"/>
              <w:jc w:val="center"/>
              <w:rPr/>
            </w:pPr>
            <w:r>
              <w:rPr>
                <w:rStyle w:val="StrongEmphasis"/>
              </w:rPr>
              <w:t>December 31,</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center"/>
              <w:rPr/>
            </w:pPr>
            <w:r>
              <w:rPr/>
              <w:t> </w:t>
            </w:r>
          </w:p>
        </w:tc>
        <w:tc>
          <w:tcPr>
            <w:tcW w:w="1318" w:type="dxa"/>
            <w:gridSpan w:val="2"/>
            <w:tcBorders/>
            <w:vAlign w:val="bottom"/>
          </w:tcPr>
          <w:p>
            <w:pPr>
              <w:pStyle w:val="TableContents"/>
              <w:bidi w:val="0"/>
              <w:spacing w:before="0" w:after="0"/>
              <w:ind w:left="0" w:right="0" w:hanging="0"/>
              <w:jc w:val="center"/>
              <w:rPr/>
            </w:pPr>
            <w:r>
              <w:rPr>
                <w:rStyle w:val="StrongEmphasis"/>
              </w:rPr>
              <w:t>December 31,</w:t>
            </w:r>
          </w:p>
        </w:tc>
        <w:tc>
          <w:tcPr>
            <w:tcW w:w="157" w:type="dxa"/>
            <w:tcBorders/>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center"/>
              <w:rPr/>
            </w:pPr>
            <w:r>
              <w:rPr/>
              <w:t> </w:t>
            </w:r>
          </w:p>
        </w:tc>
        <w:tc>
          <w:tcPr>
            <w:tcW w:w="1318" w:type="dxa"/>
            <w:gridSpan w:val="2"/>
            <w:tcBorders>
              <w:bottom w:val="single" w:sz="12" w:space="0" w:color="000000"/>
            </w:tcBorders>
            <w:tcMar>
              <w:bottom w:w="28" w:type="dxa"/>
            </w:tcMar>
            <w:vAlign w:val="bottom"/>
          </w:tcPr>
          <w:p>
            <w:pPr>
              <w:pStyle w:val="TableContents"/>
              <w:bidi w:val="0"/>
              <w:spacing w:before="0" w:after="283"/>
              <w:jc w:val="center"/>
              <w:rPr/>
            </w:pPr>
            <w:r>
              <w:rPr>
                <w:rStyle w:val="StrongEmphasis"/>
              </w:rPr>
              <w:t>2023</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center"/>
              <w:rPr/>
            </w:pPr>
            <w:r>
              <w:rPr/>
              <w:t> </w:t>
            </w:r>
          </w:p>
        </w:tc>
        <w:tc>
          <w:tcPr>
            <w:tcW w:w="1318" w:type="dxa"/>
            <w:gridSpan w:val="2"/>
            <w:tcBorders>
              <w:bottom w:val="single" w:sz="12" w:space="0" w:color="000000"/>
            </w:tcBorders>
            <w:tcMar>
              <w:bottom w:w="28" w:type="dxa"/>
            </w:tcMar>
            <w:vAlign w:val="bottom"/>
          </w:tcPr>
          <w:p>
            <w:pPr>
              <w:pStyle w:val="TableContents"/>
              <w:bidi w:val="0"/>
              <w:spacing w:before="0" w:after="283"/>
              <w:jc w:val="center"/>
              <w:rPr/>
            </w:pPr>
            <w:r>
              <w:rPr>
                <w:rStyle w:val="StrongEmphasis"/>
              </w:rPr>
              <w:t>2022</w:t>
            </w:r>
          </w:p>
        </w:tc>
        <w:tc>
          <w:tcPr>
            <w:tcW w:w="157" w:type="dxa"/>
            <w:tcBorders/>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60" w:type="dxa"/>
            <w:gridSpan w:val="6"/>
            <w:tcBorders/>
            <w:vAlign w:val="bottom"/>
          </w:tcPr>
          <w:p>
            <w:pPr>
              <w:pStyle w:val="TableContents"/>
              <w:bidi w:val="0"/>
              <w:spacing w:before="0" w:after="283"/>
              <w:jc w:val="left"/>
              <w:rPr/>
            </w:pPr>
            <w:r>
              <w:rPr/>
              <w:t xml:space="preserve">    </w:t>
            </w:r>
            <w:r>
              <w:rPr>
                <w:i/>
              </w:rPr>
              <w:t>(In thousands, except share data)</w:t>
            </w:r>
          </w:p>
        </w:tc>
        <w:tc>
          <w:tcPr>
            <w:tcW w:w="157" w:type="dxa"/>
            <w:tcBorders/>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rStyle w:val="StrongEmphasis"/>
              </w:rPr>
              <w:t>ASSETS</w:t>
            </w:r>
          </w:p>
        </w:tc>
        <w:tc>
          <w:tcPr>
            <w:tcW w:w="90" w:type="dxa"/>
            <w:tcBorders/>
            <w:vAlign w:val="bottom"/>
          </w:tcPr>
          <w:p>
            <w:pPr>
              <w:pStyle w:val="TableContents"/>
              <w:bidi w:val="0"/>
              <w:spacing w:before="0" w:after="283"/>
              <w:jc w:val="left"/>
              <w:rPr/>
            </w:pPr>
            <w:r>
              <w:rPr/>
            </w:r>
          </w:p>
        </w:tc>
        <w:tc>
          <w:tcPr>
            <w:tcW w:w="1318" w:type="dxa"/>
            <w:gridSpan w:val="2"/>
            <w:tcBorders/>
            <w:vAlign w:val="bottom"/>
          </w:tcPr>
          <w:p>
            <w:pPr>
              <w:pStyle w:val="TableContents"/>
              <w:bidi w:val="0"/>
              <w:spacing w:before="0" w:after="283"/>
              <w:jc w:val="left"/>
              <w:rPr/>
            </w:pPr>
            <w:r>
              <w:rPr/>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Current assets:</w:t>
            </w:r>
          </w:p>
        </w:tc>
        <w:tc>
          <w:tcPr>
            <w:tcW w:w="90"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225" w:right="0" w:hanging="0"/>
              <w:jc w:val="left"/>
              <w:rPr/>
            </w:pPr>
            <w:r>
              <w:rPr/>
              <w:t>Cash and cash equivalents</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51,352</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86,522</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225" w:right="0" w:hanging="0"/>
              <w:jc w:val="left"/>
              <w:rPr/>
            </w:pPr>
            <w:r>
              <w:rPr/>
              <w:t>Accounts receivable, net</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27,421</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15,505</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225" w:right="0" w:hanging="0"/>
              <w:jc w:val="left"/>
              <w:rPr/>
            </w:pPr>
            <w:r>
              <w:rPr/>
              <w:t>Inventories</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172,906</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163,280</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225" w:right="0" w:hanging="0"/>
              <w:jc w:val="left"/>
              <w:rPr/>
            </w:pPr>
            <w:r>
              <w:rPr/>
              <w:t>Prepaid expenses and other current assets</w:t>
            </w:r>
          </w:p>
        </w:tc>
        <w:tc>
          <w:tcPr>
            <w:tcW w:w="9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283"/>
              <w:jc w:val="right"/>
              <w:rPr/>
            </w:pPr>
            <w:r>
              <w:rPr/>
              <w:t>5,334</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283"/>
              <w:jc w:val="right"/>
              <w:rPr/>
            </w:pPr>
            <w:r>
              <w:rPr/>
              <w:t>5,095</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450" w:right="0" w:hanging="0"/>
              <w:jc w:val="left"/>
              <w:rPr/>
            </w:pPr>
            <w:r>
              <w:rPr/>
              <w:t>Total current assets</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257,013</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270,402</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Property and equipment, net</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53,835</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58,261</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0" w:right="0" w:hanging="0"/>
              <w:jc w:val="left"/>
              <w:rPr/>
            </w:pPr>
            <w:r>
              <w:rPr/>
              <w:t>Intangible assets, net</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499</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1,013</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Goodwill</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3,530</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3,530</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0" w:right="0" w:hanging="0"/>
              <w:jc w:val="left"/>
              <w:rPr/>
            </w:pPr>
            <w:r>
              <w:rPr/>
              <w:t>Right-to-use assets</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9,635</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10,485</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Deposits and other assets</w:t>
            </w:r>
          </w:p>
        </w:tc>
        <w:tc>
          <w:tcPr>
            <w:tcW w:w="9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283"/>
              <w:jc w:val="right"/>
              <w:rPr/>
            </w:pPr>
            <w:r>
              <w:rPr/>
              <w:t>4,670</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283"/>
              <w:jc w:val="right"/>
              <w:rPr/>
            </w:pPr>
            <w:r>
              <w:rPr/>
              <w:t>4,770</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0" w:right="0" w:hanging="0"/>
              <w:jc w:val="left"/>
              <w:rPr/>
            </w:pPr>
            <w:r>
              <w:rPr>
                <w:rStyle w:val="StrongEmphasis"/>
              </w:rPr>
              <w:t>TOTAL ASSETS</w:t>
            </w:r>
          </w:p>
        </w:tc>
        <w:tc>
          <w:tcPr>
            <w:tcW w:w="90" w:type="dxa"/>
            <w:tcBorders/>
            <w:shd w:fill="CCEEFF" w:val="clear"/>
            <w:vAlign w:val="bottom"/>
          </w:tcPr>
          <w:p>
            <w:pPr>
              <w:pStyle w:val="TableContents"/>
              <w:bidi w:val="0"/>
              <w:spacing w:before="0" w:after="283"/>
              <w:jc w:val="right"/>
              <w:rPr/>
            </w:pPr>
            <w:r>
              <w:rPr/>
              <w:t> </w:t>
            </w:r>
          </w:p>
        </w:tc>
        <w:tc>
          <w:tcPr>
            <w:tcW w:w="207"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1111" w:type="dxa"/>
            <w:tcBorders>
              <w:bottom w:val="double" w:sz="6" w:space="0" w:color="000000"/>
            </w:tcBorders>
            <w:shd w:fill="CCEEFF" w:val="clear"/>
            <w:tcMar>
              <w:bottom w:w="45" w:type="dxa"/>
            </w:tcMar>
            <w:vAlign w:val="bottom"/>
          </w:tcPr>
          <w:p>
            <w:pPr>
              <w:pStyle w:val="TableContents"/>
              <w:bidi w:val="0"/>
              <w:spacing w:before="0" w:after="283"/>
              <w:jc w:val="right"/>
              <w:rPr/>
            </w:pPr>
            <w:r>
              <w:rPr/>
              <w:t>329,182</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1111" w:type="dxa"/>
            <w:tcBorders>
              <w:bottom w:val="double" w:sz="6" w:space="0" w:color="000000"/>
            </w:tcBorders>
            <w:shd w:fill="CCEEFF" w:val="clear"/>
            <w:tcMar>
              <w:bottom w:w="45" w:type="dxa"/>
            </w:tcMar>
            <w:vAlign w:val="bottom"/>
          </w:tcPr>
          <w:p>
            <w:pPr>
              <w:pStyle w:val="TableContents"/>
              <w:bidi w:val="0"/>
              <w:spacing w:before="0" w:after="283"/>
              <w:jc w:val="right"/>
              <w:rPr/>
            </w:pPr>
            <w:r>
              <w:rPr/>
              <w:t>348,461</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LIABILITIES AND STOCKHOLDERS’ EQUITY</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Current liabilities:</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225" w:right="0" w:hanging="0"/>
              <w:jc w:val="left"/>
              <w:rPr/>
            </w:pPr>
            <w:r>
              <w:rPr/>
              <w:t>Accounts payable</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15,660</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13,229</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225" w:right="0" w:hanging="0"/>
              <w:jc w:val="left"/>
              <w:rPr/>
            </w:pPr>
            <w:r>
              <w:rPr/>
              <w:t>Accrued expenses and other current liabilities</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32,919</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24,990</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225" w:right="0" w:hanging="0"/>
              <w:jc w:val="left"/>
              <w:rPr/>
            </w:pPr>
            <w:r>
              <w:rPr/>
              <w:t>Current portion of deferred revenue</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182</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143</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225" w:right="0" w:hanging="0"/>
              <w:jc w:val="left"/>
              <w:rPr/>
            </w:pPr>
            <w:r>
              <w:rPr/>
              <w:t>Current portion of lease obligations</w:t>
            </w:r>
          </w:p>
        </w:tc>
        <w:tc>
          <w:tcPr>
            <w:tcW w:w="9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283"/>
              <w:jc w:val="right"/>
              <w:rPr/>
            </w:pPr>
            <w:r>
              <w:rPr/>
              <w:t>1,045</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283"/>
              <w:jc w:val="right"/>
              <w:rPr/>
            </w:pPr>
            <w:r>
              <w:rPr/>
              <w:t>905</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450" w:right="0" w:hanging="0"/>
              <w:jc w:val="left"/>
              <w:rPr/>
            </w:pPr>
            <w:r>
              <w:rPr/>
              <w:t>Total current liabilities</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49,806</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39,267</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Senior notes payable, net of discount</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130,594</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142,833</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0" w:right="0" w:hanging="0"/>
              <w:jc w:val="left"/>
              <w:rPr/>
            </w:pPr>
            <w:r>
              <w:rPr/>
              <w:t>Deferred revenue, net of current portion</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1,690</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1,833</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283"/>
              <w:jc w:val="left"/>
              <w:rPr/>
            </w:pPr>
            <w:r>
              <w:rPr/>
              <w:t xml:space="preserve">End of term fee </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1,688</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1,500</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0" w:right="0" w:hanging="0"/>
              <w:jc w:val="left"/>
              <w:rPr/>
            </w:pPr>
            <w:r>
              <w:rPr/>
              <w:t>Lease obligations, net of current portion</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9,779</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10,704</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Other non-current liabilities</w:t>
            </w:r>
          </w:p>
        </w:tc>
        <w:tc>
          <w:tcPr>
            <w:tcW w:w="9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283"/>
              <w:jc w:val="right"/>
              <w:rPr/>
            </w:pPr>
            <w:r>
              <w:rPr/>
              <w:t>419</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283"/>
              <w:jc w:val="right"/>
              <w:rPr/>
            </w:pPr>
            <w:r>
              <w:rPr/>
              <w:t>350</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0" w:right="0" w:hanging="0"/>
              <w:jc w:val="left"/>
              <w:rPr/>
            </w:pPr>
            <w:r>
              <w:rPr>
                <w:rStyle w:val="StrongEmphasis"/>
              </w:rPr>
              <w:t>TOTAL LIABILITIES</w:t>
            </w:r>
          </w:p>
        </w:tc>
        <w:tc>
          <w:tcPr>
            <w:tcW w:w="90"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bottom"/>
          </w:tcPr>
          <w:p>
            <w:pPr>
              <w:pStyle w:val="TableContents"/>
              <w:bidi w:val="0"/>
              <w:spacing w:before="0" w:after="283"/>
              <w:jc w:val="right"/>
              <w:rPr/>
            </w:pPr>
            <w:r>
              <w:rPr/>
              <w:t>193,976</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bottom"/>
          </w:tcPr>
          <w:p>
            <w:pPr>
              <w:pStyle w:val="TableContents"/>
              <w:bidi w:val="0"/>
              <w:spacing w:before="0" w:after="283"/>
              <w:jc w:val="right"/>
              <w:rPr/>
            </w:pPr>
            <w:r>
              <w:rPr/>
              <w:t>196,487</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0" w:right="0" w:hanging="0"/>
              <w:jc w:val="left"/>
              <w:rPr/>
            </w:pPr>
            <w:r>
              <w:rPr>
                <w:rStyle w:val="StrongEmphasis"/>
              </w:rPr>
              <w:t>COMMITMENTS AND CONTINGENCIES</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STOCKHOLDERS’ EQUITY</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180" w:right="0" w:hanging="0"/>
              <w:jc w:val="left"/>
              <w:rPr/>
            </w:pPr>
            <w:r>
              <w:rPr/>
              <w:t xml:space="preserve">Preferred Stock, $0.0001 par value, 10,000,000 shares authorized, no shares issued and outstanding  </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180" w:right="0" w:hanging="0"/>
              <w:jc w:val="left"/>
              <w:rPr/>
            </w:pPr>
            <w:r>
              <w:rPr/>
              <w:t xml:space="preserve">Common Stock - voting, $0.0001 par value, 300,000,000 shares authorized, 226,063,032 and 221,816,930 shares issued and outstanding </w:t>
            </w:r>
          </w:p>
        </w:tc>
        <w:tc>
          <w:tcPr>
            <w:tcW w:w="9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23</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22</w:t>
            </w:r>
          </w:p>
        </w:tc>
        <w:tc>
          <w:tcPr>
            <w:tcW w:w="157" w:type="dxa"/>
            <w:tcBorders/>
            <w:shd w:fill="CCEEFF" w:val="clear"/>
            <w:vAlign w:val="bottom"/>
          </w:tcPr>
          <w:p>
            <w:pPr>
              <w:pStyle w:val="TableContents"/>
              <w:bidi w:val="0"/>
              <w:spacing w:before="0" w:after="283"/>
              <w:jc w:val="left"/>
              <w:rPr/>
            </w:pPr>
            <w:r>
              <w:rPr/>
              <w:t> </w:t>
            </w:r>
          </w:p>
        </w:tc>
      </w:tr>
      <w:tr>
        <w:trPr/>
        <w:tc>
          <w:tcPr>
            <w:tcW w:w="7098" w:type="dxa"/>
            <w:tcBorders/>
            <w:vAlign w:val="bottom"/>
          </w:tcPr>
          <w:p>
            <w:pPr>
              <w:pStyle w:val="TableContents"/>
              <w:bidi w:val="0"/>
              <w:spacing w:before="0" w:after="0"/>
              <w:ind w:left="0" w:right="0" w:hanging="0"/>
              <w:jc w:val="left"/>
              <w:rPr/>
            </w:pPr>
            <w:r>
              <w:rPr/>
              <w:t>Additional paid-in capital</w:t>
            </w:r>
          </w:p>
        </w:tc>
        <w:tc>
          <w:tcPr>
            <w:tcW w:w="9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641,439</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629,969</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0" w:right="0" w:hanging="0"/>
              <w:jc w:val="left"/>
              <w:rPr/>
            </w:pPr>
            <w:r>
              <w:rPr/>
              <w:t>Accumulated deficit</w:t>
            </w:r>
          </w:p>
        </w:tc>
        <w:tc>
          <w:tcPr>
            <w:tcW w:w="90"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bottom"/>
          </w:tcPr>
          <w:p>
            <w:pPr>
              <w:pStyle w:val="TableContents"/>
              <w:bidi w:val="0"/>
              <w:spacing w:before="0" w:after="283"/>
              <w:jc w:val="right"/>
              <w:rPr/>
            </w:pPr>
            <w:r>
              <w:rPr/>
              <w:t>(506,256</w:t>
            </w:r>
          </w:p>
        </w:tc>
        <w:tc>
          <w:tcPr>
            <w:tcW w:w="130" w:type="dxa"/>
            <w:tcBorders/>
            <w:shd w:fill="CCEEFF" w:val="clear"/>
            <w:vAlign w:val="bottom"/>
          </w:tcPr>
          <w:p>
            <w:pPr>
              <w:pStyle w:val="TableContents"/>
              <w:bidi w:val="0"/>
              <w:spacing w:before="0" w:after="283"/>
              <w:jc w:val="left"/>
              <w:rPr/>
            </w:pPr>
            <w:r>
              <w:rPr/>
              <w:t>)</w:t>
            </w:r>
          </w:p>
        </w:tc>
        <w:tc>
          <w:tcPr>
            <w:tcW w:w="94" w:type="dxa"/>
            <w:tcBorders/>
            <w:shd w:fill="CCEEFF" w:val="clear"/>
            <w:vAlign w:val="bottom"/>
          </w:tcPr>
          <w:p>
            <w:pPr>
              <w:pStyle w:val="TableContents"/>
              <w:bidi w:val="0"/>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bottom"/>
          </w:tcPr>
          <w:p>
            <w:pPr>
              <w:pStyle w:val="TableContents"/>
              <w:bidi w:val="0"/>
              <w:spacing w:before="0" w:after="283"/>
              <w:jc w:val="right"/>
              <w:rPr/>
            </w:pPr>
            <w:r>
              <w:rPr/>
              <w:t>(478,017</w:t>
            </w:r>
          </w:p>
        </w:tc>
        <w:tc>
          <w:tcPr>
            <w:tcW w:w="157" w:type="dxa"/>
            <w:tcBorders/>
            <w:shd w:fill="CCEEFF" w:val="clear"/>
            <w:vAlign w:val="bottom"/>
          </w:tcPr>
          <w:p>
            <w:pPr>
              <w:pStyle w:val="TableContents"/>
              <w:bidi w:val="0"/>
              <w:spacing w:before="0" w:after="283"/>
              <w:jc w:val="left"/>
              <w:rPr/>
            </w:pPr>
            <w:r>
              <w:rPr/>
              <w:t>)</w:t>
            </w:r>
          </w:p>
        </w:tc>
      </w:tr>
      <w:tr>
        <w:trPr/>
        <w:tc>
          <w:tcPr>
            <w:tcW w:w="7098" w:type="dxa"/>
            <w:tcBorders/>
            <w:vAlign w:val="bottom"/>
          </w:tcPr>
          <w:p>
            <w:pPr>
              <w:pStyle w:val="TableContents"/>
              <w:bidi w:val="0"/>
              <w:spacing w:before="0" w:after="0"/>
              <w:ind w:left="0" w:right="0" w:hanging="0"/>
              <w:jc w:val="left"/>
              <w:rPr/>
            </w:pPr>
            <w:r>
              <w:rPr>
                <w:rStyle w:val="StrongEmphasis"/>
              </w:rPr>
              <w:t xml:space="preserve">TOTAL STOCKHOLDERS’ EQUITY </w:t>
            </w:r>
          </w:p>
        </w:tc>
        <w:tc>
          <w:tcPr>
            <w:tcW w:w="9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283"/>
              <w:jc w:val="right"/>
              <w:rPr/>
            </w:pPr>
            <w:r>
              <w:rPr/>
              <w:t>135,206</w:t>
            </w:r>
          </w:p>
        </w:tc>
        <w:tc>
          <w:tcPr>
            <w:tcW w:w="13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1" w:type="dxa"/>
            <w:tcBorders>
              <w:bottom w:val="single" w:sz="12" w:space="0" w:color="000000"/>
            </w:tcBorders>
            <w:tcMar>
              <w:bottom w:w="28" w:type="dxa"/>
            </w:tcMar>
            <w:vAlign w:val="bottom"/>
          </w:tcPr>
          <w:p>
            <w:pPr>
              <w:pStyle w:val="TableContents"/>
              <w:bidi w:val="0"/>
              <w:spacing w:before="0" w:after="283"/>
              <w:jc w:val="right"/>
              <w:rPr/>
            </w:pPr>
            <w:r>
              <w:rPr/>
              <w:t>151,974</w:t>
            </w:r>
          </w:p>
        </w:tc>
        <w:tc>
          <w:tcPr>
            <w:tcW w:w="157" w:type="dxa"/>
            <w:tcBorders/>
            <w:vAlign w:val="bottom"/>
          </w:tcPr>
          <w:p>
            <w:pPr>
              <w:pStyle w:val="TableContents"/>
              <w:bidi w:val="0"/>
              <w:spacing w:before="0" w:after="283"/>
              <w:jc w:val="left"/>
              <w:rPr/>
            </w:pPr>
            <w:r>
              <w:rPr/>
              <w:t> </w:t>
            </w:r>
          </w:p>
        </w:tc>
      </w:tr>
      <w:tr>
        <w:trPr/>
        <w:tc>
          <w:tcPr>
            <w:tcW w:w="7098" w:type="dxa"/>
            <w:tcBorders/>
            <w:shd w:fill="CCEEFF" w:val="clear"/>
            <w:vAlign w:val="bottom"/>
          </w:tcPr>
          <w:p>
            <w:pPr>
              <w:pStyle w:val="TableContents"/>
              <w:bidi w:val="0"/>
              <w:spacing w:before="0" w:after="0"/>
              <w:ind w:left="0" w:right="0" w:hanging="0"/>
              <w:jc w:val="left"/>
              <w:rPr/>
            </w:pPr>
            <w:r>
              <w:rPr>
                <w:rStyle w:val="StrongEmphasis"/>
              </w:rPr>
              <w:t xml:space="preserve">TOTAL LIABILITIES AND STOCKHOLDERS’ EQUITY </w:t>
            </w:r>
          </w:p>
        </w:tc>
        <w:tc>
          <w:tcPr>
            <w:tcW w:w="90" w:type="dxa"/>
            <w:tcBorders/>
            <w:shd w:fill="CCEEFF" w:val="clear"/>
            <w:vAlign w:val="bottom"/>
          </w:tcPr>
          <w:p>
            <w:pPr>
              <w:pStyle w:val="TableContents"/>
              <w:bidi w:val="0"/>
              <w:spacing w:before="0" w:after="283"/>
              <w:jc w:val="right"/>
              <w:rPr/>
            </w:pPr>
            <w:r>
              <w:rPr/>
              <w:t> </w:t>
            </w:r>
          </w:p>
        </w:tc>
        <w:tc>
          <w:tcPr>
            <w:tcW w:w="207"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1111" w:type="dxa"/>
            <w:tcBorders>
              <w:bottom w:val="double" w:sz="6" w:space="0" w:color="000000"/>
            </w:tcBorders>
            <w:shd w:fill="CCEEFF" w:val="clear"/>
            <w:tcMar>
              <w:bottom w:w="45" w:type="dxa"/>
            </w:tcMar>
            <w:vAlign w:val="bottom"/>
          </w:tcPr>
          <w:p>
            <w:pPr>
              <w:pStyle w:val="TableContents"/>
              <w:bidi w:val="0"/>
              <w:spacing w:before="0" w:after="283"/>
              <w:jc w:val="right"/>
              <w:rPr/>
            </w:pPr>
            <w:r>
              <w:rPr/>
              <w:t>329,182</w:t>
            </w:r>
          </w:p>
        </w:tc>
        <w:tc>
          <w:tcPr>
            <w:tcW w:w="13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207"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1111" w:type="dxa"/>
            <w:tcBorders>
              <w:bottom w:val="double" w:sz="6" w:space="0" w:color="000000"/>
            </w:tcBorders>
            <w:shd w:fill="CCEEFF" w:val="clear"/>
            <w:tcMar>
              <w:bottom w:w="45" w:type="dxa"/>
            </w:tcMar>
            <w:vAlign w:val="bottom"/>
          </w:tcPr>
          <w:p>
            <w:pPr>
              <w:pStyle w:val="TableContents"/>
              <w:bidi w:val="0"/>
              <w:spacing w:before="0" w:after="283"/>
              <w:jc w:val="right"/>
              <w:rPr/>
            </w:pPr>
            <w:r>
              <w:rPr/>
              <w:t>348,461</w:t>
            </w:r>
          </w:p>
        </w:tc>
        <w:tc>
          <w:tcPr>
            <w:tcW w:w="157"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accompanying notes are an integral part of these consolidated financial statements.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hanging="0"/>
        <w:jc w:val="center"/>
        <w:rPr/>
      </w:pPr>
      <w:r>
        <w:rPr>
          <w:caps w:val="false"/>
          <w:smallCaps w:val="false"/>
          <w:color w:val="000000"/>
          <w:shd w:fill="FFFFFF" w:val="clear"/>
        </w:rPr>
        <w:t> </w:t>
      </w:r>
      <w:r>
        <w:rPr>
          <w:rStyle w:val="StrongEmphasis"/>
          <w:rFonts w:ascii="Times New Roman" w:hAnsi="Times New Roman"/>
          <w:b w:val="false"/>
          <w:i w:val="false"/>
          <w:caps w:val="false"/>
          <w:smallCaps w:val="false"/>
          <w:color w:val="000000"/>
          <w:sz w:val="20"/>
          <w:shd w:fill="FFFFFF" w:val="clear"/>
        </w:rPr>
        <w:t>ADMA BIOLOGICS, INC. AND SUBSIDIARIES</w:t>
      </w:r>
    </w:p>
    <w:p>
      <w:pPr>
        <w:pStyle w:val="TextBody"/>
        <w:bidi w:val="0"/>
        <w:spacing w:before="0" w:after="0"/>
        <w:ind w:left="0" w:right="0" w:hanging="0"/>
        <w:jc w:val="center"/>
        <w:rPr/>
      </w:pPr>
      <w:bookmarkStart w:id="50" w:name="STATEMENTSOFOPERATIONS"/>
      <w:bookmarkEnd w:id="50"/>
      <w:r>
        <w:rPr>
          <w:rStyle w:val="StrongEmphasis"/>
          <w:rFonts w:ascii="Times New Roman" w:hAnsi="Times New Roman"/>
          <w:b w:val="false"/>
          <w:i w:val="false"/>
          <w:caps w:val="false"/>
          <w:smallCaps w:val="false"/>
          <w:color w:val="000000"/>
          <w:sz w:val="20"/>
          <w:shd w:fill="FFFFFF" w:val="clear"/>
        </w:rPr>
        <w:t>CONSOLIDATED STATEMENTS OF OPERATIONS</w:t>
      </w:r>
    </w:p>
    <w:p>
      <w:pPr>
        <w:pStyle w:val="TextBody"/>
        <w:bidi w:val="0"/>
        <w:spacing w:before="0" w:after="0"/>
        <w:ind w:left="0" w:right="0" w:hanging="0"/>
        <w:jc w:val="center"/>
        <w:rPr>
          <w:rStyle w:val="StrongEmphasis"/>
        </w:rPr>
      </w:pPr>
      <w:r>
        <w:rPr/>
      </w:r>
    </w:p>
    <w:tbl>
      <w:tblPr>
        <w:tblW w:w="10205" w:type="dxa"/>
        <w:jc w:val="left"/>
        <w:tblInd w:w="0" w:type="dxa"/>
        <w:tblLayout w:type="fixed"/>
        <w:tblCellMar>
          <w:top w:w="0" w:type="dxa"/>
          <w:left w:w="0" w:type="dxa"/>
          <w:bottom w:w="0" w:type="dxa"/>
          <w:right w:w="0" w:type="dxa"/>
        </w:tblCellMar>
      </w:tblPr>
      <w:tblGrid>
        <w:gridCol w:w="5230"/>
        <w:gridCol w:w="90"/>
        <w:gridCol w:w="170"/>
        <w:gridCol w:w="1250"/>
        <w:gridCol w:w="125"/>
        <w:gridCol w:w="90"/>
        <w:gridCol w:w="170"/>
        <w:gridCol w:w="1250"/>
        <w:gridCol w:w="125"/>
        <w:gridCol w:w="90"/>
        <w:gridCol w:w="209"/>
        <w:gridCol w:w="1250"/>
        <w:gridCol w:w="156"/>
      </w:tblGrid>
      <w:tr>
        <w:trPr/>
        <w:tc>
          <w:tcPr>
            <w:tcW w:w="523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4729" w:type="dxa"/>
            <w:gridSpan w:val="10"/>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Years ended December 31,</w:t>
            </w:r>
          </w:p>
        </w:tc>
        <w:tc>
          <w:tcPr>
            <w:tcW w:w="156" w:type="dxa"/>
            <w:tcBorders/>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2023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2022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45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156" w:type="dxa"/>
            <w:tcBorders/>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4729" w:type="dxa"/>
            <w:gridSpan w:val="10"/>
            <w:tcBorders/>
            <w:vAlign w:val="bottom"/>
          </w:tcPr>
          <w:p>
            <w:pPr>
              <w:pStyle w:val="TableContents"/>
              <w:bidi w:val="0"/>
              <w:spacing w:before="0" w:after="283"/>
              <w:jc w:val="center"/>
              <w:rPr>
                <w:i/>
              </w:rPr>
            </w:pPr>
            <w:r>
              <w:rPr>
                <w:i/>
              </w:rPr>
              <w:t>(In thousands, except share and per share data)</w:t>
            </w:r>
          </w:p>
        </w:tc>
        <w:tc>
          <w:tcPr>
            <w:tcW w:w="156" w:type="dxa"/>
            <w:tcBorders/>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9" w:type="dxa"/>
            <w:gridSpan w:val="2"/>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r>
      <w:tr>
        <w:trPr/>
        <w:tc>
          <w:tcPr>
            <w:tcW w:w="5230" w:type="dxa"/>
            <w:tcBorders/>
            <w:shd w:fill="CCEEFF" w:val="clear"/>
            <w:vAlign w:val="bottom"/>
          </w:tcPr>
          <w:p>
            <w:pPr>
              <w:pStyle w:val="TableContents"/>
              <w:bidi w:val="0"/>
              <w:spacing w:before="0" w:after="0"/>
              <w:ind w:left="0" w:right="0" w:hanging="0"/>
              <w:jc w:val="left"/>
              <w:rPr/>
            </w:pPr>
            <w:r>
              <w:rPr>
                <w:rStyle w:val="StrongEmphasis"/>
              </w:rPr>
              <w:t>REVENUES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258,215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154,080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80,943</w:t>
            </w:r>
          </w:p>
        </w:tc>
        <w:tc>
          <w:tcPr>
            <w:tcW w:w="156" w:type="dxa"/>
            <w:tcBorders/>
            <w:shd w:fill="CCEEFF" w:val="clear"/>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0" w:right="0" w:hanging="0"/>
              <w:jc w:val="left"/>
              <w:rPr/>
            </w:pPr>
            <w:r>
              <w:rPr/>
              <w:t>Cost of product revenue</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169,273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118,815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79,770</w:t>
            </w:r>
          </w:p>
        </w:tc>
        <w:tc>
          <w:tcPr>
            <w:tcW w:w="156" w:type="dxa"/>
            <w:tcBorders/>
            <w:vAlign w:val="bottom"/>
          </w:tcPr>
          <w:p>
            <w:pPr>
              <w:pStyle w:val="TableContents"/>
              <w:bidi w:val="0"/>
              <w:spacing w:before="0" w:after="283"/>
              <w:jc w:val="left"/>
              <w:rPr/>
            </w:pPr>
            <w:r>
              <w:rPr/>
              <w:t> </w:t>
            </w:r>
          </w:p>
        </w:tc>
      </w:tr>
      <w:tr>
        <w:trPr/>
        <w:tc>
          <w:tcPr>
            <w:tcW w:w="5230" w:type="dxa"/>
            <w:tcBorders/>
            <w:shd w:fill="CCEEFF" w:val="clear"/>
            <w:vAlign w:val="bottom"/>
          </w:tcPr>
          <w:p>
            <w:pPr>
              <w:pStyle w:val="TableContents"/>
              <w:bidi w:val="0"/>
              <w:spacing w:before="0" w:after="0"/>
              <w:ind w:left="450" w:right="0" w:hanging="0"/>
              <w:jc w:val="left"/>
              <w:rPr>
                <w:b/>
              </w:rPr>
            </w:pPr>
            <w:r>
              <w:rPr>
                <w:b/>
              </w:rPr>
              <w:t>Gross profit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88,942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35,265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1,173</w:t>
            </w:r>
          </w:p>
        </w:tc>
        <w:tc>
          <w:tcPr>
            <w:tcW w:w="156" w:type="dxa"/>
            <w:tcBorders/>
            <w:shd w:fill="CCEEFF" w:val="clear"/>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r>
      <w:tr>
        <w:trPr/>
        <w:tc>
          <w:tcPr>
            <w:tcW w:w="5230" w:type="dxa"/>
            <w:tcBorders/>
            <w:shd w:fill="CCEEFF" w:val="clear"/>
            <w:vAlign w:val="bottom"/>
          </w:tcPr>
          <w:p>
            <w:pPr>
              <w:pStyle w:val="TableContents"/>
              <w:bidi w:val="0"/>
              <w:spacing w:before="0" w:after="0"/>
              <w:ind w:left="0" w:right="0" w:hanging="0"/>
              <w:jc w:val="left"/>
              <w:rPr/>
            </w:pPr>
            <w:r>
              <w:rPr>
                <w:rStyle w:val="StrongEmphasis"/>
              </w:rPr>
              <w:t>OPERATING EXPENSES: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225" w:right="0" w:hanging="0"/>
              <w:jc w:val="left"/>
              <w:rPr/>
            </w:pPr>
            <w:r>
              <w:rPr/>
              <w:t>Research and development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3,300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3,614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3,646</w:t>
            </w:r>
          </w:p>
        </w:tc>
        <w:tc>
          <w:tcPr>
            <w:tcW w:w="156" w:type="dxa"/>
            <w:tcBorders/>
            <w:vAlign w:val="bottom"/>
          </w:tcPr>
          <w:p>
            <w:pPr>
              <w:pStyle w:val="TableContents"/>
              <w:bidi w:val="0"/>
              <w:spacing w:before="0" w:after="283"/>
              <w:jc w:val="left"/>
              <w:rPr/>
            </w:pPr>
            <w:r>
              <w:rPr/>
              <w:t> </w:t>
            </w:r>
          </w:p>
        </w:tc>
      </w:tr>
      <w:tr>
        <w:trPr/>
        <w:tc>
          <w:tcPr>
            <w:tcW w:w="5230" w:type="dxa"/>
            <w:tcBorders/>
            <w:shd w:fill="CCEEFF" w:val="clear"/>
            <w:vAlign w:val="bottom"/>
          </w:tcPr>
          <w:p>
            <w:pPr>
              <w:pStyle w:val="TableContents"/>
              <w:bidi w:val="0"/>
              <w:spacing w:before="0" w:after="0"/>
              <w:ind w:left="225" w:right="0" w:hanging="0"/>
              <w:jc w:val="left"/>
              <w:rPr/>
            </w:pPr>
            <w:r>
              <w:rPr/>
              <w:t>Plasma center operating expenses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4,266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17,843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12,289</w:t>
            </w:r>
          </w:p>
        </w:tc>
        <w:tc>
          <w:tcPr>
            <w:tcW w:w="156" w:type="dxa"/>
            <w:tcBorders/>
            <w:shd w:fill="CCEEFF" w:val="clear"/>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225" w:right="0" w:hanging="0"/>
              <w:jc w:val="left"/>
              <w:rPr/>
            </w:pPr>
            <w:r>
              <w:rPr/>
              <w:t>Amortization of intangible assets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724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715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715</w:t>
            </w:r>
          </w:p>
        </w:tc>
        <w:tc>
          <w:tcPr>
            <w:tcW w:w="156" w:type="dxa"/>
            <w:tcBorders/>
            <w:vAlign w:val="bottom"/>
          </w:tcPr>
          <w:p>
            <w:pPr>
              <w:pStyle w:val="TableContents"/>
              <w:bidi w:val="0"/>
              <w:spacing w:before="0" w:after="283"/>
              <w:jc w:val="left"/>
              <w:rPr/>
            </w:pPr>
            <w:r>
              <w:rPr/>
              <w:t> </w:t>
            </w:r>
          </w:p>
        </w:tc>
      </w:tr>
      <w:tr>
        <w:trPr/>
        <w:tc>
          <w:tcPr>
            <w:tcW w:w="5230" w:type="dxa"/>
            <w:tcBorders/>
            <w:shd w:fill="CCEEFF" w:val="clear"/>
            <w:vAlign w:val="bottom"/>
          </w:tcPr>
          <w:p>
            <w:pPr>
              <w:pStyle w:val="TableContents"/>
              <w:bidi w:val="0"/>
              <w:spacing w:before="0" w:after="0"/>
              <w:ind w:left="225" w:right="0" w:hanging="0"/>
              <w:jc w:val="left"/>
              <w:rPr/>
            </w:pPr>
            <w:r>
              <w:rPr/>
              <w:t>Selling, general and administrative</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59,020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52,458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42,897</w:t>
            </w:r>
          </w:p>
        </w:tc>
        <w:tc>
          <w:tcPr>
            <w:tcW w:w="156" w:type="dxa"/>
            <w:tcBorders/>
            <w:shd w:fill="CCEEFF" w:val="clear"/>
            <w:vAlign w:val="bottom"/>
          </w:tcPr>
          <w:p>
            <w:pPr>
              <w:pStyle w:val="TableContents"/>
              <w:bidi w:val="0"/>
              <w:spacing w:before="0" w:after="283"/>
              <w:ind w:left="225" w:right="0" w:hanging="0"/>
              <w:jc w:val="left"/>
              <w:rPr/>
            </w:pPr>
            <w:r>
              <w:rPr/>
              <w:t> </w:t>
            </w:r>
          </w:p>
        </w:tc>
      </w:tr>
      <w:tr>
        <w:trPr/>
        <w:tc>
          <w:tcPr>
            <w:tcW w:w="5230" w:type="dxa"/>
            <w:tcBorders/>
            <w:vAlign w:val="bottom"/>
          </w:tcPr>
          <w:p>
            <w:pPr>
              <w:pStyle w:val="TableContents"/>
              <w:bidi w:val="0"/>
              <w:spacing w:before="0" w:after="0"/>
              <w:ind w:left="675" w:right="0" w:hanging="0"/>
              <w:jc w:val="left"/>
              <w:rPr/>
            </w:pPr>
            <w:r>
              <w:rPr>
                <w:rStyle w:val="StrongEmphasis"/>
              </w:rPr>
              <w:t>Total operating expenses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67,310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74,630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59,547</w:t>
            </w:r>
          </w:p>
        </w:tc>
        <w:tc>
          <w:tcPr>
            <w:tcW w:w="156" w:type="dxa"/>
            <w:tcBorders/>
            <w:vAlign w:val="bottom"/>
          </w:tcPr>
          <w:p>
            <w:pPr>
              <w:pStyle w:val="TableContents"/>
              <w:bidi w:val="0"/>
              <w:spacing w:before="0" w:after="283"/>
              <w:jc w:val="left"/>
              <w:rPr/>
            </w:pPr>
            <w:r>
              <w:rPr/>
              <w:t> </w:t>
            </w:r>
          </w:p>
        </w:tc>
      </w:tr>
      <w:tr>
        <w:trPr/>
        <w:tc>
          <w:tcPr>
            <w:tcW w:w="5230"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0" w:right="0" w:hanging="0"/>
              <w:jc w:val="left"/>
              <w:rPr/>
            </w:pPr>
            <w:r>
              <w:rPr>
                <w:rStyle w:val="StrongEmphasis"/>
              </w:rPr>
              <w:t>INCOME (LOSS) FROM OPERATIONS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21,632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(39,365</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(58,374</w:t>
            </w:r>
          </w:p>
        </w:tc>
        <w:tc>
          <w:tcPr>
            <w:tcW w:w="156" w:type="dxa"/>
            <w:tcBorders/>
            <w:vAlign w:val="bottom"/>
          </w:tcPr>
          <w:p>
            <w:pPr>
              <w:pStyle w:val="TableContents"/>
              <w:bidi w:val="0"/>
              <w:spacing w:before="0" w:after="283"/>
              <w:jc w:val="left"/>
              <w:rPr/>
            </w:pPr>
            <w:r>
              <w:rPr/>
              <w:t>)</w:t>
            </w:r>
          </w:p>
        </w:tc>
      </w:tr>
      <w:tr>
        <w:trPr/>
        <w:tc>
          <w:tcPr>
            <w:tcW w:w="5230"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0" w:right="0" w:hanging="0"/>
              <w:jc w:val="left"/>
              <w:rPr/>
            </w:pPr>
            <w:r>
              <w:rPr>
                <w:rStyle w:val="StrongEmphasis"/>
              </w:rPr>
              <w:t>OTHER INCOME (EXPENSE):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r>
      <w:tr>
        <w:trPr/>
        <w:tc>
          <w:tcPr>
            <w:tcW w:w="5230" w:type="dxa"/>
            <w:tcBorders/>
            <w:shd w:fill="CCEEFF" w:val="clear"/>
            <w:vAlign w:val="bottom"/>
          </w:tcPr>
          <w:p>
            <w:pPr>
              <w:pStyle w:val="TableContents"/>
              <w:bidi w:val="0"/>
              <w:spacing w:before="0" w:after="0"/>
              <w:ind w:left="225" w:right="0" w:hanging="0"/>
              <w:jc w:val="left"/>
              <w:rPr/>
            </w:pPr>
            <w:r>
              <w:rPr/>
              <w:t>Interest income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1,617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45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35</w:t>
            </w:r>
          </w:p>
        </w:tc>
        <w:tc>
          <w:tcPr>
            <w:tcW w:w="156" w:type="dxa"/>
            <w:tcBorders/>
            <w:shd w:fill="CCEEFF" w:val="clear"/>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225" w:right="0" w:hanging="0"/>
              <w:jc w:val="left"/>
              <w:rPr/>
            </w:pPr>
            <w:r>
              <w:rPr/>
              <w:t>Interest expense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(25,027</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(19,279</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(13,057</w:t>
            </w:r>
          </w:p>
        </w:tc>
        <w:tc>
          <w:tcPr>
            <w:tcW w:w="156" w:type="dxa"/>
            <w:tcBorders/>
            <w:vAlign w:val="bottom"/>
          </w:tcPr>
          <w:p>
            <w:pPr>
              <w:pStyle w:val="TableContents"/>
              <w:bidi w:val="0"/>
              <w:spacing w:before="0" w:after="283"/>
              <w:jc w:val="left"/>
              <w:rPr/>
            </w:pPr>
            <w:r>
              <w:rPr/>
              <w:t>)</w:t>
            </w:r>
          </w:p>
        </w:tc>
      </w:tr>
      <w:tr>
        <w:trPr/>
        <w:tc>
          <w:tcPr>
            <w:tcW w:w="5230" w:type="dxa"/>
            <w:tcBorders/>
            <w:shd w:fill="CCEEFF" w:val="clear"/>
            <w:vAlign w:val="bottom"/>
          </w:tcPr>
          <w:p>
            <w:pPr>
              <w:pStyle w:val="TableContents"/>
              <w:bidi w:val="0"/>
              <w:spacing w:before="0" w:after="0"/>
              <w:ind w:left="225" w:right="0" w:hanging="0"/>
              <w:jc w:val="left"/>
              <w:rPr/>
            </w:pPr>
            <w:r>
              <w:rPr/>
              <w:t>Loss on extinguishment of debt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(26,174</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(6,670</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w:t>
            </w:r>
          </w:p>
        </w:tc>
        <w:tc>
          <w:tcPr>
            <w:tcW w:w="156" w:type="dxa"/>
            <w:tcBorders/>
            <w:shd w:fill="CCEEFF" w:val="clear"/>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225" w:right="0" w:hanging="0"/>
              <w:jc w:val="left"/>
              <w:rPr/>
            </w:pPr>
            <w:r>
              <w:rPr/>
              <w:t>Other expense</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(287</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(635</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(252</w:t>
            </w:r>
          </w:p>
        </w:tc>
        <w:tc>
          <w:tcPr>
            <w:tcW w:w="156" w:type="dxa"/>
            <w:tcBorders/>
            <w:vAlign w:val="bottom"/>
          </w:tcPr>
          <w:p>
            <w:pPr>
              <w:pStyle w:val="TableContents"/>
              <w:bidi w:val="0"/>
              <w:spacing w:before="0" w:after="283"/>
              <w:ind w:left="450" w:right="0" w:hanging="0"/>
              <w:jc w:val="left"/>
              <w:rPr/>
            </w:pPr>
            <w:r>
              <w:rPr/>
              <w:t>)</w:t>
            </w:r>
          </w:p>
        </w:tc>
      </w:tr>
      <w:tr>
        <w:trPr/>
        <w:tc>
          <w:tcPr>
            <w:tcW w:w="5230" w:type="dxa"/>
            <w:tcBorders/>
            <w:shd w:fill="CCEEFF" w:val="clear"/>
            <w:vAlign w:val="bottom"/>
          </w:tcPr>
          <w:p>
            <w:pPr>
              <w:pStyle w:val="TableContents"/>
              <w:bidi w:val="0"/>
              <w:spacing w:before="0" w:after="0"/>
              <w:ind w:left="900" w:right="0" w:hanging="0"/>
              <w:jc w:val="left"/>
              <w:rPr/>
            </w:pPr>
            <w:r>
              <w:rPr>
                <w:rStyle w:val="StrongEmphasis"/>
              </w:rPr>
              <w:t>Other expense, net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(49,871</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(26,539</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(13,274</w:t>
            </w:r>
          </w:p>
        </w:tc>
        <w:tc>
          <w:tcPr>
            <w:tcW w:w="156" w:type="dxa"/>
            <w:tcBorders/>
            <w:shd w:fill="CCEEFF" w:val="clear"/>
            <w:vAlign w:val="bottom"/>
          </w:tcPr>
          <w:p>
            <w:pPr>
              <w:pStyle w:val="TableContents"/>
              <w:bidi w:val="0"/>
              <w:spacing w:before="0" w:after="283"/>
              <w:jc w:val="left"/>
              <w:rPr/>
            </w:pPr>
            <w:r>
              <w:rPr/>
              <w:t>)</w:t>
            </w:r>
          </w:p>
        </w:tc>
      </w:tr>
      <w:tr>
        <w:trPr/>
        <w:tc>
          <w:tcPr>
            <w:tcW w:w="523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r>
      <w:tr>
        <w:trPr/>
        <w:tc>
          <w:tcPr>
            <w:tcW w:w="5230" w:type="dxa"/>
            <w:tcBorders/>
            <w:shd w:fill="CCEEFF" w:val="clear"/>
            <w:vAlign w:val="bottom"/>
          </w:tcPr>
          <w:p>
            <w:pPr>
              <w:pStyle w:val="TableContents"/>
              <w:bidi w:val="0"/>
              <w:spacing w:before="0" w:after="0"/>
              <w:ind w:left="0" w:right="0" w:hanging="0"/>
              <w:jc w:val="left"/>
              <w:rPr/>
            </w:pPr>
            <w:r>
              <w:rPr>
                <w:rStyle w:val="StrongEmphasis"/>
              </w:rPr>
              <w:t>NET LOSS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bottom"/>
          </w:tcPr>
          <w:p>
            <w:pPr>
              <w:pStyle w:val="TableContents"/>
              <w:bidi w:val="0"/>
              <w:spacing w:before="0" w:after="283"/>
              <w:jc w:val="right"/>
              <w:rPr/>
            </w:pPr>
            <w:r>
              <w:rPr/>
              <w:t>(28,239</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bottom"/>
          </w:tcPr>
          <w:p>
            <w:pPr>
              <w:pStyle w:val="TableContents"/>
              <w:bidi w:val="0"/>
              <w:spacing w:before="0" w:after="283"/>
              <w:jc w:val="right"/>
              <w:rPr/>
            </w:pPr>
            <w:r>
              <w:rPr/>
              <w:t>(65,904</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1250" w:type="dxa"/>
            <w:tcBorders>
              <w:bottom w:val="double" w:sz="8" w:space="0" w:color="000000"/>
            </w:tcBorders>
            <w:shd w:fill="CCEEFF" w:val="clear"/>
            <w:tcMar>
              <w:bottom w:w="28" w:type="dxa"/>
            </w:tcMar>
            <w:vAlign w:val="bottom"/>
          </w:tcPr>
          <w:p>
            <w:pPr>
              <w:pStyle w:val="TableContents"/>
              <w:bidi w:val="0"/>
              <w:spacing w:before="0" w:after="283"/>
              <w:jc w:val="right"/>
              <w:rPr/>
            </w:pPr>
            <w:r>
              <w:rPr/>
              <w:t>(71,648</w:t>
            </w:r>
          </w:p>
        </w:tc>
        <w:tc>
          <w:tcPr>
            <w:tcW w:w="156" w:type="dxa"/>
            <w:tcBorders/>
            <w:shd w:fill="CCEEFF" w:val="clear"/>
            <w:vAlign w:val="bottom"/>
          </w:tcPr>
          <w:p>
            <w:pPr>
              <w:pStyle w:val="TableContents"/>
              <w:bidi w:val="0"/>
              <w:spacing w:before="0" w:after="283"/>
              <w:jc w:val="left"/>
              <w:rPr/>
            </w:pPr>
            <w:r>
              <w:rPr/>
              <w:t>)</w:t>
            </w:r>
          </w:p>
        </w:tc>
      </w:tr>
      <w:tr>
        <w:trPr/>
        <w:tc>
          <w:tcPr>
            <w:tcW w:w="523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r>
      <w:tr>
        <w:trPr/>
        <w:tc>
          <w:tcPr>
            <w:tcW w:w="5230" w:type="dxa"/>
            <w:tcBorders/>
            <w:shd w:fill="CCEEFF" w:val="clear"/>
            <w:vAlign w:val="bottom"/>
          </w:tcPr>
          <w:p>
            <w:pPr>
              <w:pStyle w:val="TableContents"/>
              <w:bidi w:val="0"/>
              <w:spacing w:before="0" w:after="0"/>
              <w:ind w:left="0" w:right="0" w:hanging="0"/>
              <w:jc w:val="left"/>
              <w:rPr/>
            </w:pPr>
            <w:r>
              <w:rPr>
                <w:rStyle w:val="StrongEmphasis"/>
              </w:rPr>
              <w:t>BASIC AND DILUTED LOSS PER COMMON SHARE</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bottom"/>
          </w:tcPr>
          <w:p>
            <w:pPr>
              <w:pStyle w:val="TableContents"/>
              <w:bidi w:val="0"/>
              <w:spacing w:before="0" w:after="283"/>
              <w:jc w:val="right"/>
              <w:rPr/>
            </w:pPr>
            <w:r>
              <w:rPr/>
              <w:t>(0.13</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250" w:type="dxa"/>
            <w:tcBorders>
              <w:bottom w:val="double" w:sz="8" w:space="0" w:color="000000"/>
            </w:tcBorders>
            <w:shd w:fill="CCEEFF" w:val="clear"/>
            <w:tcMar>
              <w:bottom w:w="28" w:type="dxa"/>
            </w:tcMar>
            <w:vAlign w:val="bottom"/>
          </w:tcPr>
          <w:p>
            <w:pPr>
              <w:pStyle w:val="TableContents"/>
              <w:bidi w:val="0"/>
              <w:spacing w:before="0" w:after="283"/>
              <w:jc w:val="right"/>
              <w:rPr/>
            </w:pPr>
            <w:r>
              <w:rPr/>
              <w:t>(0.33</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1250" w:type="dxa"/>
            <w:tcBorders>
              <w:bottom w:val="double" w:sz="8" w:space="0" w:color="000000"/>
            </w:tcBorders>
            <w:shd w:fill="CCEEFF" w:val="clear"/>
            <w:tcMar>
              <w:bottom w:w="28" w:type="dxa"/>
            </w:tcMar>
            <w:vAlign w:val="bottom"/>
          </w:tcPr>
          <w:p>
            <w:pPr>
              <w:pStyle w:val="TableContents"/>
              <w:bidi w:val="0"/>
              <w:spacing w:before="0" w:after="283"/>
              <w:jc w:val="right"/>
              <w:rPr/>
            </w:pPr>
            <w:r>
              <w:rPr/>
              <w:t>(0.51</w:t>
            </w:r>
          </w:p>
        </w:tc>
        <w:tc>
          <w:tcPr>
            <w:tcW w:w="156" w:type="dxa"/>
            <w:tcBorders/>
            <w:shd w:fill="CCEEFF" w:val="clear"/>
            <w:vAlign w:val="bottom"/>
          </w:tcPr>
          <w:p>
            <w:pPr>
              <w:pStyle w:val="TableContents"/>
              <w:bidi w:val="0"/>
              <w:spacing w:before="0" w:after="283"/>
              <w:jc w:val="left"/>
              <w:rPr/>
            </w:pPr>
            <w:r>
              <w:rPr/>
              <w:t>)</w:t>
            </w:r>
          </w:p>
        </w:tc>
      </w:tr>
      <w:tr>
        <w:trPr/>
        <w:tc>
          <w:tcPr>
            <w:tcW w:w="523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r>
      <w:tr>
        <w:trPr/>
        <w:tc>
          <w:tcPr>
            <w:tcW w:w="5230" w:type="dxa"/>
            <w:tcBorders/>
            <w:shd w:fill="CCEEFF" w:val="clear"/>
            <w:vAlign w:val="bottom"/>
          </w:tcPr>
          <w:p>
            <w:pPr>
              <w:pStyle w:val="TableContents"/>
              <w:bidi w:val="0"/>
              <w:spacing w:before="0" w:after="0"/>
              <w:ind w:left="0" w:right="0" w:hanging="0"/>
              <w:jc w:val="left"/>
              <w:rPr/>
            </w:pPr>
            <w:r>
              <w:rPr>
                <w:rStyle w:val="StrongEmphasis"/>
              </w:rPr>
              <w:t>WEIGHTED AVERAGE COMMON SHARES OUTSTANDING:</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0"/>
              <w:ind w:left="225" w:right="0" w:hanging="0"/>
              <w:jc w:val="left"/>
              <w:rPr/>
            </w:pPr>
            <w:r>
              <w:rPr>
                <w:rStyle w:val="StrongEmphasis"/>
              </w:rPr>
              <w:t>Basic and Diluted</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250" w:type="dxa"/>
            <w:tcBorders>
              <w:bottom w:val="double" w:sz="8" w:space="0" w:color="000000"/>
            </w:tcBorders>
            <w:tcMar>
              <w:bottom w:w="28" w:type="dxa"/>
            </w:tcMar>
            <w:vAlign w:val="bottom"/>
          </w:tcPr>
          <w:p>
            <w:pPr>
              <w:pStyle w:val="TableContents"/>
              <w:bidi w:val="0"/>
              <w:spacing w:before="0" w:after="283"/>
              <w:jc w:val="right"/>
              <w:rPr/>
            </w:pPr>
            <w:r>
              <w:rPr/>
              <w:t>223,977,315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250" w:type="dxa"/>
            <w:tcBorders>
              <w:bottom w:val="double" w:sz="8" w:space="0" w:color="000000"/>
            </w:tcBorders>
            <w:tcMar>
              <w:bottom w:w="28" w:type="dxa"/>
            </w:tcMar>
            <w:vAlign w:val="bottom"/>
          </w:tcPr>
          <w:p>
            <w:pPr>
              <w:pStyle w:val="TableContents"/>
              <w:bidi w:val="0"/>
              <w:spacing w:before="0" w:after="283"/>
              <w:jc w:val="right"/>
              <w:rPr/>
            </w:pPr>
            <w:r>
              <w:rPr/>
              <w:t>197,874,895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9" w:type="dxa"/>
            <w:tcBorders>
              <w:bottom w:val="double" w:sz="8" w:space="0" w:color="000000"/>
            </w:tcBorders>
            <w:tcMar>
              <w:bottom w:w="28" w:type="dxa"/>
            </w:tcMar>
            <w:vAlign w:val="bottom"/>
          </w:tcPr>
          <w:p>
            <w:pPr>
              <w:pStyle w:val="TableContents"/>
              <w:bidi w:val="0"/>
              <w:spacing w:before="0" w:after="283"/>
              <w:jc w:val="left"/>
              <w:rPr/>
            </w:pPr>
            <w:r>
              <w:rPr/>
              <w:t> </w:t>
            </w:r>
          </w:p>
        </w:tc>
        <w:tc>
          <w:tcPr>
            <w:tcW w:w="1250" w:type="dxa"/>
            <w:tcBorders>
              <w:bottom w:val="double" w:sz="8" w:space="0" w:color="000000"/>
            </w:tcBorders>
            <w:tcMar>
              <w:bottom w:w="28" w:type="dxa"/>
            </w:tcMar>
            <w:vAlign w:val="bottom"/>
          </w:tcPr>
          <w:p>
            <w:pPr>
              <w:pStyle w:val="TableContents"/>
              <w:bidi w:val="0"/>
              <w:spacing w:before="0" w:after="283"/>
              <w:jc w:val="right"/>
              <w:rPr/>
            </w:pPr>
            <w:r>
              <w:rPr/>
              <w:t>139,578,538</w:t>
            </w:r>
          </w:p>
        </w:tc>
        <w:tc>
          <w:tcPr>
            <w:tcW w:w="156"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accompanying notes are an integral part of these consolidated financial statements.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ADMA BIOLOGICS, INC. AND SUBSIDIARIES</w:t>
      </w:r>
    </w:p>
    <w:p>
      <w:pPr>
        <w:pStyle w:val="TextBody"/>
        <w:bidi w:val="0"/>
        <w:spacing w:before="0" w:after="0"/>
        <w:ind w:left="0" w:right="0" w:hanging="0"/>
        <w:jc w:val="center"/>
        <w:rPr/>
      </w:pPr>
      <w:bookmarkStart w:id="51" w:name="STOCKHOLDERSEQUITY"/>
      <w:bookmarkEnd w:id="51"/>
      <w:r>
        <w:rPr>
          <w:rStyle w:val="StrongEmphasis"/>
          <w:rFonts w:ascii="Times New Roman" w:hAnsi="Times New Roman"/>
          <w:b w:val="false"/>
          <w:i w:val="false"/>
          <w:caps w:val="false"/>
          <w:smallCaps w:val="false"/>
          <w:color w:val="000000"/>
          <w:sz w:val="20"/>
          <w:shd w:fill="FFFFFF" w:val="clear"/>
        </w:rPr>
        <w:t>CONSOLIDATED STATEMENTS OF CHANGES IN STOCKHOLDERS’ EQUITY</w:t>
      </w:r>
    </w:p>
    <w:p>
      <w:pPr>
        <w:pStyle w:val="TextBody"/>
        <w:bidi w:val="0"/>
        <w:spacing w:before="0" w:after="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(In thousands, except share data)</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jc w:val="center"/>
        <w:rPr>
          <w:i/>
        </w:rPr>
      </w:pPr>
      <w:r>
        <w:rPr>
          <w:i/>
        </w:rPr>
      </w:r>
    </w:p>
    <w:tbl>
      <w:tblPr>
        <w:tblW w:w="10205" w:type="dxa"/>
        <w:jc w:val="left"/>
        <w:tblInd w:w="0" w:type="dxa"/>
        <w:tblLayout w:type="fixed"/>
        <w:tblCellMar>
          <w:top w:w="0" w:type="dxa"/>
          <w:left w:w="0" w:type="dxa"/>
          <w:bottom w:w="0" w:type="dxa"/>
          <w:right w:w="0" w:type="dxa"/>
        </w:tblCellMar>
      </w:tblPr>
      <w:tblGrid>
        <w:gridCol w:w="2967"/>
        <w:gridCol w:w="90"/>
        <w:gridCol w:w="90"/>
        <w:gridCol w:w="1250"/>
        <w:gridCol w:w="90"/>
        <w:gridCol w:w="90"/>
        <w:gridCol w:w="334"/>
        <w:gridCol w:w="572"/>
        <w:gridCol w:w="90"/>
        <w:gridCol w:w="90"/>
        <w:gridCol w:w="204"/>
        <w:gridCol w:w="942"/>
        <w:gridCol w:w="125"/>
        <w:gridCol w:w="90"/>
        <w:gridCol w:w="225"/>
        <w:gridCol w:w="1191"/>
        <w:gridCol w:w="125"/>
        <w:gridCol w:w="90"/>
        <w:gridCol w:w="235"/>
        <w:gridCol w:w="1156"/>
        <w:gridCol w:w="159"/>
      </w:tblGrid>
      <w:tr>
        <w:trPr/>
        <w:tc>
          <w:tcPr>
            <w:tcW w:w="2967"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2426" w:type="dxa"/>
            <w:gridSpan w:val="6"/>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46" w:type="dxa"/>
            <w:gridSpan w:val="2"/>
            <w:tcBorders/>
            <w:vAlign w:val="bottom"/>
          </w:tcPr>
          <w:p>
            <w:pPr>
              <w:pStyle w:val="TableContents"/>
              <w:bidi w:val="0"/>
              <w:spacing w:before="0" w:after="0"/>
              <w:ind w:left="0" w:right="0" w:hanging="0"/>
              <w:jc w:val="center"/>
              <w:rPr/>
            </w:pPr>
            <w:r>
              <w:rPr>
                <w:rStyle w:val="StrongEmphasis"/>
              </w:rPr>
              <w:t xml:space="preserve">Additional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391" w:type="dxa"/>
            <w:gridSpan w:val="2"/>
            <w:tcBorders/>
            <w:vAlign w:val="bottom"/>
          </w:tcPr>
          <w:p>
            <w:pPr>
              <w:pStyle w:val="TableContents"/>
              <w:bidi w:val="0"/>
              <w:spacing w:before="0" w:after="0"/>
              <w:ind w:left="0" w:right="0" w:hanging="0"/>
              <w:jc w:val="center"/>
              <w:rPr/>
            </w:pPr>
            <w:r>
              <w:rPr>
                <w:rStyle w:val="StrongEmphasis"/>
              </w:rPr>
              <w:t>Total</w:t>
            </w:r>
          </w:p>
        </w:tc>
        <w:tc>
          <w:tcPr>
            <w:tcW w:w="159" w:type="dxa"/>
            <w:tcBorders/>
            <w:vAlign w:val="bottom"/>
          </w:tcPr>
          <w:p>
            <w:pPr>
              <w:pStyle w:val="TableContents"/>
              <w:bidi w:val="0"/>
              <w:spacing w:before="0" w:after="283"/>
              <w:jc w:val="left"/>
              <w:rPr/>
            </w:pPr>
            <w:r>
              <w:rPr/>
              <w:t> </w:t>
            </w:r>
          </w:p>
        </w:tc>
      </w:tr>
      <w:tr>
        <w:trPr/>
        <w:tc>
          <w:tcPr>
            <w:tcW w:w="2967"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2426" w:type="dxa"/>
            <w:gridSpan w:val="6"/>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 xml:space="preserve">Common Stock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46" w:type="dxa"/>
            <w:gridSpan w:val="2"/>
            <w:tcBorders/>
            <w:vAlign w:val="bottom"/>
          </w:tcPr>
          <w:p>
            <w:pPr>
              <w:pStyle w:val="TableContents"/>
              <w:bidi w:val="0"/>
              <w:spacing w:before="0" w:after="0"/>
              <w:ind w:left="0" w:right="0" w:hanging="0"/>
              <w:jc w:val="center"/>
              <w:rPr/>
            </w:pPr>
            <w:r>
              <w:rPr>
                <w:rStyle w:val="StrongEmphasis"/>
              </w:rPr>
              <w:t xml:space="preserve">Paid-in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416" w:type="dxa"/>
            <w:gridSpan w:val="2"/>
            <w:tcBorders/>
            <w:vAlign w:val="bottom"/>
          </w:tcPr>
          <w:p>
            <w:pPr>
              <w:pStyle w:val="TableContents"/>
              <w:bidi w:val="0"/>
              <w:spacing w:before="0" w:after="0"/>
              <w:ind w:left="0" w:right="0" w:hanging="0"/>
              <w:jc w:val="center"/>
              <w:rPr/>
            </w:pPr>
            <w:r>
              <w:rPr>
                <w:rStyle w:val="StrongEmphasis"/>
              </w:rPr>
              <w:t xml:space="preserve">Accumulated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391" w:type="dxa"/>
            <w:gridSpan w:val="2"/>
            <w:tcBorders/>
            <w:vAlign w:val="bottom"/>
          </w:tcPr>
          <w:p>
            <w:pPr>
              <w:pStyle w:val="TableContents"/>
              <w:bidi w:val="0"/>
              <w:spacing w:before="0" w:after="0"/>
              <w:ind w:left="0" w:right="0" w:hanging="0"/>
              <w:jc w:val="center"/>
              <w:rPr/>
            </w:pPr>
            <w:r>
              <w:rPr>
                <w:rStyle w:val="StrongEmphasis"/>
              </w:rPr>
              <w:t>Stockholders’</w:t>
            </w:r>
          </w:p>
        </w:tc>
        <w:tc>
          <w:tcPr>
            <w:tcW w:w="159" w:type="dxa"/>
            <w:tcBorders/>
            <w:vAlign w:val="bottom"/>
          </w:tcPr>
          <w:p>
            <w:pPr>
              <w:pStyle w:val="TableContents"/>
              <w:bidi w:val="0"/>
              <w:spacing w:before="0" w:after="283"/>
              <w:jc w:val="left"/>
              <w:rPr/>
            </w:pPr>
            <w:r>
              <w:rPr/>
              <w:t> </w:t>
            </w:r>
          </w:p>
        </w:tc>
      </w:tr>
      <w:tr>
        <w:trPr/>
        <w:tc>
          <w:tcPr>
            <w:tcW w:w="2967"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 xml:space="preserve">Shares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906"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 xml:space="preserve">Amount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46"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 xml:space="preserve">Capital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416"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 xml:space="preserve">Deficit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391"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Equity</w:t>
            </w:r>
          </w:p>
        </w:tc>
        <w:tc>
          <w:tcPr>
            <w:tcW w:w="159" w:type="dxa"/>
            <w:tcBorders/>
            <w:vAlign w:val="bottom"/>
          </w:tcPr>
          <w:p>
            <w:pPr>
              <w:pStyle w:val="TableContents"/>
              <w:bidi w:val="0"/>
              <w:spacing w:before="0" w:after="283"/>
              <w:jc w:val="left"/>
              <w:rPr/>
            </w:pPr>
            <w:r>
              <w:rPr/>
              <w:t> </w:t>
            </w:r>
          </w:p>
        </w:tc>
      </w:tr>
      <w:tr>
        <w:trPr/>
        <w:tc>
          <w:tcPr>
            <w:tcW w:w="2967" w:type="dxa"/>
            <w:tcBorders/>
            <w:shd w:fill="CCEEFF" w:val="clear"/>
            <w:vAlign w:val="bottom"/>
          </w:tcPr>
          <w:p>
            <w:pPr>
              <w:pStyle w:val="TableContents"/>
              <w:bidi w:val="0"/>
              <w:spacing w:before="0" w:after="0"/>
              <w:ind w:left="180" w:right="0" w:hanging="0"/>
              <w:jc w:val="left"/>
              <w:rPr>
                <w:b/>
              </w:rPr>
            </w:pPr>
            <w:r>
              <w:rPr>
                <w:b/>
              </w:rPr>
              <w:t>Balance at December 31, 2020</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104,902,888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428,704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(340,465</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88,249</w:t>
            </w:r>
          </w:p>
        </w:tc>
        <w:tc>
          <w:tcPr>
            <w:tcW w:w="159" w:type="dxa"/>
            <w:tcBorders/>
            <w:shd w:fill="CCEEFF" w:val="clear"/>
            <w:vAlign w:val="bottom"/>
          </w:tcPr>
          <w:p>
            <w:pPr>
              <w:pStyle w:val="TableContents"/>
              <w:bidi w:val="0"/>
              <w:spacing w:before="0" w:after="283"/>
              <w:jc w:val="left"/>
              <w:rPr/>
            </w:pPr>
            <w:r>
              <w:rPr/>
              <w:t> </w:t>
            </w:r>
          </w:p>
        </w:tc>
      </w:tr>
      <w:tr>
        <w:trPr/>
        <w:tc>
          <w:tcPr>
            <w:tcW w:w="2967" w:type="dxa"/>
            <w:tcBorders/>
            <w:vAlign w:val="bottom"/>
          </w:tcPr>
          <w:p>
            <w:pPr>
              <w:pStyle w:val="TableContents"/>
              <w:bidi w:val="0"/>
              <w:spacing w:before="0" w:after="0"/>
              <w:ind w:left="180" w:right="0" w:hanging="180"/>
              <w:jc w:val="left"/>
              <w:rPr/>
            </w:pPr>
            <w:r>
              <w:rPr/>
              <w:t>Stock-based compensation</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3,488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3,488</w:t>
            </w:r>
          </w:p>
        </w:tc>
        <w:tc>
          <w:tcPr>
            <w:tcW w:w="159" w:type="dxa"/>
            <w:tcBorders/>
            <w:vAlign w:val="bottom"/>
          </w:tcPr>
          <w:p>
            <w:pPr>
              <w:pStyle w:val="TableContents"/>
              <w:bidi w:val="0"/>
              <w:spacing w:before="0" w:after="283"/>
              <w:jc w:val="left"/>
              <w:rPr/>
            </w:pPr>
            <w:r>
              <w:rPr/>
              <w:t> </w:t>
            </w:r>
          </w:p>
        </w:tc>
      </w:tr>
      <w:tr>
        <w:trPr/>
        <w:tc>
          <w:tcPr>
            <w:tcW w:w="2967" w:type="dxa"/>
            <w:tcBorders/>
            <w:shd w:fill="CCEEFF" w:val="clear"/>
            <w:vAlign w:val="bottom"/>
          </w:tcPr>
          <w:p>
            <w:pPr>
              <w:pStyle w:val="TableContents"/>
              <w:bidi w:val="0"/>
              <w:spacing w:before="0" w:after="0"/>
              <w:ind w:left="180" w:right="0" w:hanging="180"/>
              <w:jc w:val="left"/>
              <w:rPr/>
            </w:pPr>
            <w:r>
              <w:rPr/>
              <w:t>Issuance of common stock, net of offering expenses</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90,846,029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121,135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121,144</w:t>
            </w:r>
          </w:p>
        </w:tc>
        <w:tc>
          <w:tcPr>
            <w:tcW w:w="159" w:type="dxa"/>
            <w:tcBorders/>
            <w:shd w:fill="CCEEFF" w:val="clear"/>
            <w:vAlign w:val="bottom"/>
          </w:tcPr>
          <w:p>
            <w:pPr>
              <w:pStyle w:val="TableContents"/>
              <w:bidi w:val="0"/>
              <w:spacing w:before="0" w:after="283"/>
              <w:jc w:val="left"/>
              <w:rPr/>
            </w:pPr>
            <w:r>
              <w:rPr/>
              <w:t> </w:t>
            </w:r>
          </w:p>
        </w:tc>
      </w:tr>
      <w:tr>
        <w:trPr/>
        <w:tc>
          <w:tcPr>
            <w:tcW w:w="2967" w:type="dxa"/>
            <w:tcBorders/>
            <w:vAlign w:val="bottom"/>
          </w:tcPr>
          <w:p>
            <w:pPr>
              <w:pStyle w:val="TableContents"/>
              <w:bidi w:val="0"/>
              <w:spacing w:before="0" w:after="0"/>
              <w:ind w:left="180" w:right="0" w:hanging="180"/>
              <w:jc w:val="left"/>
              <w:rPr/>
            </w:pPr>
            <w:r>
              <w:rPr/>
              <w:t>Vesting of Restricted Stock Units, net of shares withheld for taxes and retired</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64,900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(61</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(60</w:t>
            </w:r>
          </w:p>
        </w:tc>
        <w:tc>
          <w:tcPr>
            <w:tcW w:w="159" w:type="dxa"/>
            <w:tcBorders/>
            <w:vAlign w:val="bottom"/>
          </w:tcPr>
          <w:p>
            <w:pPr>
              <w:pStyle w:val="TableContents"/>
              <w:bidi w:val="0"/>
              <w:spacing w:before="0" w:after="283"/>
              <w:jc w:val="left"/>
              <w:rPr/>
            </w:pPr>
            <w:r>
              <w:rPr/>
              <w:t>)</w:t>
            </w:r>
          </w:p>
        </w:tc>
      </w:tr>
      <w:tr>
        <w:trPr/>
        <w:tc>
          <w:tcPr>
            <w:tcW w:w="2967" w:type="dxa"/>
            <w:tcBorders/>
            <w:shd w:fill="CCEEFF" w:val="clear"/>
            <w:vAlign w:val="bottom"/>
          </w:tcPr>
          <w:p>
            <w:pPr>
              <w:pStyle w:val="TableContents"/>
              <w:bidi w:val="0"/>
              <w:spacing w:before="0" w:after="0"/>
              <w:ind w:left="180" w:right="0" w:hanging="180"/>
              <w:jc w:val="left"/>
              <w:rPr/>
            </w:pPr>
            <w:r>
              <w:rPr/>
              <w:t>Net loss</w:t>
            </w:r>
          </w:p>
        </w:tc>
        <w:tc>
          <w:tcPr>
            <w:tcW w:w="90" w:type="dxa"/>
            <w:tcBorders/>
            <w:shd w:fill="CCEEFF" w:val="clear"/>
            <w:vAlign w:val="bottom"/>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bottom"/>
          </w:tcPr>
          <w:p>
            <w:pPr>
              <w:pStyle w:val="TableContents"/>
              <w:bidi w:val="0"/>
              <w:spacing w:before="0" w:after="283"/>
              <w:jc w:val="right"/>
              <w:rPr/>
            </w:pPr>
            <w:r>
              <w:rPr/>
              <w:t>(71,648</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bottom"/>
          </w:tcPr>
          <w:p>
            <w:pPr>
              <w:pStyle w:val="TableContents"/>
              <w:bidi w:val="0"/>
              <w:spacing w:before="0" w:after="283"/>
              <w:jc w:val="right"/>
              <w:rPr/>
            </w:pPr>
            <w:r>
              <w:rPr/>
              <w:t>(71,648</w:t>
            </w:r>
          </w:p>
        </w:tc>
        <w:tc>
          <w:tcPr>
            <w:tcW w:w="159" w:type="dxa"/>
            <w:tcBorders/>
            <w:shd w:fill="CCEEFF" w:val="clear"/>
            <w:vAlign w:val="bottom"/>
          </w:tcPr>
          <w:p>
            <w:pPr>
              <w:pStyle w:val="TableContents"/>
              <w:bidi w:val="0"/>
              <w:spacing w:before="0" w:after="283"/>
              <w:jc w:val="left"/>
              <w:rPr/>
            </w:pPr>
            <w:r>
              <w:rPr/>
              <w:t>)</w:t>
            </w:r>
          </w:p>
        </w:tc>
      </w:tr>
      <w:tr>
        <w:trPr/>
        <w:tc>
          <w:tcPr>
            <w:tcW w:w="2967" w:type="dxa"/>
            <w:tcBorders/>
            <w:vAlign w:val="bottom"/>
          </w:tcPr>
          <w:p>
            <w:pPr>
              <w:pStyle w:val="TableContents"/>
              <w:bidi w:val="0"/>
              <w:spacing w:before="0" w:after="0"/>
              <w:ind w:left="180" w:right="0" w:hanging="0"/>
              <w:jc w:val="left"/>
              <w:rPr>
                <w:b/>
              </w:rPr>
            </w:pPr>
            <w:r>
              <w:rPr>
                <w:b/>
              </w:rPr>
              <w:t>Balance at December 31, 2021</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195,813,817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553,266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(412,113</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141,173</w:t>
            </w:r>
          </w:p>
        </w:tc>
        <w:tc>
          <w:tcPr>
            <w:tcW w:w="159" w:type="dxa"/>
            <w:tcBorders/>
            <w:vAlign w:val="bottom"/>
          </w:tcPr>
          <w:p>
            <w:pPr>
              <w:pStyle w:val="TableContents"/>
              <w:bidi w:val="0"/>
              <w:spacing w:before="0" w:after="283"/>
              <w:jc w:val="left"/>
              <w:rPr/>
            </w:pPr>
            <w:r>
              <w:rPr/>
              <w:t> </w:t>
            </w:r>
          </w:p>
        </w:tc>
      </w:tr>
      <w:tr>
        <w:trPr/>
        <w:tc>
          <w:tcPr>
            <w:tcW w:w="2967" w:type="dxa"/>
            <w:tcBorders/>
            <w:shd w:fill="CCEEFF" w:val="clear"/>
            <w:vAlign w:val="bottom"/>
          </w:tcPr>
          <w:p>
            <w:pPr>
              <w:pStyle w:val="TableContents"/>
              <w:bidi w:val="0"/>
              <w:spacing w:before="0" w:after="0"/>
              <w:ind w:left="180" w:right="0" w:hanging="180"/>
              <w:jc w:val="left"/>
              <w:rPr/>
            </w:pPr>
            <w:r>
              <w:rPr/>
              <w:t>Stock-based compensation</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5,215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5,215</w:t>
            </w:r>
          </w:p>
        </w:tc>
        <w:tc>
          <w:tcPr>
            <w:tcW w:w="159" w:type="dxa"/>
            <w:tcBorders/>
            <w:shd w:fill="CCEEFF" w:val="clear"/>
            <w:vAlign w:val="bottom"/>
          </w:tcPr>
          <w:p>
            <w:pPr>
              <w:pStyle w:val="TableContents"/>
              <w:bidi w:val="0"/>
              <w:spacing w:before="0" w:after="283"/>
              <w:jc w:val="left"/>
              <w:rPr/>
            </w:pPr>
            <w:r>
              <w:rPr/>
              <w:t> </w:t>
            </w:r>
          </w:p>
        </w:tc>
      </w:tr>
      <w:tr>
        <w:trPr/>
        <w:tc>
          <w:tcPr>
            <w:tcW w:w="2967" w:type="dxa"/>
            <w:tcBorders/>
            <w:vAlign w:val="bottom"/>
          </w:tcPr>
          <w:p>
            <w:pPr>
              <w:pStyle w:val="TableContents"/>
              <w:bidi w:val="0"/>
              <w:spacing w:before="0" w:after="0"/>
              <w:ind w:left="180" w:right="0" w:hanging="180"/>
              <w:jc w:val="left"/>
              <w:rPr/>
            </w:pPr>
            <w:r>
              <w:rPr/>
              <w:t xml:space="preserve">Issuance of common stock, net of offering expenses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24,125,873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64,642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64,644</w:t>
            </w:r>
          </w:p>
        </w:tc>
        <w:tc>
          <w:tcPr>
            <w:tcW w:w="159" w:type="dxa"/>
            <w:tcBorders/>
            <w:vAlign w:val="bottom"/>
          </w:tcPr>
          <w:p>
            <w:pPr>
              <w:pStyle w:val="TableContents"/>
              <w:bidi w:val="0"/>
              <w:spacing w:before="0" w:after="283"/>
              <w:jc w:val="left"/>
              <w:rPr/>
            </w:pPr>
            <w:r>
              <w:rPr/>
              <w:t> </w:t>
            </w:r>
          </w:p>
        </w:tc>
      </w:tr>
      <w:tr>
        <w:trPr/>
        <w:tc>
          <w:tcPr>
            <w:tcW w:w="2967" w:type="dxa"/>
            <w:tcBorders/>
            <w:shd w:fill="CCEEFF" w:val="clear"/>
            <w:vAlign w:val="bottom"/>
          </w:tcPr>
          <w:p>
            <w:pPr>
              <w:pStyle w:val="TableContents"/>
              <w:bidi w:val="0"/>
              <w:spacing w:before="0" w:after="0"/>
              <w:ind w:left="180" w:right="0" w:hanging="180"/>
              <w:jc w:val="left"/>
              <w:rPr/>
            </w:pPr>
            <w:r>
              <w:rPr/>
              <w:t xml:space="preserve">Vesting of Restricted Stock Units, net of shares withheld for taxes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1,808,561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(2,899</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(2,899</w:t>
            </w:r>
          </w:p>
        </w:tc>
        <w:tc>
          <w:tcPr>
            <w:tcW w:w="159" w:type="dxa"/>
            <w:tcBorders/>
            <w:shd w:fill="CCEEFF" w:val="clear"/>
            <w:vAlign w:val="bottom"/>
          </w:tcPr>
          <w:p>
            <w:pPr>
              <w:pStyle w:val="TableContents"/>
              <w:bidi w:val="0"/>
              <w:spacing w:before="0" w:after="283"/>
              <w:jc w:val="left"/>
              <w:rPr/>
            </w:pPr>
            <w:r>
              <w:rPr/>
              <w:t>)</w:t>
            </w:r>
          </w:p>
        </w:tc>
      </w:tr>
      <w:tr>
        <w:trPr/>
        <w:tc>
          <w:tcPr>
            <w:tcW w:w="2967" w:type="dxa"/>
            <w:tcBorders/>
            <w:vAlign w:val="bottom"/>
          </w:tcPr>
          <w:p>
            <w:pPr>
              <w:pStyle w:val="TableContents"/>
              <w:bidi w:val="0"/>
              <w:spacing w:before="0" w:after="0"/>
              <w:ind w:left="180" w:right="0" w:hanging="180"/>
              <w:jc w:val="left"/>
              <w:rPr/>
            </w:pPr>
            <w:r>
              <w:rPr/>
              <w:t xml:space="preserve">Warrants issued in connection with note payable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9,570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9,570</w:t>
            </w:r>
          </w:p>
        </w:tc>
        <w:tc>
          <w:tcPr>
            <w:tcW w:w="159" w:type="dxa"/>
            <w:tcBorders/>
            <w:vAlign w:val="bottom"/>
          </w:tcPr>
          <w:p>
            <w:pPr>
              <w:pStyle w:val="TableContents"/>
              <w:bidi w:val="0"/>
              <w:spacing w:before="0" w:after="283"/>
              <w:jc w:val="left"/>
              <w:rPr/>
            </w:pPr>
            <w:r>
              <w:rPr/>
              <w:t> </w:t>
            </w:r>
          </w:p>
        </w:tc>
      </w:tr>
      <w:tr>
        <w:trPr/>
        <w:tc>
          <w:tcPr>
            <w:tcW w:w="2967" w:type="dxa"/>
            <w:tcBorders/>
            <w:shd w:fill="CCEEFF" w:val="clear"/>
            <w:vAlign w:val="bottom"/>
          </w:tcPr>
          <w:p>
            <w:pPr>
              <w:pStyle w:val="TableContents"/>
              <w:bidi w:val="0"/>
              <w:spacing w:before="0" w:after="0"/>
              <w:ind w:left="180" w:right="0" w:hanging="180"/>
              <w:jc w:val="left"/>
              <w:rPr/>
            </w:pPr>
            <w:r>
              <w:rPr/>
              <w:t>Exercise of stock options</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68,679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175</w:t>
            </w:r>
          </w:p>
        </w:tc>
        <w:tc>
          <w:tcPr>
            <w:tcW w:w="159" w:type="dxa"/>
            <w:tcBorders/>
            <w:shd w:fill="CCEEFF" w:val="clear"/>
            <w:vAlign w:val="bottom"/>
          </w:tcPr>
          <w:p>
            <w:pPr>
              <w:pStyle w:val="TableContents"/>
              <w:bidi w:val="0"/>
              <w:spacing w:before="0" w:after="283"/>
              <w:jc w:val="left"/>
              <w:rPr/>
            </w:pPr>
            <w:r>
              <w:rPr/>
              <w:t> </w:t>
            </w:r>
          </w:p>
        </w:tc>
      </w:tr>
      <w:tr>
        <w:trPr/>
        <w:tc>
          <w:tcPr>
            <w:tcW w:w="2967" w:type="dxa"/>
            <w:tcBorders/>
            <w:vAlign w:val="bottom"/>
          </w:tcPr>
          <w:p>
            <w:pPr>
              <w:pStyle w:val="TableContents"/>
              <w:bidi w:val="0"/>
              <w:spacing w:before="0" w:after="0"/>
              <w:ind w:left="180" w:right="0" w:hanging="180"/>
              <w:jc w:val="left"/>
              <w:rPr/>
            </w:pPr>
            <w:r>
              <w:rPr/>
              <w:t>Net loss</w:t>
            </w:r>
          </w:p>
        </w:tc>
        <w:tc>
          <w:tcPr>
            <w:tcW w:w="90" w:type="dxa"/>
            <w:tcBorders/>
            <w:vAlign w:val="bottom"/>
          </w:tcPr>
          <w:p>
            <w:pPr>
              <w:pStyle w:val="TableContents"/>
              <w:bidi w:val="0"/>
              <w:spacing w:before="0" w:after="283"/>
              <w:jc w:val="righ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4" w:type="dxa"/>
            <w:tcBorders>
              <w:bottom w:val="single" w:sz="12" w:space="0" w:color="000000"/>
            </w:tcBorders>
            <w:tcMar>
              <w:bottom w:w="28" w:type="dxa"/>
            </w:tcMar>
            <w:vAlign w:val="bottom"/>
          </w:tcPr>
          <w:p>
            <w:pPr>
              <w:pStyle w:val="TableContents"/>
              <w:bidi w:val="0"/>
              <w:spacing w:before="0" w:after="283"/>
              <w:jc w:val="left"/>
              <w:rPr/>
            </w:pPr>
            <w:r>
              <w:rPr/>
              <w:t> </w:t>
            </w:r>
          </w:p>
        </w:tc>
        <w:tc>
          <w:tcPr>
            <w:tcW w:w="572" w:type="dxa"/>
            <w:tcBorders>
              <w:bottom w:val="single" w:sz="12" w:space="0" w:color="000000"/>
            </w:tcBorders>
            <w:tcMar>
              <w:bottom w:w="28" w:type="dxa"/>
            </w:tcMar>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tcMar>
              <w:bottom w:w="28" w:type="dxa"/>
            </w:tcMar>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tcMar>
              <w:bottom w:w="28" w:type="dxa"/>
            </w:tcMar>
            <w:vAlign w:val="bottom"/>
          </w:tcPr>
          <w:p>
            <w:pPr>
              <w:pStyle w:val="TableContents"/>
              <w:bidi w:val="0"/>
              <w:spacing w:before="0" w:after="283"/>
              <w:jc w:val="right"/>
              <w:rPr/>
            </w:pPr>
            <w:r>
              <w:rPr/>
              <w:t>(65,904</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tcMar>
              <w:bottom w:w="28" w:type="dxa"/>
            </w:tcMar>
            <w:vAlign w:val="bottom"/>
          </w:tcPr>
          <w:p>
            <w:pPr>
              <w:pStyle w:val="TableContents"/>
              <w:bidi w:val="0"/>
              <w:spacing w:before="0" w:after="283"/>
              <w:jc w:val="right"/>
              <w:rPr/>
            </w:pPr>
            <w:r>
              <w:rPr/>
              <w:t>(65,904</w:t>
            </w:r>
          </w:p>
        </w:tc>
        <w:tc>
          <w:tcPr>
            <w:tcW w:w="159" w:type="dxa"/>
            <w:tcBorders/>
            <w:vAlign w:val="bottom"/>
          </w:tcPr>
          <w:p>
            <w:pPr>
              <w:pStyle w:val="TableContents"/>
              <w:bidi w:val="0"/>
              <w:spacing w:before="0" w:after="283"/>
              <w:jc w:val="left"/>
              <w:rPr/>
            </w:pPr>
            <w:r>
              <w:rPr/>
              <w:t>)</w:t>
            </w:r>
          </w:p>
        </w:tc>
      </w:tr>
      <w:tr>
        <w:trPr/>
        <w:tc>
          <w:tcPr>
            <w:tcW w:w="2967" w:type="dxa"/>
            <w:tcBorders/>
            <w:shd w:fill="CCEEFF" w:val="clear"/>
            <w:vAlign w:val="bottom"/>
          </w:tcPr>
          <w:p>
            <w:pPr>
              <w:pStyle w:val="TableContents"/>
              <w:bidi w:val="0"/>
              <w:spacing w:before="0" w:after="0"/>
              <w:ind w:left="360" w:right="0" w:hanging="0"/>
              <w:jc w:val="left"/>
              <w:rPr>
                <w:b/>
              </w:rPr>
            </w:pPr>
            <w:r>
              <w:rPr>
                <w:b/>
              </w:rPr>
              <w:t>Balance at December 31, 2022</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221,816,930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r>
          </w:p>
        </w:tc>
        <w:tc>
          <w:tcPr>
            <w:tcW w:w="572" w:type="dxa"/>
            <w:tcBorders/>
            <w:shd w:fill="CCEEFF" w:val="clear"/>
            <w:vAlign w:val="bottom"/>
          </w:tcPr>
          <w:p>
            <w:pPr>
              <w:pStyle w:val="TableContents"/>
              <w:bidi w:val="0"/>
              <w:spacing w:before="0" w:after="283"/>
              <w:jc w:val="right"/>
              <w:rPr/>
            </w:pPr>
            <w:r>
              <w:rPr/>
              <w:t>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r>
          </w:p>
        </w:tc>
        <w:tc>
          <w:tcPr>
            <w:tcW w:w="942" w:type="dxa"/>
            <w:tcBorders/>
            <w:shd w:fill="CCEEFF" w:val="clear"/>
            <w:vAlign w:val="bottom"/>
          </w:tcPr>
          <w:p>
            <w:pPr>
              <w:pStyle w:val="TableContents"/>
              <w:bidi w:val="0"/>
              <w:spacing w:before="0" w:after="283"/>
              <w:jc w:val="right"/>
              <w:rPr/>
            </w:pPr>
            <w:r>
              <w:rPr/>
              <w:t>629,969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r>
          </w:p>
        </w:tc>
        <w:tc>
          <w:tcPr>
            <w:tcW w:w="1191" w:type="dxa"/>
            <w:tcBorders/>
            <w:shd w:fill="CCEEFF" w:val="clear"/>
            <w:vAlign w:val="bottom"/>
          </w:tcPr>
          <w:p>
            <w:pPr>
              <w:pStyle w:val="TableContents"/>
              <w:bidi w:val="0"/>
              <w:spacing w:before="0" w:after="283"/>
              <w:jc w:val="right"/>
              <w:rPr/>
            </w:pPr>
            <w:r>
              <w:rPr/>
              <w:t>(478,017</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r>
          </w:p>
        </w:tc>
        <w:tc>
          <w:tcPr>
            <w:tcW w:w="1156" w:type="dxa"/>
            <w:tcBorders/>
            <w:shd w:fill="CCEEFF" w:val="clear"/>
            <w:vAlign w:val="bottom"/>
          </w:tcPr>
          <w:p>
            <w:pPr>
              <w:pStyle w:val="TableContents"/>
              <w:bidi w:val="0"/>
              <w:spacing w:before="0" w:after="283"/>
              <w:jc w:val="right"/>
              <w:rPr/>
            </w:pPr>
            <w:r>
              <w:rPr/>
              <w:t>151,974</w:t>
            </w:r>
          </w:p>
        </w:tc>
        <w:tc>
          <w:tcPr>
            <w:tcW w:w="159" w:type="dxa"/>
            <w:tcBorders/>
            <w:shd w:fill="CCEEFF" w:val="clear"/>
            <w:vAlign w:val="bottom"/>
          </w:tcPr>
          <w:p>
            <w:pPr>
              <w:pStyle w:val="TableContents"/>
              <w:bidi w:val="0"/>
              <w:spacing w:before="0" w:after="283"/>
              <w:jc w:val="left"/>
              <w:rPr/>
            </w:pPr>
            <w:r>
              <w:rPr/>
              <w:t> </w:t>
            </w:r>
          </w:p>
        </w:tc>
      </w:tr>
      <w:tr>
        <w:trPr/>
        <w:tc>
          <w:tcPr>
            <w:tcW w:w="2967" w:type="dxa"/>
            <w:tcBorders/>
            <w:vAlign w:val="bottom"/>
          </w:tcPr>
          <w:p>
            <w:pPr>
              <w:pStyle w:val="TableContents"/>
              <w:bidi w:val="0"/>
              <w:spacing w:before="0" w:after="0"/>
              <w:ind w:left="180" w:right="0" w:hanging="180"/>
              <w:jc w:val="left"/>
              <w:rPr/>
            </w:pPr>
            <w:r>
              <w:rPr/>
              <w:t xml:space="preserve">Stock-based compensation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6,187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6,187</w:t>
            </w:r>
          </w:p>
        </w:tc>
        <w:tc>
          <w:tcPr>
            <w:tcW w:w="159" w:type="dxa"/>
            <w:tcBorders/>
            <w:vAlign w:val="bottom"/>
          </w:tcPr>
          <w:p>
            <w:pPr>
              <w:pStyle w:val="TableContents"/>
              <w:bidi w:val="0"/>
              <w:spacing w:before="0" w:after="283"/>
              <w:jc w:val="left"/>
              <w:rPr/>
            </w:pPr>
            <w:r>
              <w:rPr/>
              <w:t> </w:t>
            </w:r>
          </w:p>
        </w:tc>
      </w:tr>
      <w:tr>
        <w:trPr/>
        <w:tc>
          <w:tcPr>
            <w:tcW w:w="2967" w:type="dxa"/>
            <w:tcBorders/>
            <w:shd w:fill="CCEEFF" w:val="clear"/>
            <w:vAlign w:val="bottom"/>
          </w:tcPr>
          <w:p>
            <w:pPr>
              <w:pStyle w:val="TableContents"/>
              <w:bidi w:val="0"/>
              <w:spacing w:before="0" w:after="0"/>
              <w:ind w:left="180" w:right="0" w:hanging="180"/>
              <w:jc w:val="left"/>
              <w:rPr/>
            </w:pPr>
            <w:r>
              <w:rPr/>
              <w:t xml:space="preserve">Vesting of Restricted Stock Units, net of shares withheld for taxes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833,722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(1,415</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(1,415</w:t>
            </w:r>
          </w:p>
        </w:tc>
        <w:tc>
          <w:tcPr>
            <w:tcW w:w="159" w:type="dxa"/>
            <w:tcBorders/>
            <w:shd w:fill="CCEEFF" w:val="clear"/>
            <w:vAlign w:val="bottom"/>
          </w:tcPr>
          <w:p>
            <w:pPr>
              <w:pStyle w:val="TableContents"/>
              <w:bidi w:val="0"/>
              <w:spacing w:before="0" w:after="283"/>
              <w:jc w:val="left"/>
              <w:rPr/>
            </w:pPr>
            <w:r>
              <w:rPr/>
              <w:t>)</w:t>
            </w:r>
          </w:p>
        </w:tc>
      </w:tr>
      <w:tr>
        <w:trPr/>
        <w:tc>
          <w:tcPr>
            <w:tcW w:w="2967" w:type="dxa"/>
            <w:tcBorders/>
            <w:vAlign w:val="bottom"/>
          </w:tcPr>
          <w:p>
            <w:pPr>
              <w:pStyle w:val="TableContents"/>
              <w:bidi w:val="0"/>
              <w:spacing w:before="0" w:after="0"/>
              <w:ind w:left="180" w:right="0" w:hanging="180"/>
              <w:jc w:val="left"/>
              <w:rPr/>
            </w:pPr>
            <w:r>
              <w:rPr/>
              <w:t xml:space="preserve">Warrants issued in connection with notes payable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5,595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5,595</w:t>
            </w:r>
          </w:p>
        </w:tc>
        <w:tc>
          <w:tcPr>
            <w:tcW w:w="159" w:type="dxa"/>
            <w:tcBorders/>
            <w:vAlign w:val="bottom"/>
          </w:tcPr>
          <w:p>
            <w:pPr>
              <w:pStyle w:val="TableContents"/>
              <w:bidi w:val="0"/>
              <w:spacing w:before="0" w:after="283"/>
              <w:jc w:val="left"/>
              <w:rPr/>
            </w:pPr>
            <w:r>
              <w:rPr/>
              <w:t> </w:t>
            </w:r>
          </w:p>
        </w:tc>
      </w:tr>
      <w:tr>
        <w:trPr/>
        <w:tc>
          <w:tcPr>
            <w:tcW w:w="2967" w:type="dxa"/>
            <w:tcBorders/>
            <w:shd w:fill="CCEEFF" w:val="clear"/>
            <w:vAlign w:val="bottom"/>
          </w:tcPr>
          <w:p>
            <w:pPr>
              <w:pStyle w:val="TableContents"/>
              <w:bidi w:val="0"/>
              <w:spacing w:before="0" w:after="283"/>
              <w:jc w:val="left"/>
              <w:rPr/>
            </w:pPr>
            <w:r>
              <w:rPr/>
              <w:t xml:space="preserve">Exercise of stock options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1,444,533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1,103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1,104</w:t>
            </w:r>
          </w:p>
        </w:tc>
        <w:tc>
          <w:tcPr>
            <w:tcW w:w="159" w:type="dxa"/>
            <w:tcBorders/>
            <w:shd w:fill="CCEEFF" w:val="clear"/>
            <w:vAlign w:val="bottom"/>
          </w:tcPr>
          <w:p>
            <w:pPr>
              <w:pStyle w:val="TableContents"/>
              <w:bidi w:val="0"/>
              <w:spacing w:before="0" w:after="283"/>
              <w:jc w:val="left"/>
              <w:rPr/>
            </w:pPr>
            <w:r>
              <w:rPr/>
              <w:t> </w:t>
            </w:r>
          </w:p>
        </w:tc>
      </w:tr>
      <w:tr>
        <w:trPr/>
        <w:tc>
          <w:tcPr>
            <w:tcW w:w="2967" w:type="dxa"/>
            <w:tcBorders/>
            <w:vAlign w:val="bottom"/>
          </w:tcPr>
          <w:p>
            <w:pPr>
              <w:pStyle w:val="TableContents"/>
              <w:bidi w:val="0"/>
              <w:spacing w:before="0" w:after="283"/>
              <w:jc w:val="left"/>
              <w:rPr/>
            </w:pPr>
            <w:r>
              <w:rPr/>
              <w:t>Cashless exercise of warrants</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1,967,847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2967" w:type="dxa"/>
            <w:tcBorders/>
            <w:shd w:fill="CCEEFF" w:val="clear"/>
            <w:vAlign w:val="bottom"/>
          </w:tcPr>
          <w:p>
            <w:pPr>
              <w:pStyle w:val="TableContents"/>
              <w:bidi w:val="0"/>
              <w:spacing w:before="0" w:after="283"/>
              <w:jc w:val="left"/>
              <w:rPr/>
            </w:pPr>
            <w:r>
              <w:rPr/>
              <w:t>Net loss</w:t>
            </w:r>
          </w:p>
        </w:tc>
        <w:tc>
          <w:tcPr>
            <w:tcW w:w="90" w:type="dxa"/>
            <w:tcBorders/>
            <w:shd w:fill="CCEEFF" w:val="clear"/>
            <w:vAlign w:val="bottom"/>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7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bottom"/>
          </w:tcPr>
          <w:p>
            <w:pPr>
              <w:pStyle w:val="TableContents"/>
              <w:bidi w:val="0"/>
              <w:spacing w:before="0" w:after="283"/>
              <w:jc w:val="right"/>
              <w:rPr/>
            </w:pPr>
            <w:r>
              <w:rPr/>
              <w:t>(28,239</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bottom"/>
          </w:tcPr>
          <w:p>
            <w:pPr>
              <w:pStyle w:val="TableContents"/>
              <w:bidi w:val="0"/>
              <w:spacing w:before="0" w:after="283"/>
              <w:jc w:val="right"/>
              <w:rPr/>
            </w:pPr>
            <w:r>
              <w:rPr/>
              <w:t>(28,239</w:t>
            </w:r>
          </w:p>
        </w:tc>
        <w:tc>
          <w:tcPr>
            <w:tcW w:w="159" w:type="dxa"/>
            <w:tcBorders/>
            <w:shd w:fill="CCEEFF" w:val="clear"/>
            <w:vAlign w:val="bottom"/>
          </w:tcPr>
          <w:p>
            <w:pPr>
              <w:pStyle w:val="TableContents"/>
              <w:bidi w:val="0"/>
              <w:spacing w:before="0" w:after="283"/>
              <w:jc w:val="left"/>
              <w:rPr/>
            </w:pPr>
            <w:r>
              <w:rPr/>
              <w:t>)</w:t>
            </w:r>
          </w:p>
        </w:tc>
      </w:tr>
      <w:tr>
        <w:trPr/>
        <w:tc>
          <w:tcPr>
            <w:tcW w:w="2967" w:type="dxa"/>
            <w:tcBorders/>
            <w:vAlign w:val="bottom"/>
          </w:tcPr>
          <w:p>
            <w:pPr>
              <w:pStyle w:val="TableContents"/>
              <w:bidi w:val="0"/>
              <w:spacing w:before="0" w:after="283"/>
              <w:jc w:val="left"/>
              <w:rPr>
                <w:b/>
              </w:rPr>
            </w:pPr>
            <w:r>
              <w:rPr>
                <w:b/>
              </w:rPr>
              <w:t xml:space="preserve">Balance at December 31, 2023 </w:t>
            </w:r>
          </w:p>
        </w:tc>
        <w:tc>
          <w:tcPr>
            <w:tcW w:w="90" w:type="dxa"/>
            <w:tcBorders/>
            <w:vAlign w:val="bottom"/>
          </w:tcPr>
          <w:p>
            <w:pPr>
              <w:pStyle w:val="TableContents"/>
              <w:bidi w:val="0"/>
              <w:spacing w:before="0" w:after="283"/>
              <w:jc w:val="righ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250" w:type="dxa"/>
            <w:tcBorders>
              <w:bottom w:val="double" w:sz="8" w:space="0" w:color="000000"/>
            </w:tcBorders>
            <w:tcMar>
              <w:bottom w:w="28" w:type="dxa"/>
            </w:tcMar>
            <w:vAlign w:val="bottom"/>
          </w:tcPr>
          <w:p>
            <w:pPr>
              <w:pStyle w:val="TableContents"/>
              <w:bidi w:val="0"/>
              <w:spacing w:before="0" w:after="283"/>
              <w:jc w:val="right"/>
              <w:rPr/>
            </w:pPr>
            <w:r>
              <w:rPr/>
              <w:t>226,063,032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4" w:type="dxa"/>
            <w:tcBorders>
              <w:bottom w:val="double" w:sz="8" w:space="0" w:color="000000"/>
            </w:tcBorders>
            <w:tcMar>
              <w:bottom w:w="28" w:type="dxa"/>
            </w:tcMar>
            <w:vAlign w:val="bottom"/>
          </w:tcPr>
          <w:p>
            <w:pPr>
              <w:pStyle w:val="TableContents"/>
              <w:bidi w:val="0"/>
              <w:spacing w:before="0" w:after="283"/>
              <w:jc w:val="left"/>
              <w:rPr/>
            </w:pPr>
            <w:r>
              <w:rPr/>
              <w:t xml:space="preserve">$ </w:t>
            </w:r>
          </w:p>
        </w:tc>
        <w:tc>
          <w:tcPr>
            <w:tcW w:w="572" w:type="dxa"/>
            <w:tcBorders>
              <w:bottom w:val="double" w:sz="8" w:space="0" w:color="000000"/>
            </w:tcBorders>
            <w:tcMar>
              <w:bottom w:w="28" w:type="dxa"/>
            </w:tcMar>
            <w:vAlign w:val="bottom"/>
          </w:tcPr>
          <w:p>
            <w:pPr>
              <w:pStyle w:val="TableContents"/>
              <w:bidi w:val="0"/>
              <w:spacing w:before="0" w:after="283"/>
              <w:jc w:val="right"/>
              <w:rPr/>
            </w:pPr>
            <w:r>
              <w:rPr/>
              <w:t>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bottom w:val="double" w:sz="8" w:space="0" w:color="000000"/>
            </w:tcBorders>
            <w:tcMar>
              <w:bottom w:w="28" w:type="dxa"/>
            </w:tcMar>
            <w:vAlign w:val="bottom"/>
          </w:tcPr>
          <w:p>
            <w:pPr>
              <w:pStyle w:val="TableContents"/>
              <w:bidi w:val="0"/>
              <w:spacing w:before="0" w:after="283"/>
              <w:jc w:val="left"/>
              <w:rPr/>
            </w:pPr>
            <w:r>
              <w:rPr/>
              <w:t xml:space="preserve">$ </w:t>
            </w:r>
          </w:p>
        </w:tc>
        <w:tc>
          <w:tcPr>
            <w:tcW w:w="942" w:type="dxa"/>
            <w:tcBorders>
              <w:bottom w:val="double" w:sz="8" w:space="0" w:color="000000"/>
            </w:tcBorders>
            <w:tcMar>
              <w:bottom w:w="28" w:type="dxa"/>
            </w:tcMar>
            <w:vAlign w:val="bottom"/>
          </w:tcPr>
          <w:p>
            <w:pPr>
              <w:pStyle w:val="TableContents"/>
              <w:bidi w:val="0"/>
              <w:spacing w:before="0" w:after="283"/>
              <w:jc w:val="right"/>
              <w:rPr/>
            </w:pPr>
            <w:r>
              <w:rPr/>
              <w:t>641,439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5" w:type="dxa"/>
            <w:tcBorders>
              <w:bottom w:val="double" w:sz="8" w:space="0" w:color="000000"/>
            </w:tcBorders>
            <w:tcMar>
              <w:bottom w:w="28" w:type="dxa"/>
            </w:tcMar>
            <w:vAlign w:val="bottom"/>
          </w:tcPr>
          <w:p>
            <w:pPr>
              <w:pStyle w:val="TableContents"/>
              <w:bidi w:val="0"/>
              <w:spacing w:before="0" w:after="283"/>
              <w:jc w:val="left"/>
              <w:rPr/>
            </w:pPr>
            <w:r>
              <w:rPr/>
              <w:t xml:space="preserve">$ </w:t>
            </w:r>
          </w:p>
        </w:tc>
        <w:tc>
          <w:tcPr>
            <w:tcW w:w="1191" w:type="dxa"/>
            <w:tcBorders>
              <w:bottom w:val="double" w:sz="8" w:space="0" w:color="000000"/>
            </w:tcBorders>
            <w:tcMar>
              <w:bottom w:w="28" w:type="dxa"/>
            </w:tcMar>
            <w:vAlign w:val="bottom"/>
          </w:tcPr>
          <w:p>
            <w:pPr>
              <w:pStyle w:val="TableContents"/>
              <w:bidi w:val="0"/>
              <w:spacing w:before="0" w:after="283"/>
              <w:jc w:val="right"/>
              <w:rPr/>
            </w:pPr>
            <w:r>
              <w:rPr/>
              <w:t>(506,256</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235" w:type="dxa"/>
            <w:tcBorders>
              <w:bottom w:val="double" w:sz="8" w:space="0" w:color="000000"/>
            </w:tcBorders>
            <w:tcMar>
              <w:bottom w:w="28" w:type="dxa"/>
            </w:tcMar>
            <w:vAlign w:val="bottom"/>
          </w:tcPr>
          <w:p>
            <w:pPr>
              <w:pStyle w:val="TableContents"/>
              <w:bidi w:val="0"/>
              <w:spacing w:before="0" w:after="283"/>
              <w:jc w:val="left"/>
              <w:rPr/>
            </w:pPr>
            <w:r>
              <w:rPr/>
              <w:t xml:space="preserve">$ </w:t>
            </w:r>
          </w:p>
        </w:tc>
        <w:tc>
          <w:tcPr>
            <w:tcW w:w="1156" w:type="dxa"/>
            <w:tcBorders>
              <w:bottom w:val="double" w:sz="8" w:space="0" w:color="000000"/>
            </w:tcBorders>
            <w:tcMar>
              <w:bottom w:w="28" w:type="dxa"/>
            </w:tcMar>
            <w:vAlign w:val="bottom"/>
          </w:tcPr>
          <w:p>
            <w:pPr>
              <w:pStyle w:val="TableContents"/>
              <w:bidi w:val="0"/>
              <w:spacing w:before="0" w:after="283"/>
              <w:jc w:val="right"/>
              <w:rPr/>
            </w:pPr>
            <w:r>
              <w:rPr/>
              <w:t>135,206</w:t>
            </w:r>
          </w:p>
        </w:tc>
        <w:tc>
          <w:tcPr>
            <w:tcW w:w="159"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accompanying notes are an integral part of these consolidated financial statements.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hanging="0"/>
        <w:jc w:val="center"/>
        <w:rPr/>
      </w:pPr>
      <w:r>
        <w:rPr>
          <w:rStyle w:val="StrongEmphasis"/>
          <w:rFonts w:ascii="Times New Roman" w:hAnsi="Times New Roman"/>
          <w:b w:val="false"/>
          <w:i w:val="false"/>
          <w:caps w:val="false"/>
          <w:smallCaps w:val="false"/>
          <w:color w:val="000000"/>
          <w:sz w:val="20"/>
          <w:shd w:fill="FFFFFF" w:val="clear"/>
        </w:rPr>
        <w:t>ADMA BIOLOGICS, INC. AND SUBSIDIARIES</w:t>
      </w:r>
    </w:p>
    <w:p>
      <w:pPr>
        <w:pStyle w:val="TextBody"/>
        <w:bidi w:val="0"/>
        <w:spacing w:before="0" w:after="0"/>
        <w:ind w:left="0" w:right="0" w:hanging="0"/>
        <w:jc w:val="center"/>
        <w:rPr/>
      </w:pPr>
      <w:bookmarkStart w:id="52" w:name="CASHFLOWS"/>
      <w:bookmarkEnd w:id="52"/>
      <w:r>
        <w:rPr>
          <w:rStyle w:val="StrongEmphasis"/>
          <w:rFonts w:ascii="Times New Roman" w:hAnsi="Times New Roman"/>
          <w:b w:val="false"/>
          <w:i w:val="false"/>
          <w:caps w:val="false"/>
          <w:smallCaps w:val="false"/>
          <w:color w:val="000000"/>
          <w:sz w:val="20"/>
          <w:shd w:fill="FFFFFF" w:val="clear"/>
        </w:rPr>
        <w:t>CONSOLIDATED STATEMENTS OF CASH FLOWS</w:t>
      </w:r>
    </w:p>
    <w:p>
      <w:pPr>
        <w:pStyle w:val="TextBody"/>
        <w:bidi w:val="0"/>
        <w:spacing w:before="0" w:after="0"/>
        <w:ind w:left="0" w:right="0" w:hanging="0"/>
        <w:jc w:val="center"/>
        <w:rPr>
          <w:rStyle w:val="StrongEmphasis"/>
        </w:rPr>
      </w:pPr>
      <w:r>
        <w:rPr/>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6305"/>
        <w:gridCol w:w="90"/>
        <w:gridCol w:w="170"/>
        <w:gridCol w:w="905"/>
        <w:gridCol w:w="125"/>
        <w:gridCol w:w="90"/>
        <w:gridCol w:w="170"/>
        <w:gridCol w:w="905"/>
        <w:gridCol w:w="125"/>
        <w:gridCol w:w="90"/>
        <w:gridCol w:w="170"/>
        <w:gridCol w:w="905"/>
        <w:gridCol w:w="155"/>
      </w:tblGrid>
      <w:tr>
        <w:trPr/>
        <w:tc>
          <w:tcPr>
            <w:tcW w:w="630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3655" w:type="dxa"/>
            <w:gridSpan w:val="10"/>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Year Ended December 31,</w:t>
            </w:r>
          </w:p>
        </w:tc>
        <w:tc>
          <w:tcPr>
            <w:tcW w:w="155" w:type="dxa"/>
            <w:tcBorders/>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2023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Pr>
              <w:t>2022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3655" w:type="dxa"/>
            <w:gridSpan w:val="10"/>
            <w:tcBorders/>
            <w:vAlign w:val="bottom"/>
          </w:tcPr>
          <w:p>
            <w:pPr>
              <w:pStyle w:val="TableContents"/>
              <w:bidi w:val="0"/>
              <w:spacing w:before="0" w:after="283"/>
              <w:jc w:val="center"/>
              <w:rPr>
                <w:i/>
              </w:rPr>
            </w:pPr>
            <w:r>
              <w:rPr>
                <w:i/>
              </w:rPr>
              <w:t>(In thousands)</w:t>
            </w:r>
          </w:p>
        </w:tc>
        <w:tc>
          <w:tcPr>
            <w:tcW w:w="155" w:type="dxa"/>
            <w:tcBorders/>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0" w:right="0" w:hanging="0"/>
              <w:jc w:val="left"/>
              <w:rPr/>
            </w:pPr>
            <w:r>
              <w:rPr>
                <w:rStyle w:val="StrongEmphasis"/>
              </w:rPr>
              <w:t>CASH FLOWS FROM OPERATING ACTIVITIES:</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225" w:right="0" w:hanging="0"/>
              <w:jc w:val="left"/>
              <w:rPr/>
            </w:pPr>
            <w:r>
              <w:rPr/>
              <w:t>Net loss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(28,239</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(65,904</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(71,648</w:t>
            </w:r>
          </w:p>
        </w:tc>
        <w:tc>
          <w:tcPr>
            <w:tcW w:w="155" w:type="dxa"/>
            <w:tcBorders/>
            <w:shd w:fill="CCEEFF" w:val="clear"/>
            <w:vAlign w:val="bottom"/>
          </w:tcPr>
          <w:p>
            <w:pPr>
              <w:pStyle w:val="TableContents"/>
              <w:bidi w:val="0"/>
              <w:spacing w:before="0" w:after="283"/>
              <w:jc w:val="left"/>
              <w:rPr/>
            </w:pPr>
            <w:r>
              <w:rPr/>
              <w:t>)</w:t>
            </w:r>
          </w:p>
        </w:tc>
      </w:tr>
      <w:tr>
        <w:trPr/>
        <w:tc>
          <w:tcPr>
            <w:tcW w:w="6305" w:type="dxa"/>
            <w:tcBorders/>
            <w:vAlign w:val="bottom"/>
          </w:tcPr>
          <w:p>
            <w:pPr>
              <w:pStyle w:val="TableContents"/>
              <w:bidi w:val="0"/>
              <w:spacing w:before="0" w:after="0"/>
              <w:ind w:left="225" w:right="0" w:hanging="0"/>
              <w:jc w:val="left"/>
              <w:rPr/>
            </w:pPr>
            <w:r>
              <w:rPr/>
              <w:t xml:space="preserve">Adjustments to reconcile net loss to net cash provided by (used in) operating activities: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450" w:right="0" w:hanging="0"/>
              <w:jc w:val="left"/>
              <w:rPr/>
            </w:pPr>
            <w:r>
              <w:rPr/>
              <w:t>Depreciation and amortization</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8,332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7,113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5,496</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450" w:right="0" w:hanging="0"/>
              <w:jc w:val="left"/>
              <w:rPr/>
            </w:pPr>
            <w:r>
              <w:rPr/>
              <w:t>Loss on disposal of fixed assets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427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221</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540" w:right="0" w:hanging="180"/>
              <w:jc w:val="left"/>
              <w:rPr>
                <w:color w:val="000000"/>
              </w:rPr>
            </w:pPr>
            <w:r>
              <w:rPr>
                <w:color w:val="000000"/>
              </w:rPr>
              <w:t xml:space="preserve">  </w:t>
            </w:r>
            <w:r>
              <w:rPr>
                <w:rFonts w:ascii="Times New Roman" w:hAnsi="Times New Roman"/>
                <w:color w:val="000000"/>
                <w:sz w:val="20"/>
              </w:rPr>
              <w:t>Interest paid in kind</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3,836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2,998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450" w:right="0" w:hanging="0"/>
              <w:jc w:val="left"/>
              <w:rPr/>
            </w:pPr>
            <w:r>
              <w:rPr/>
              <w:t>Stock-based compensation</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6,187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5,215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3,488</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450" w:right="0" w:hanging="0"/>
              <w:jc w:val="left"/>
              <w:rPr/>
            </w:pPr>
            <w:r>
              <w:rPr/>
              <w:t>Amortization of debt discount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2,594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2,402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1,897</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450" w:right="0" w:hanging="0"/>
              <w:jc w:val="left"/>
              <w:rPr/>
            </w:pPr>
            <w:r>
              <w:rPr/>
              <w:t>Loss on extinguishment of debt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26,174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6,670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450" w:right="0" w:hanging="0"/>
              <w:jc w:val="left"/>
              <w:rPr/>
            </w:pPr>
            <w:r>
              <w:rPr/>
              <w:t>Amortization of license revenue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(143</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(143</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(143</w:t>
            </w:r>
          </w:p>
        </w:tc>
        <w:tc>
          <w:tcPr>
            <w:tcW w:w="155" w:type="dxa"/>
            <w:tcBorders/>
            <w:shd w:fill="CCEEFF" w:val="clear"/>
            <w:vAlign w:val="bottom"/>
          </w:tcPr>
          <w:p>
            <w:pPr>
              <w:pStyle w:val="TableContents"/>
              <w:bidi w:val="0"/>
              <w:spacing w:before="0" w:after="283"/>
              <w:jc w:val="left"/>
              <w:rPr/>
            </w:pPr>
            <w:r>
              <w:rPr/>
              <w:t>)</w:t>
            </w:r>
          </w:p>
        </w:tc>
      </w:tr>
      <w:tr>
        <w:trPr/>
        <w:tc>
          <w:tcPr>
            <w:tcW w:w="6305" w:type="dxa"/>
            <w:tcBorders/>
            <w:vAlign w:val="bottom"/>
          </w:tcPr>
          <w:p>
            <w:pPr>
              <w:pStyle w:val="TableContents"/>
              <w:bidi w:val="0"/>
              <w:spacing w:before="0" w:after="0"/>
              <w:ind w:left="225" w:right="0" w:hanging="0"/>
              <w:jc w:val="left"/>
              <w:rPr/>
            </w:pPr>
            <w:r>
              <w:rPr/>
              <w:t>Changes in operating assets and liabilities: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450" w:right="0" w:hanging="0"/>
              <w:jc w:val="left"/>
              <w:rPr/>
            </w:pPr>
            <w:r>
              <w:rPr/>
              <w:t>Accounts receivable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(11,916</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13,072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(15,340</w:t>
            </w:r>
          </w:p>
        </w:tc>
        <w:tc>
          <w:tcPr>
            <w:tcW w:w="155" w:type="dxa"/>
            <w:tcBorders/>
            <w:shd w:fill="CCEEFF" w:val="clear"/>
            <w:vAlign w:val="bottom"/>
          </w:tcPr>
          <w:p>
            <w:pPr>
              <w:pStyle w:val="TableContents"/>
              <w:bidi w:val="0"/>
              <w:spacing w:before="0" w:after="283"/>
              <w:jc w:val="left"/>
              <w:rPr/>
            </w:pPr>
            <w:r>
              <w:rPr/>
              <w:t>)</w:t>
            </w:r>
          </w:p>
        </w:tc>
      </w:tr>
      <w:tr>
        <w:trPr/>
        <w:tc>
          <w:tcPr>
            <w:tcW w:w="6305" w:type="dxa"/>
            <w:tcBorders/>
            <w:vAlign w:val="bottom"/>
          </w:tcPr>
          <w:p>
            <w:pPr>
              <w:pStyle w:val="TableContents"/>
              <w:bidi w:val="0"/>
              <w:spacing w:before="0" w:after="0"/>
              <w:ind w:left="450" w:right="0" w:hanging="0"/>
              <w:jc w:val="left"/>
              <w:rPr/>
            </w:pPr>
            <w:r>
              <w:rPr/>
              <w:t>Inventories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(9,626</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(38,556</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(43,188</w:t>
            </w:r>
          </w:p>
        </w:tc>
        <w:tc>
          <w:tcPr>
            <w:tcW w:w="155" w:type="dxa"/>
            <w:tcBorders/>
            <w:vAlign w:val="bottom"/>
          </w:tcPr>
          <w:p>
            <w:pPr>
              <w:pStyle w:val="TableContents"/>
              <w:bidi w:val="0"/>
              <w:spacing w:before="0" w:after="283"/>
              <w:jc w:val="left"/>
              <w:rPr/>
            </w:pPr>
            <w:r>
              <w:rPr/>
              <w:t>)</w:t>
            </w:r>
          </w:p>
        </w:tc>
      </w:tr>
      <w:tr>
        <w:trPr/>
        <w:tc>
          <w:tcPr>
            <w:tcW w:w="6305" w:type="dxa"/>
            <w:tcBorders/>
            <w:shd w:fill="CCEEFF" w:val="clear"/>
            <w:vAlign w:val="bottom"/>
          </w:tcPr>
          <w:p>
            <w:pPr>
              <w:pStyle w:val="TableContents"/>
              <w:bidi w:val="0"/>
              <w:spacing w:before="0" w:after="0"/>
              <w:ind w:left="450" w:right="0" w:hanging="0"/>
              <w:jc w:val="left"/>
              <w:rPr/>
            </w:pPr>
            <w:r>
              <w:rPr/>
              <w:t>Prepaid expenses and other current assets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(239</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(756</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(1,293</w:t>
            </w:r>
          </w:p>
        </w:tc>
        <w:tc>
          <w:tcPr>
            <w:tcW w:w="155" w:type="dxa"/>
            <w:tcBorders/>
            <w:shd w:fill="CCEEFF" w:val="clear"/>
            <w:vAlign w:val="bottom"/>
          </w:tcPr>
          <w:p>
            <w:pPr>
              <w:pStyle w:val="TableContents"/>
              <w:bidi w:val="0"/>
              <w:spacing w:before="0" w:after="283"/>
              <w:jc w:val="left"/>
              <w:rPr/>
            </w:pPr>
            <w:r>
              <w:rPr/>
              <w:t>)</w:t>
            </w:r>
          </w:p>
        </w:tc>
      </w:tr>
      <w:tr>
        <w:trPr/>
        <w:tc>
          <w:tcPr>
            <w:tcW w:w="6305" w:type="dxa"/>
            <w:tcBorders/>
            <w:vAlign w:val="bottom"/>
          </w:tcPr>
          <w:p>
            <w:pPr>
              <w:pStyle w:val="TableContents"/>
              <w:bidi w:val="0"/>
              <w:spacing w:before="0" w:after="0"/>
              <w:ind w:left="450" w:right="0" w:hanging="0"/>
              <w:jc w:val="left"/>
              <w:rPr/>
            </w:pPr>
            <w:r>
              <w:rPr/>
              <w:t>Deposits and other assets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1,080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(1,775</w:t>
            </w:r>
          </w:p>
        </w:tc>
        <w:tc>
          <w:tcPr>
            <w:tcW w:w="155" w:type="dxa"/>
            <w:tcBorders/>
            <w:vAlign w:val="bottom"/>
          </w:tcPr>
          <w:p>
            <w:pPr>
              <w:pStyle w:val="TableContents"/>
              <w:bidi w:val="0"/>
              <w:spacing w:before="0" w:after="283"/>
              <w:jc w:val="left"/>
              <w:rPr/>
            </w:pPr>
            <w:r>
              <w:rPr/>
              <w:t>)</w:t>
            </w:r>
          </w:p>
        </w:tc>
      </w:tr>
      <w:tr>
        <w:trPr/>
        <w:tc>
          <w:tcPr>
            <w:tcW w:w="6305" w:type="dxa"/>
            <w:tcBorders/>
            <w:shd w:fill="CCEEFF" w:val="clear"/>
            <w:vAlign w:val="bottom"/>
          </w:tcPr>
          <w:p>
            <w:pPr>
              <w:pStyle w:val="TableContents"/>
              <w:bidi w:val="0"/>
              <w:spacing w:before="0" w:after="0"/>
              <w:ind w:left="450" w:right="0" w:hanging="0"/>
              <w:jc w:val="left"/>
              <w:rPr/>
            </w:pPr>
            <w:r>
              <w:rPr/>
              <w:t>Accounts payable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3,839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800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1,356</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450" w:right="0" w:hanging="0"/>
              <w:jc w:val="left"/>
              <w:rPr/>
            </w:pPr>
            <w:r>
              <w:rPr/>
              <w:t>Accrued expenses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7,530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7,534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8,341</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450" w:right="0" w:hanging="0"/>
              <w:jc w:val="left"/>
              <w:rPr/>
            </w:pPr>
            <w:r>
              <w:rPr/>
              <w:t>Other current and non-current liabilities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(791</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(502</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219</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450" w:right="0" w:hanging="0"/>
              <w:jc w:val="left"/>
              <w:rPr/>
            </w:pPr>
            <w:r>
              <w:rPr/>
              <w:t>Net cash provided by (used in) operating activities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8,800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(59,508</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(112,369</w:t>
            </w:r>
          </w:p>
        </w:tc>
        <w:tc>
          <w:tcPr>
            <w:tcW w:w="155" w:type="dxa"/>
            <w:tcBorders/>
            <w:vAlign w:val="bottom"/>
          </w:tcPr>
          <w:p>
            <w:pPr>
              <w:pStyle w:val="TableContents"/>
              <w:bidi w:val="0"/>
              <w:spacing w:before="0" w:after="283"/>
              <w:jc w:val="left"/>
              <w:rPr/>
            </w:pPr>
            <w:r>
              <w:rPr/>
              <w:t>)</w:t>
            </w:r>
          </w:p>
        </w:tc>
      </w:tr>
      <w:tr>
        <w:trPr/>
        <w:tc>
          <w:tcPr>
            <w:tcW w:w="630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0" w:right="0" w:hanging="0"/>
              <w:jc w:val="left"/>
              <w:rPr/>
            </w:pPr>
            <w:r>
              <w:rPr>
                <w:rStyle w:val="StrongEmphasis"/>
              </w:rPr>
              <w:t>CASH FLOWS FROM INVESTING ACTIVITIES: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60" w:right="0" w:hanging="0"/>
              <w:jc w:val="left"/>
              <w:rPr/>
            </w:pPr>
            <w:r>
              <w:rPr/>
              <w:t>Purchase of property and equipment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(4,771</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(13,911</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(13,511</w:t>
            </w:r>
          </w:p>
        </w:tc>
        <w:tc>
          <w:tcPr>
            <w:tcW w:w="155" w:type="dxa"/>
            <w:tcBorders/>
            <w:shd w:fill="CCEEFF" w:val="clear"/>
            <w:vAlign w:val="bottom"/>
          </w:tcPr>
          <w:p>
            <w:pPr>
              <w:pStyle w:val="TableContents"/>
              <w:bidi w:val="0"/>
              <w:spacing w:before="0" w:after="283"/>
              <w:jc w:val="left"/>
              <w:rPr/>
            </w:pPr>
            <w:r>
              <w:rPr/>
              <w:t>)</w:t>
            </w:r>
          </w:p>
        </w:tc>
      </w:tr>
      <w:tr>
        <w:trPr/>
        <w:tc>
          <w:tcPr>
            <w:tcW w:w="6305" w:type="dxa"/>
            <w:tcBorders/>
            <w:vAlign w:val="bottom"/>
          </w:tcPr>
          <w:p>
            <w:pPr>
              <w:pStyle w:val="TableContents"/>
              <w:bidi w:val="0"/>
              <w:spacing w:before="0" w:after="0"/>
              <w:ind w:left="360" w:right="0" w:hanging="0"/>
              <w:jc w:val="left"/>
              <w:rPr/>
            </w:pPr>
            <w:r>
              <w:rPr/>
              <w:t xml:space="preserve">Acquisition of intangible assets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(210</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60" w:right="0" w:hanging="0"/>
              <w:jc w:val="left"/>
              <w:rPr/>
            </w:pPr>
            <w:r>
              <w:rPr/>
              <w:t>Net cash used in investing activities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(4,981</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(13,911</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(13,511</w:t>
            </w:r>
          </w:p>
        </w:tc>
        <w:tc>
          <w:tcPr>
            <w:tcW w:w="155" w:type="dxa"/>
            <w:tcBorders/>
            <w:shd w:fill="CCEEFF" w:val="clear"/>
            <w:vAlign w:val="bottom"/>
          </w:tcPr>
          <w:p>
            <w:pPr>
              <w:pStyle w:val="TableContents"/>
              <w:bidi w:val="0"/>
              <w:spacing w:before="0" w:after="283"/>
              <w:jc w:val="left"/>
              <w:rPr/>
            </w:pPr>
            <w:r>
              <w:rPr/>
              <w:t>)</w:t>
            </w:r>
          </w:p>
        </w:tc>
      </w:tr>
      <w:tr>
        <w:trPr/>
        <w:tc>
          <w:tcPr>
            <w:tcW w:w="630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0" w:right="0" w:hanging="0"/>
              <w:jc w:val="left"/>
              <w:rPr/>
            </w:pPr>
            <w:r>
              <w:rPr>
                <w:rStyle w:val="StrongEmphasis"/>
              </w:rPr>
              <w:t>CASH FLOWS FROM FINANCING ACTIVITIES: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360" w:right="0" w:hanging="0"/>
              <w:jc w:val="left"/>
              <w:rPr/>
            </w:pPr>
            <w:r>
              <w:rPr/>
              <w:t>Principal payments on notes payable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(158,584</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(100,000</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60" w:right="0" w:hanging="0"/>
              <w:jc w:val="left"/>
              <w:rPr/>
            </w:pPr>
            <w:r>
              <w:rPr/>
              <w:t>Proceeds from issuance of common stock, net of offering expenses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64,645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121,144</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360" w:right="0" w:hanging="0"/>
              <w:jc w:val="left"/>
              <w:rPr/>
            </w:pPr>
            <w:r>
              <w:rPr/>
              <w:t>Payment of debt refinancing fees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(11,140</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(2,000</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60" w:right="0" w:hanging="0"/>
              <w:jc w:val="left"/>
              <w:rPr/>
            </w:pPr>
            <w:r>
              <w:rPr/>
              <w:t>Proceeds from issuance of note payable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135,000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151,750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360" w:right="0" w:hanging="0"/>
              <w:jc w:val="left"/>
              <w:rPr/>
            </w:pPr>
            <w:r>
              <w:rPr/>
              <w:t>Taxes paid on vested Restricted Stock Units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(1,415</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(2,899</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w:t>
            </w:r>
          </w:p>
        </w:tc>
      </w:tr>
      <w:tr>
        <w:trPr/>
        <w:tc>
          <w:tcPr>
            <w:tcW w:w="6305" w:type="dxa"/>
            <w:tcBorders/>
            <w:shd w:fill="CCEEFF" w:val="clear"/>
            <w:vAlign w:val="bottom"/>
          </w:tcPr>
          <w:p>
            <w:pPr>
              <w:pStyle w:val="TableContents"/>
              <w:bidi w:val="0"/>
              <w:spacing w:before="0" w:after="0"/>
              <w:ind w:left="360" w:right="0" w:hanging="0"/>
              <w:jc w:val="left"/>
              <w:rPr/>
            </w:pPr>
            <w:r>
              <w:rPr/>
              <w:t>Payments on finance lease obligations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(36</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w:t>
            </w:r>
          </w:p>
        </w:tc>
      </w:tr>
      <w:tr>
        <w:trPr/>
        <w:tc>
          <w:tcPr>
            <w:tcW w:w="630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Net proceeds from the exercise of stock options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1,104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60" w:right="0" w:hanging="0"/>
              <w:jc w:val="left"/>
              <w:rPr/>
            </w:pPr>
            <w:r>
              <w:rPr/>
              <w:t>Payment of end of term fee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(1,586</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Payment of deferred financing fees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(2,351</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(2,783</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360" w:right="0" w:hanging="0"/>
              <w:jc w:val="left"/>
              <w:rPr/>
            </w:pPr>
            <w:r>
              <w:rPr/>
              <w:t>Net cash (used in) provided by financing activities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(38,989</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108,852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121,048</w:t>
            </w:r>
          </w:p>
        </w:tc>
        <w:tc>
          <w:tcPr>
            <w:tcW w:w="15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Net (decrease) increase in cash and cash equivalents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(35,170</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35,433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(4,832</w:t>
            </w:r>
          </w:p>
        </w:tc>
        <w:tc>
          <w:tcPr>
            <w:tcW w:w="155" w:type="dxa"/>
            <w:tcBorders/>
            <w:shd w:fill="CCEEFF" w:val="clear"/>
            <w:vAlign w:val="bottom"/>
          </w:tcPr>
          <w:p>
            <w:pPr>
              <w:pStyle w:val="TableContents"/>
              <w:bidi w:val="0"/>
              <w:spacing w:before="0" w:after="283"/>
              <w:jc w:val="left"/>
              <w:rPr/>
            </w:pPr>
            <w:r>
              <w:rPr/>
              <w:t>)</w:t>
            </w:r>
          </w:p>
        </w:tc>
      </w:tr>
      <w:tr>
        <w:trPr/>
        <w:tc>
          <w:tcPr>
            <w:tcW w:w="6305" w:type="dxa"/>
            <w:tcBorders/>
            <w:vAlign w:val="bottom"/>
          </w:tcPr>
          <w:p>
            <w:pPr>
              <w:pStyle w:val="TableContents"/>
              <w:bidi w:val="0"/>
              <w:spacing w:before="0" w:after="0"/>
              <w:ind w:left="0" w:right="0" w:hanging="0"/>
              <w:jc w:val="left"/>
              <w:rPr/>
            </w:pPr>
            <w:r>
              <w:rPr>
                <w:rStyle w:val="StrongEmphasis"/>
              </w:rPr>
              <w:t>Cash and cash equivalents - beginning of year</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86,522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51,089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55,921</w:t>
            </w:r>
          </w:p>
        </w:tc>
        <w:tc>
          <w:tcPr>
            <w:tcW w:w="15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0" w:right="0" w:hanging="0"/>
              <w:jc w:val="left"/>
              <w:rPr/>
            </w:pPr>
            <w:r>
              <w:rPr>
                <w:rStyle w:val="StrongEmphasis"/>
              </w:rPr>
              <w:t>Cash and cash equivalents - end of year</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05" w:type="dxa"/>
            <w:tcBorders>
              <w:bottom w:val="double" w:sz="8" w:space="0" w:color="000000"/>
            </w:tcBorders>
            <w:shd w:fill="CCEEFF" w:val="clear"/>
            <w:tcMar>
              <w:bottom w:w="28" w:type="dxa"/>
            </w:tcMar>
            <w:vAlign w:val="bottom"/>
          </w:tcPr>
          <w:p>
            <w:pPr>
              <w:pStyle w:val="TableContents"/>
              <w:bidi w:val="0"/>
              <w:spacing w:before="0" w:after="283"/>
              <w:jc w:val="right"/>
              <w:rPr/>
            </w:pPr>
            <w:r>
              <w:rPr/>
              <w:t>51,352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05" w:type="dxa"/>
            <w:tcBorders>
              <w:bottom w:val="double" w:sz="8" w:space="0" w:color="000000"/>
            </w:tcBorders>
            <w:shd w:fill="CCEEFF" w:val="clear"/>
            <w:tcMar>
              <w:bottom w:w="28" w:type="dxa"/>
            </w:tcMar>
            <w:vAlign w:val="bottom"/>
          </w:tcPr>
          <w:p>
            <w:pPr>
              <w:pStyle w:val="TableContents"/>
              <w:bidi w:val="0"/>
              <w:spacing w:before="0" w:after="283"/>
              <w:jc w:val="right"/>
              <w:rPr/>
            </w:pPr>
            <w:r>
              <w:rPr/>
              <w:t>86,522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05" w:type="dxa"/>
            <w:tcBorders>
              <w:bottom w:val="double" w:sz="8" w:space="0" w:color="000000"/>
            </w:tcBorders>
            <w:shd w:fill="CCEEFF" w:val="clear"/>
            <w:tcMar>
              <w:bottom w:w="28" w:type="dxa"/>
            </w:tcMar>
            <w:vAlign w:val="bottom"/>
          </w:tcPr>
          <w:p>
            <w:pPr>
              <w:pStyle w:val="TableContents"/>
              <w:bidi w:val="0"/>
              <w:spacing w:before="0" w:after="283"/>
              <w:jc w:val="right"/>
              <w:rPr/>
            </w:pPr>
            <w:r>
              <w:rPr/>
              <w:t>51,089</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accompanying notes are an integral part of these consolidated financial statements.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F-8</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ADMA BIOLOGICS, INC. AND SUBSIDIARIES</w:t>
      </w:r>
    </w:p>
    <w:p>
      <w:pPr>
        <w:pStyle w:val="TextBody"/>
        <w:bidi w:val="0"/>
        <w:spacing w:before="0" w:after="0"/>
        <w:jc w:val="center"/>
        <w:rPr>
          <w:rFonts w:ascii="Times New Roman" w:hAnsi="Times New Roman"/>
          <w:b/>
          <w:color w:val="000000"/>
          <w:sz w:val="20"/>
          <w:shd w:fill="FFFFFF" w:val="clear"/>
        </w:rPr>
      </w:pPr>
      <w:bookmarkStart w:id="53" w:name="NOTESTO"/>
      <w:bookmarkEnd w:id="53"/>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tbl>
      <w:tblPr>
        <w:tblW w:w="3190" w:type="dxa"/>
        <w:jc w:val="left"/>
        <w:tblInd w:w="0" w:type="dxa"/>
        <w:tblLayout w:type="fixed"/>
        <w:tblCellMar>
          <w:top w:w="0" w:type="dxa"/>
          <w:left w:w="0" w:type="dxa"/>
          <w:bottom w:w="0" w:type="dxa"/>
          <w:right w:w="0" w:type="dxa"/>
        </w:tblCellMar>
      </w:tblPr>
      <w:tblGrid>
        <w:gridCol w:w="185"/>
        <w:gridCol w:w="3005"/>
      </w:tblGrid>
      <w:tr>
        <w:trPr/>
        <w:tc>
          <w:tcPr>
            <w:tcW w:w="185" w:type="dxa"/>
            <w:tcBorders/>
            <w:vAlign w:val="center"/>
          </w:tcPr>
          <w:p>
            <w:pPr>
              <w:pStyle w:val="TableContents"/>
              <w:bidi w:val="0"/>
              <w:spacing w:before="0" w:after="0"/>
              <w:ind w:left="0" w:right="0" w:hanging="0"/>
              <w:jc w:val="left"/>
              <w:rPr/>
            </w:pPr>
            <w:r>
              <w:rPr>
                <w:rStyle w:val="StrongEmphasis"/>
                <w:rFonts w:ascii="Times New Roman" w:hAnsi="Times New Roman"/>
                <w:sz w:val="20"/>
              </w:rPr>
              <w:t>1.</w:t>
            </w:r>
          </w:p>
        </w:tc>
        <w:tc>
          <w:tcPr>
            <w:tcW w:w="3005"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ORGANIZATION AND BUSINESS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ADMA Biologics, Inc. (“ADMA” or the “Company”) is an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ADMA operates through its wholly-owned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 (the “Boca Facility”). ADMA BioCenters is the Company’s source plasma collection business with ten plasma collection facilities located throughout the U.S., all of which hold an approved license with the FDA.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has three FDA-approved products, all of which are currently marketed and commercially available: (i) </w:t>
      </w:r>
      <w:r>
        <w:rPr>
          <w:rFonts w:ascii="Times New Roman" w:hAnsi="Times New Roman"/>
          <w:b w:val="false"/>
          <w:i w:val="false"/>
          <w:caps w:val="false"/>
          <w:smallCaps w:val="false"/>
          <w:color w:val="000000"/>
          <w:spacing w:val="0"/>
          <w:sz w:val="20"/>
          <w:shd w:fill="FFFFFF" w:val="clear"/>
        </w:rPr>
        <w:t>ASCENIV (Immune Globulin Intravenous, Human – slra 10% Liquid), an intravenous immune globulin (“IVIG”) product indicated for the treatment of Primary Humoral Immunodeficiency (“PI”), also known as Primary Immunodeficiency Disease (“PIDD”) or Inborn Errors of Immunity, for which the Company received FDA approval on April 1, 2019 and commenced first commercial sales in October 2019; (ii) BIVIGAM (Immune Globulin Intravenous, Human), an IVIG product indicated for the treatment of PI, and for which the Company received FDA approval on May 9, 2019 and commenced commercial sales in August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generates revenues from the sale of intermediate by-products that result from the immunoglobulin production process and from time to time provides contract manufacturing and laboratory services for certain clients. The Company seeks to develop a pipeline of plasma-derived therapeutics, and its products and product candidates are intended to be used by physician specialists focused on caring for immune-compromised patients with or at risk for certain infectious diseases</w:t>
      </w:r>
      <w:r>
        <w:rPr>
          <w:rFonts w:ascii="Times New Roman" w:hAnsi="Times New Roman"/>
          <w:b w:val="false"/>
          <w:i w:val="false"/>
          <w:caps w:val="false"/>
          <w:smallCaps w:val="false"/>
          <w:color w:val="000000"/>
          <w:sz w:val="20"/>
          <w:shd w:fill="FFFFFF" w:val="clear"/>
        </w:rPr>
        <w:t>.</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As of December 31, 2023, the Company had working capital of $207.2 million, including $51.4 million of cash and cash equivalents, </w:t>
      </w:r>
      <w:r>
        <w:rPr>
          <w:rFonts w:ascii="Times New Roman" w:hAnsi="Times New Roman"/>
          <w:b w:val="false"/>
          <w:i w:val="false"/>
          <w:caps w:val="false"/>
          <w:smallCaps w:val="false"/>
          <w:color w:val="000000"/>
          <w:spacing w:val="0"/>
          <w:sz w:val="20"/>
          <w:shd w:fill="FFFFFF" w:val="clear"/>
        </w:rPr>
        <w:t>accounts receivable of $27.4 million and $172.9 million of inventories, partially offset by $49.8 million of current liabilities. Based upon the Company’s current projected revenue and expenditures, including capital expenditures and continued implementation of the Company’s commercialization and expansion activities, the Company’s management currently believes that its cash, cash equivalents and accounts receivable, along with its projected future operating cash flow, will be sufficient to fund ADMA’s operations, as currently conducted, through the end of the first quarter of 2025. However, the Company’s current outlook on cash flows and profitability may change based upon several factors, including the success of the Company’s commercial sales of its products, whether or not the assumptions underlying the Company’s projected revenues and expenses are correct and the continued acceptability of ADMA’s immune globulin products by physicians, patients or payers.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w:t>
      </w:r>
      <w:r>
        <w:rPr>
          <w:rFonts w:ascii="Times New Roman" w:hAnsi="Times New Roman"/>
          <w:b w:val="false"/>
          <w:i w:val="false"/>
          <w:caps w:val="false"/>
          <w:smallCaps w:val="false"/>
          <w:color w:val="000000"/>
          <w:sz w:val="20"/>
          <w:shd w:fill="FFFFFF" w:val="clear"/>
        </w:rPr>
        <w:t>.</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3835" w:type="dxa"/>
        <w:jc w:val="left"/>
        <w:tblInd w:w="0" w:type="dxa"/>
        <w:tblLayout w:type="fixed"/>
        <w:tblCellMar>
          <w:top w:w="0" w:type="dxa"/>
          <w:left w:w="0" w:type="dxa"/>
          <w:bottom w:w="0" w:type="dxa"/>
          <w:right w:w="0" w:type="dxa"/>
        </w:tblCellMar>
      </w:tblPr>
      <w:tblGrid>
        <w:gridCol w:w="185"/>
        <w:gridCol w:w="3650"/>
      </w:tblGrid>
      <w:tr>
        <w:trPr/>
        <w:tc>
          <w:tcPr>
            <w:tcW w:w="185" w:type="dxa"/>
            <w:tcBorders/>
            <w:vAlign w:val="center"/>
          </w:tcPr>
          <w:p>
            <w:pPr>
              <w:pStyle w:val="TableContents"/>
              <w:bidi w:val="0"/>
              <w:spacing w:before="0" w:after="0"/>
              <w:ind w:left="0" w:right="0" w:hanging="0"/>
              <w:jc w:val="left"/>
              <w:rPr/>
            </w:pPr>
            <w:r>
              <w:rPr>
                <w:rStyle w:val="StrongEmphasis"/>
                <w:rFonts w:ascii="Times New Roman" w:hAnsi="Times New Roman"/>
                <w:sz w:val="20"/>
              </w:rPr>
              <w:t>2.</w:t>
            </w:r>
          </w:p>
        </w:tc>
        <w:tc>
          <w:tcPr>
            <w:tcW w:w="3650"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SIGNIFICANT ACCOUNTING POLICIES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Principles of consolidation and basis of presentation</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accompanying consolidated financial statements include the accounts of ADMA and its wholly-owned subsidiaries, and have been prepared in conformity with accounting principles generally accepted in the United States of America (“U.S. GAAP”) and in accordance with Article 3 of Regulation S-X of the Securities and Exchange Commission (the “SEC”). All intercompany balances have been eliminated in consolidation. Any reference in these notes to applicable guidance is meant to refer to U.S. GAAP as found in the Accounting Standards Codification (“ASC”) and Accounting Standards Updates (“ASU”) of the Financial Accounting Standards Board (the “FASB”). During the years ended December 31, 2023, 2022 and 2021, comprehensive loss was equal to the net loss amounts presented for the respective periods in the accompanying consolidated statements of operations.</w:t>
      </w:r>
    </w:p>
    <w:p>
      <w:pPr>
        <w:pStyle w:val="TextBody"/>
        <w:bidi w:val="0"/>
        <w:spacing w:before="0" w:after="0"/>
        <w:ind w:left="0" w:right="0" w:hanging="0"/>
        <w:jc w:val="left"/>
        <w:rPr/>
      </w:pPr>
      <w:r>
        <w:rPr/>
      </w:r>
    </w:p>
    <w:p>
      <w:pPr>
        <w:pStyle w:val="TextBody"/>
        <w:bidi w:val="0"/>
        <w:spacing w:before="0" w:after="0"/>
        <w:ind w:left="180" w:right="0" w:hanging="18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Use of estimates</w:t>
      </w:r>
    </w:p>
    <w:p>
      <w:pPr>
        <w:pStyle w:val="TextBody"/>
        <w:bidi w:val="0"/>
        <w:spacing w:before="0" w:after="0"/>
        <w:ind w:left="180" w:right="0" w:hanging="180"/>
        <w:jc w:val="left"/>
        <w:rPr/>
      </w:pPr>
      <w:r>
        <w:rPr/>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Cash and cash equivalents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considers all highly liquid instruments purchased with a maturity of three months or less to be cash equivalents.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regularly maintains cash and cash equivalents at third-party financial institutions in excess of the Federal Deposit Insurance Corporation insurance limit. Although the Company monitors the daily cash balances in its operating accounts and adjusts the balances as appropriate, these balances could be impacted, and there could be a material adverse effect on the Company’s business, if one or more of the financial institutions with which the Company has deposits fails or is subject to other adverse conditions in the financial or credit markets. To date, the Company has not experienced a loss or lack of access to its deposited cash or cash equivalents; however, the Company cannot provide assurance that access to its cash and cash equivalents will not be impacted by adverse conditions in the financial and credit markets in the future.</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Accounts receivable</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Accounts receivable is reported at realizable value, net of allowances for contractual credits and doubtful accounts in the amount of $0.1 million at December 31, 2023 and 2022, which are recognized in the period the related revenue is recorded. </w:t>
      </w:r>
      <w:r>
        <w:rPr>
          <w:rFonts w:ascii="Times New Roman" w:hAnsi="Times New Roman"/>
          <w:b w:val="false"/>
          <w:i w:val="false"/>
          <w:caps w:val="false"/>
          <w:smallCaps w:val="false"/>
          <w:color w:val="212529"/>
          <w:sz w:val="20"/>
          <w:shd w:fill="FFFFFF" w:val="clear"/>
        </w:rPr>
        <w:t>The Company extends credit to its customers based upon an evaluation of each customer’s financial condition and credit history. Evaluations of the financial condition and associated credit risk of customers are performed on an ongoing basis.</w:t>
      </w:r>
      <w:r>
        <w:rPr>
          <w:rFonts w:ascii="Times New Roman" w:hAnsi="Times New Roman"/>
          <w:b w:val="false"/>
          <w:i w:val="false"/>
          <w:caps w:val="false"/>
          <w:smallCaps w:val="false"/>
          <w:color w:val="000000"/>
          <w:sz w:val="20"/>
          <w:shd w:fill="FFFFFF" w:val="clear"/>
        </w:rPr>
        <w:t xml:space="preserve"> Based on these evaluations, the Company has concluded that its credit risk is minimal (see Note 16).</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Inventories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widowControl/>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Raw materials inventory consists of </w:t>
      </w:r>
      <w:r>
        <w:rPr>
          <w:rFonts w:ascii="Times New Roman" w:hAnsi="Times New Roman"/>
          <w:b w:val="false"/>
          <w:i w:val="false"/>
          <w:caps w:val="false"/>
          <w:smallCaps w:val="false"/>
          <w:color w:val="000000"/>
          <w:spacing w:val="0"/>
          <w:sz w:val="20"/>
          <w:shd w:fill="FFFFFF" w:val="clear"/>
        </w:rPr>
        <w:t>normal source plasma (“NSP”) and Respiratory Syncytial Virus (“RSV”) high titer plasma collected at the Company’s plasma collection facilities, along with</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z w:val="20"/>
          <w:shd w:fill="FFFFFF" w:val="clear"/>
        </w:rPr>
        <w:t xml:space="preserve">various materials purchased from suppliers,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F-9</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pPr>
      <w:r>
        <w:rPr/>
      </w:r>
    </w:p>
    <w:p>
      <w:pPr>
        <w:pStyle w:val="TextBody"/>
        <w:bidi w:val="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For both the Company’s immune globulin products and plasma intended for resale and internal use,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engineering lots that would not qualify as immediately available for commercial sale are charged to cost of product revenue and not capitalized into inventory.</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u w:val="single"/>
          <w:shd w:fill="FFFFFF" w:val="clear"/>
        </w:rPr>
        <w:t>Property and equipment</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Assets comprising property and equipment (see Note 4) are stated at cost less accumulated depreciation. Depreciation is calculated using the straight-line method over the asset’s estimated useful life. Land is not depreciated. The buildings have been assigned a useful life of 30 years. Property and equipment other than land and buildings have useful lives ranging from 3 to 15 years. Leasehold improvements are amortized over the lesser of the lease term or their estimated useful lives.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Goodwill</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Goodwill represents the excess of purchase price over the fair value of net assets acquired by the Company. Goodwill at December 31, 2023 and 2022 was $3.5 million, all of which is attributable to the Company’s ADMA BioManufacturing business segment. There were no changes to the carrying amount of goodwill during the years ended December 31, 2023, 2022 and 2021.</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tests as of October 1, 2023, 2022 and 2021 did not result in any impairment charges related to goodwill for the years ended December 31, 2023, 2022 and 2021.</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Impairment of long-lived assets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2023, 2022 and 2021, the Company determined that there was no impairment of its long-lived assets.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Revenue recognition</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Revenues for the years ended December 31, 2023, 2022 and 2021 are comprised of (i) revenues from the sale of the Company’s immunoglobulin products, ASCENIV, BIVIGAM and Nabi-HB, (ii) product revenues from the sale of human plasma collected by the Company’s Plasma Collection Centers business segment, (iii) contract manufacturing and laboratory services revenue, (iv) revenues from the sale of intermediate by-products and (v) license and other revenues primarily attributable to the out-licensing of ASCENIV to Biotest, AG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 </w:t>
      </w:r>
    </w:p>
    <w:p>
      <w:pPr>
        <w:pStyle w:val="TextBody"/>
        <w:bidi w:val="0"/>
        <w:spacing w:before="0" w:after="0"/>
        <w:ind w:left="0" w:right="0" w:firstLine="675"/>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F-10</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t>
      </w:r>
      <w:r>
        <w:rPr>
          <w:rFonts w:ascii="Times New Roman" w:hAnsi="Times New Roman"/>
          <w:b w:val="false"/>
          <w:i w:val="false"/>
          <w:caps w:val="false"/>
          <w:smallCaps w:val="false"/>
          <w:color w:val="000000"/>
          <w:spacing w:val="0"/>
          <w:sz w:val="20"/>
          <w:shd w:fill="FFFFFF" w:val="clear"/>
        </w:rPr>
        <w:t>wholesaler distribution and related fees, customer incentives, including prompt pay discounts, wholesaler chargebacks, group purchasing organization fees and reimbursements for patient assistance. These estimates are based on contractual arrangements, historical experience and certain other assumptions, and while the Company believes that such estimates are reasonable, they are subject to change based on future developments and other factors.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r>
        <w:rPr>
          <w:rFonts w:ascii="Times New Roman" w:hAnsi="Times New Roman"/>
          <w:b w:val="false"/>
          <w:i w:val="false"/>
          <w:caps w:val="false"/>
          <w:smallCaps w:val="false"/>
          <w:color w:val="000000"/>
          <w:sz w:val="20"/>
          <w:shd w:fill="FFFFFF" w:val="clear"/>
        </w:rPr>
        <w:t>.</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Cost of product revenue</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Cost of product revenue includes costs associated with the manufacture of the Company’s FDA approved products and intermediates and for the collection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Research and development expenses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Research and development expenses consist of clinical research organization costs, costs related to clinical trials, post-marketing commitment studies for BIVIGAM and ASCENIV and salaries, benefits and stock-based compensation for employees directly related to research and development activities. All research and development costs are expensed as incurred.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Plasma center operating expenses</w:t>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Plasma center operating expenses consist of certain general and administrative plasma center costs, initial opening, marketing and start-up costs, rent expense, maintenance, utilities and compensation and benefits for administrative staff.</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Advertising and marketing expenses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Advertising and marketing expense includes cost for promotional materials and trade show expenses for the marketing of the Company’s products and expenses incurred for attracting donors to the Company’s plasma collection centers. All advertising and marketing expenses are expensed as incurred.  Advertising and marketing expenses were $3.3 million, $2.2 million and $1.4 million for the years ended December 31, 2023, 2022 and 2021, respectively.</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Stock-based compensation</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follows recognized accounting guidance which requires all equity-based payments, including grants of stock options and restricted stock unit awards (“RSUs”),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to employees under the Company’s equity incentive plans generally have a four-year vesting period and a term of 10 years. RSUs granted to employees also have a four-year vesting period. For milestone-based equity awards (see Note 8) the Company periodically assesses the probability of vesting for each milestone-based award and adjusts compensation expense based on its probability assessment. Pursuant to ASU No. 2016-09, </w:t>
      </w:r>
      <w:r>
        <w:rPr>
          <w:rFonts w:ascii="Times New Roman" w:hAnsi="Times New Roman"/>
          <w:b w:val="false"/>
          <w:i/>
          <w:caps w:val="false"/>
          <w:smallCaps w:val="false"/>
          <w:color w:val="000000"/>
          <w:sz w:val="20"/>
          <w:shd w:fill="FFFFFF" w:val="clear"/>
        </w:rPr>
        <w:t>Improvements to Employee Share-Based Payment Accounting (Topic 718)</w:t>
      </w:r>
      <w:r>
        <w:rPr>
          <w:rFonts w:ascii="Times New Roman" w:hAnsi="Times New Roman"/>
          <w:b w:val="false"/>
          <w:i w:val="false"/>
          <w:caps w:val="false"/>
          <w:smallCaps w:val="false"/>
          <w:color w:val="000000"/>
          <w:sz w:val="20"/>
          <w:shd w:fill="FFFFFF" w:val="clear"/>
        </w:rPr>
        <w:t>, the Company has elected not to establish a forfeiture rate, as stock-based compensation expense related to forfeitures of unvested equity awards is fully reversed at the time of forfeiture.</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Income taxes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(see Note 11). The Company is subject to income tax examinations by major taxing authorities for all tax years since 2019 and for previous periods as it relates to the Company’s net operating loss carryforwards.</w:t>
      </w:r>
    </w:p>
    <w:p>
      <w:pPr>
        <w:pStyle w:val="TextBody"/>
        <w:bidi w:val="0"/>
        <w:ind w:left="0" w:right="0" w:firstLine="675"/>
        <w:jc w:val="left"/>
        <w:rPr/>
      </w:pPr>
      <w:r>
        <w:rPr/>
      </w:r>
    </w:p>
    <w:p>
      <w:pPr>
        <w:pStyle w:val="TextBody"/>
        <w:bidi w:val="0"/>
        <w:spacing w:before="0" w:after="0"/>
        <w:ind w:left="180" w:right="0" w:hanging="18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u w:val="single"/>
          <w:shd w:fill="FFFFFF" w:val="clear"/>
        </w:rPr>
        <w:t>Loss Per Share</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ind w:left="180" w:right="0" w:hanging="180"/>
        <w:jc w:val="left"/>
        <w:rPr>
          <w:u w:val="single"/>
        </w:rPr>
      </w:pPr>
      <w:r>
        <w:rPr>
          <w:u w:val="single"/>
        </w:rPr>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Basic loss per share is computed by dividing net loss attributable to common stockholders by the weighted average number of shares of common stock outstanding during the period. Diluted loss per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in the diluted net loss per share computation is excluded to the extent that it would be anti-dilutive. No potentially dilutive securities are included in the computation of any diluted per share amounts as the Company reported a net loss for all periods presented. For the years ended December 31, 2023, 2022 and 2021, the following securities were excluded from the calculation of diluted loss per common share because of their anti-dilutive effects: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6095" w:type="dxa"/>
        <w:jc w:val="left"/>
        <w:tblInd w:w="0" w:type="dxa"/>
        <w:tblLayout w:type="fixed"/>
        <w:tblCellMar>
          <w:top w:w="0" w:type="dxa"/>
          <w:left w:w="0" w:type="dxa"/>
          <w:bottom w:w="0" w:type="dxa"/>
          <w:right w:w="0" w:type="dxa"/>
        </w:tblCellMar>
      </w:tblPr>
      <w:tblGrid>
        <w:gridCol w:w="1865"/>
        <w:gridCol w:w="90"/>
        <w:gridCol w:w="90"/>
        <w:gridCol w:w="1130"/>
        <w:gridCol w:w="90"/>
        <w:gridCol w:w="90"/>
        <w:gridCol w:w="90"/>
        <w:gridCol w:w="1130"/>
        <w:gridCol w:w="90"/>
        <w:gridCol w:w="90"/>
        <w:gridCol w:w="90"/>
        <w:gridCol w:w="1130"/>
        <w:gridCol w:w="120"/>
      </w:tblGrid>
      <w:tr>
        <w:trPr/>
        <w:tc>
          <w:tcPr>
            <w:tcW w:w="186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4020" w:type="dxa"/>
            <w:gridSpan w:val="10"/>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For the Years Ended December 31,</w:t>
            </w:r>
          </w:p>
        </w:tc>
        <w:tc>
          <w:tcPr>
            <w:tcW w:w="120" w:type="dxa"/>
            <w:tcBorders/>
            <w:vAlign w:val="bottom"/>
          </w:tcPr>
          <w:p>
            <w:pPr>
              <w:pStyle w:val="TableContents"/>
              <w:bidi w:val="0"/>
              <w:spacing w:before="0" w:after="283"/>
              <w:jc w:val="left"/>
              <w:rPr/>
            </w:pPr>
            <w:r>
              <w:rPr/>
              <w:t> </w:t>
            </w:r>
          </w:p>
        </w:tc>
      </w:tr>
      <w:tr>
        <w:trPr/>
        <w:tc>
          <w:tcPr>
            <w:tcW w:w="186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120"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 Options</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5,906,184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8,256,211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7,862,722</w:t>
            </w:r>
          </w:p>
        </w:tc>
        <w:tc>
          <w:tcPr>
            <w:tcW w:w="120" w:type="dxa"/>
            <w:tcBorders/>
            <w:shd w:fill="CCEEFF" w:val="clear"/>
            <w:vAlign w:val="bottom"/>
          </w:tcPr>
          <w:p>
            <w:pPr>
              <w:pStyle w:val="TableContents"/>
              <w:bidi w:val="0"/>
              <w:spacing w:before="0" w:after="283"/>
              <w:jc w:val="left"/>
              <w:rPr/>
            </w:pPr>
            <w:r>
              <w:rPr/>
              <w:t> </w:t>
            </w:r>
          </w:p>
        </w:tc>
      </w:tr>
      <w:tr>
        <w:trPr/>
        <w:tc>
          <w:tcPr>
            <w:tcW w:w="18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Stock Units</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4,657,297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2,866,987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4,485,133</w:t>
            </w:r>
          </w:p>
        </w:tc>
        <w:tc>
          <w:tcPr>
            <w:tcW w:w="120"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Warrants</w:t>
            </w:r>
          </w:p>
        </w:tc>
        <w:tc>
          <w:tcPr>
            <w:tcW w:w="90" w:type="dxa"/>
            <w:tcBorders/>
            <w:shd w:fill="CCEEFF" w:val="clear"/>
            <w:vAlign w:val="bottom"/>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283"/>
              <w:jc w:val="right"/>
              <w:rPr/>
            </w:pPr>
            <w:r>
              <w:rPr/>
              <w:t>12,502,906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283"/>
              <w:jc w:val="right"/>
              <w:rPr/>
            </w:pPr>
            <w:r>
              <w:rPr/>
              <w:t>13,525,148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283"/>
              <w:jc w:val="right"/>
              <w:rPr/>
            </w:pPr>
            <w:r>
              <w:rPr/>
              <w:t>4,528,160</w:t>
            </w:r>
          </w:p>
        </w:tc>
        <w:tc>
          <w:tcPr>
            <w:tcW w:w="120" w:type="dxa"/>
            <w:tcBorders/>
            <w:shd w:fill="CCEEFF" w:val="clear"/>
            <w:vAlign w:val="bottom"/>
          </w:tcPr>
          <w:p>
            <w:pPr>
              <w:pStyle w:val="TableContents"/>
              <w:bidi w:val="0"/>
              <w:spacing w:before="0" w:after="283"/>
              <w:jc w:val="left"/>
              <w:rPr/>
            </w:pPr>
            <w:r>
              <w:rPr/>
              <w:t> </w:t>
            </w:r>
          </w:p>
        </w:tc>
      </w:tr>
      <w:tr>
        <w:trPr/>
        <w:tc>
          <w:tcPr>
            <w:tcW w:w="186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283"/>
              <w:jc w:val="right"/>
              <w:rPr/>
            </w:pPr>
            <w:r>
              <w:rPr/>
              <w:t>23,066,387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283"/>
              <w:jc w:val="right"/>
              <w:rPr/>
            </w:pPr>
            <w:r>
              <w:rPr/>
              <w:t>24,648,346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283"/>
              <w:jc w:val="right"/>
              <w:rPr/>
            </w:pPr>
            <w:r>
              <w:rPr/>
              <w:t>16,876,015</w:t>
            </w:r>
          </w:p>
        </w:tc>
        <w:tc>
          <w:tcPr>
            <w:tcW w:w="120"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Fair value of financial instruments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notes payable (see Note 7) approximates fair value due to the variable interest rate on this debt.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Recent Accounting Pronouncements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November of 2023 the FASB issued ASU No. 2023-07, Segment Reporting (Topic 280): Improvements to Reportable Segment Disclosures. The amendments in this Update are intended to provide financial statement users with more disaggregated expense information about a public entity’s reportable segments, however the Update does not change the definition of a business segment or the method for determining reportable segments. This update becomes effective for fiscal years beginning after December 15, 2023. The Company does not expect this update to have a material impact on its consolidated financial statements.</w:t>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December of 2023 the FASB issued ASU 2023-09, Income Taxes (Topic 740): Improvements to Income Tax Disclosures. This Update requires disaggregated information about a reporting entity’s effective tax rate reconciliation as well as information on income taxes paid and becomes effective for public business entities for fiscal years beginning after December 15, 2024. The Company has yet to determine the impact this Update may have on the Company’s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There were no new accounting pronouncements adopted during the years ended December 31, 2023, 2022 and 2021 that had a significant impact on the Company’s consolidated financial statements.</w:t>
      </w:r>
    </w:p>
    <w:p>
      <w:pPr>
        <w:pStyle w:val="TextBody"/>
        <w:bidi w:val="0"/>
        <w:spacing w:before="0" w:after="0"/>
        <w:jc w:val="left"/>
        <w:rPr>
          <w:caps w:val="false"/>
          <w:smallCaps w:val="false"/>
          <w:color w:val="000000"/>
          <w:shd w:fill="FFFFFF" w:val="clear"/>
        </w:rPr>
      </w:pPr>
      <w:r>
        <w:rPr>
          <w:caps w:val="false"/>
          <w:smallCaps w:val="false"/>
          <w:color w:val="00000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0"/>
              <w:ind w:left="0" w:right="0" w:hanging="0"/>
              <w:jc w:val="left"/>
              <w:rPr/>
            </w:pPr>
            <w:r>
              <w:rPr>
                <w:rStyle w:val="StrongEmphasis"/>
                <w:rFonts w:ascii="Times New Roman" w:hAnsi="Times New Roman"/>
                <w:sz w:val="20"/>
              </w:rPr>
              <w:t>3.</w:t>
            </w:r>
          </w:p>
        </w:tc>
        <w:tc>
          <w:tcPr>
            <w:tcW w:w="1385"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INVENTORIES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provides the components of inventories: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4243" w:type="dxa"/>
        <w:jc w:val="left"/>
        <w:tblInd w:w="0" w:type="dxa"/>
        <w:tblLayout w:type="fixed"/>
        <w:tblCellMar>
          <w:top w:w="0" w:type="dxa"/>
          <w:left w:w="0" w:type="dxa"/>
          <w:bottom w:w="0" w:type="dxa"/>
          <w:right w:w="0" w:type="dxa"/>
        </w:tblCellMar>
      </w:tblPr>
      <w:tblGrid>
        <w:gridCol w:w="1445"/>
        <w:gridCol w:w="90"/>
        <w:gridCol w:w="204"/>
        <w:gridCol w:w="1000"/>
        <w:gridCol w:w="90"/>
        <w:gridCol w:w="90"/>
        <w:gridCol w:w="204"/>
        <w:gridCol w:w="1000"/>
        <w:gridCol w:w="120"/>
      </w:tblGrid>
      <w:tr>
        <w:trPr/>
        <w:tc>
          <w:tcPr>
            <w:tcW w:w="144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December 31,</w:t>
              <w:b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December 31,</w:t>
              <w:br/>
              <w:t>2022</w:t>
            </w:r>
          </w:p>
        </w:tc>
        <w:tc>
          <w:tcPr>
            <w:tcW w:w="120" w:type="dxa"/>
            <w:tcBorders/>
            <w:vAlign w:val="bottom"/>
          </w:tcPr>
          <w:p>
            <w:pPr>
              <w:pStyle w:val="TableContents"/>
              <w:bidi w:val="0"/>
              <w:spacing w:before="0" w:after="283"/>
              <w:jc w:val="left"/>
              <w:rPr/>
            </w:pPr>
            <w:r>
              <w:rPr/>
              <w:t> </w:t>
            </w:r>
          </w:p>
        </w:tc>
      </w:tr>
      <w:tr>
        <w:trPr/>
        <w:tc>
          <w:tcPr>
            <w:tcW w:w="14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2588" w:type="dxa"/>
            <w:gridSpan w:val="6"/>
            <w:tcBorders/>
            <w:vAlign w:val="bottom"/>
          </w:tcPr>
          <w:p>
            <w:pPr>
              <w:pStyle w:val="TableContents"/>
              <w:bidi w:val="0"/>
              <w:spacing w:before="0" w:after="283"/>
              <w:jc w:val="center"/>
              <w:rPr>
                <w:i/>
              </w:rPr>
            </w:pPr>
            <w:r>
              <w:rPr>
                <w:i/>
              </w:rPr>
              <w:t>(In thousands)</w:t>
            </w:r>
          </w:p>
        </w:tc>
        <w:tc>
          <w:tcPr>
            <w:tcW w:w="12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9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52,999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48,644</w:t>
            </w:r>
          </w:p>
        </w:tc>
        <w:tc>
          <w:tcPr>
            <w:tcW w:w="120" w:type="dxa"/>
            <w:tcBorders/>
            <w:shd w:fill="CCEEFF" w:val="clear"/>
            <w:vAlign w:val="bottom"/>
          </w:tcPr>
          <w:p>
            <w:pPr>
              <w:pStyle w:val="TableContents"/>
              <w:bidi w:val="0"/>
              <w:spacing w:before="0" w:after="283"/>
              <w:jc w:val="left"/>
              <w:rPr/>
            </w:pPr>
            <w:r>
              <w:rPr/>
              <w:t> </w:t>
            </w:r>
          </w:p>
        </w:tc>
      </w:tr>
      <w:tr>
        <w:trPr/>
        <w:tc>
          <w:tcPr>
            <w:tcW w:w="144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9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49,621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56,171</w:t>
            </w:r>
          </w:p>
        </w:tc>
        <w:tc>
          <w:tcPr>
            <w:tcW w:w="12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9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bidi w:val="0"/>
              <w:spacing w:before="0" w:after="283"/>
              <w:jc w:val="right"/>
              <w:rPr/>
            </w:pPr>
            <w:r>
              <w:rPr/>
              <w:t>70,286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bidi w:val="0"/>
              <w:spacing w:before="0" w:after="283"/>
              <w:jc w:val="right"/>
              <w:rPr/>
            </w:pPr>
            <w:r>
              <w:rPr/>
              <w:t>58,465</w:t>
            </w:r>
          </w:p>
        </w:tc>
        <w:tc>
          <w:tcPr>
            <w:tcW w:w="120" w:type="dxa"/>
            <w:tcBorders/>
            <w:shd w:fill="CCEEFF" w:val="clear"/>
            <w:vAlign w:val="bottom"/>
          </w:tcPr>
          <w:p>
            <w:pPr>
              <w:pStyle w:val="TableContents"/>
              <w:bidi w:val="0"/>
              <w:spacing w:before="0" w:after="283"/>
              <w:jc w:val="left"/>
              <w:rPr/>
            </w:pPr>
            <w:r>
              <w:rPr/>
              <w:t> </w:t>
            </w:r>
          </w:p>
        </w:tc>
      </w:tr>
      <w:tr>
        <w:trPr/>
        <w:tc>
          <w:tcPr>
            <w:tcW w:w="144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inventories</w:t>
            </w:r>
          </w:p>
        </w:tc>
        <w:tc>
          <w:tcPr>
            <w:tcW w:w="90" w:type="dxa"/>
            <w:tcBorders/>
            <w:vAlign w:val="bottom"/>
          </w:tcPr>
          <w:p>
            <w:pPr>
              <w:pStyle w:val="TableContents"/>
              <w:bidi w:val="0"/>
              <w:spacing w:before="0" w:after="283"/>
              <w:jc w:val="right"/>
              <w:rPr/>
            </w:pPr>
            <w:r>
              <w:rPr/>
              <w:t> </w:t>
            </w:r>
          </w:p>
        </w:tc>
        <w:tc>
          <w:tcPr>
            <w:tcW w:w="204" w:type="dxa"/>
            <w:tcBorders>
              <w:bottom w:val="double" w:sz="6" w:space="0" w:color="000000"/>
            </w:tcBorders>
            <w:tcMar>
              <w:bottom w:w="45" w:type="dxa"/>
            </w:tcMar>
            <w:vAlign w:val="bottom"/>
          </w:tcPr>
          <w:p>
            <w:pPr>
              <w:pStyle w:val="TableContents"/>
              <w:bidi w:val="0"/>
              <w:spacing w:before="0" w:after="283"/>
              <w:jc w:val="left"/>
              <w:rPr/>
            </w:pPr>
            <w:r>
              <w:rPr/>
              <w:t>$</w:t>
            </w:r>
          </w:p>
        </w:tc>
        <w:tc>
          <w:tcPr>
            <w:tcW w:w="1000" w:type="dxa"/>
            <w:tcBorders>
              <w:bottom w:val="double" w:sz="6" w:space="0" w:color="000000"/>
            </w:tcBorders>
            <w:tcMar>
              <w:bottom w:w="45" w:type="dxa"/>
            </w:tcMar>
            <w:vAlign w:val="bottom"/>
          </w:tcPr>
          <w:p>
            <w:pPr>
              <w:pStyle w:val="TableContents"/>
              <w:bidi w:val="0"/>
              <w:spacing w:before="0" w:after="283"/>
              <w:jc w:val="right"/>
              <w:rPr/>
            </w:pPr>
            <w:r>
              <w:rPr/>
              <w:t>172,906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4" w:type="dxa"/>
            <w:tcBorders>
              <w:bottom w:val="double" w:sz="6" w:space="0" w:color="000000"/>
            </w:tcBorders>
            <w:tcMar>
              <w:bottom w:w="45" w:type="dxa"/>
            </w:tcMar>
            <w:vAlign w:val="bottom"/>
          </w:tcPr>
          <w:p>
            <w:pPr>
              <w:pStyle w:val="TableContents"/>
              <w:bidi w:val="0"/>
              <w:spacing w:before="0" w:after="283"/>
              <w:jc w:val="left"/>
              <w:rPr/>
            </w:pPr>
            <w:r>
              <w:rPr/>
              <w:t>$</w:t>
            </w:r>
          </w:p>
        </w:tc>
        <w:tc>
          <w:tcPr>
            <w:tcW w:w="1000" w:type="dxa"/>
            <w:tcBorders>
              <w:bottom w:val="double" w:sz="6" w:space="0" w:color="000000"/>
            </w:tcBorders>
            <w:tcMar>
              <w:bottom w:w="45" w:type="dxa"/>
            </w:tcMar>
            <w:vAlign w:val="bottom"/>
          </w:tcPr>
          <w:p>
            <w:pPr>
              <w:pStyle w:val="TableContents"/>
              <w:bidi w:val="0"/>
              <w:spacing w:before="0" w:after="283"/>
              <w:jc w:val="right"/>
              <w:rPr/>
            </w:pPr>
            <w:r>
              <w:rPr/>
              <w:t>163,280</w:t>
            </w:r>
          </w:p>
        </w:tc>
        <w:tc>
          <w:tcPr>
            <w:tcW w:w="120"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Raw materials includes plasma and other materials expected to be used in the production of ASCENIV, BIVIGAM and Nabi-HB. These materials will be consumed in the production of products expected to be available for sale or otherwise have alternative uses that provide a probable future benefit. All other activities and materials associated with the production of inventories used in research and development activities are expensed as incurred.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Work-in-process inventory primarily consists </w:t>
      </w:r>
      <w:r>
        <w:rPr>
          <w:rFonts w:ascii="Times New Roman" w:hAnsi="Times New Roman"/>
          <w:b w:val="false"/>
          <w:i w:val="false"/>
          <w:caps w:val="false"/>
          <w:smallCaps w:val="false"/>
          <w:color w:val="000000"/>
          <w:spacing w:val="0"/>
          <w:sz w:val="20"/>
          <w:shd w:fill="FFFFFF" w:val="clear"/>
        </w:rPr>
        <w:t>of the Company’s IVIG products that are manufactured to the bulk drug substance and unlabeled filled vials stage of production</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ind w:left="0" w:right="0" w:firstLine="675"/>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Finished goods inventory is comprised </w:t>
      </w:r>
      <w:r>
        <w:rPr>
          <w:rFonts w:ascii="Times New Roman" w:hAnsi="Times New Roman"/>
          <w:b w:val="false"/>
          <w:i w:val="false"/>
          <w:caps w:val="false"/>
          <w:smallCaps w:val="false"/>
          <w:color w:val="000000"/>
          <w:spacing w:val="0"/>
          <w:sz w:val="20"/>
          <w:shd w:fill="FFFFFF" w:val="clear"/>
        </w:rPr>
        <w:t>of the Company’s immunoglobulin products that have reached the filled, labeled and serialized vial stage of production and related intermediates that are available for commercial sale, as well as plasma collected at the Company’s plasma collection centers which is expected to be sold to third-party customers</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jc w:val="left"/>
        <w:rPr/>
      </w:pPr>
      <w:r>
        <w:rPr/>
      </w:r>
    </w:p>
    <w:tbl>
      <w:tblPr>
        <w:tblW w:w="2980" w:type="dxa"/>
        <w:jc w:val="left"/>
        <w:tblInd w:w="0" w:type="dxa"/>
        <w:tblLayout w:type="fixed"/>
        <w:tblCellMar>
          <w:top w:w="0" w:type="dxa"/>
          <w:left w:w="0" w:type="dxa"/>
          <w:bottom w:w="0" w:type="dxa"/>
          <w:right w:w="0" w:type="dxa"/>
        </w:tblCellMar>
      </w:tblPr>
      <w:tblGrid>
        <w:gridCol w:w="185"/>
        <w:gridCol w:w="2795"/>
      </w:tblGrid>
      <w:tr>
        <w:trPr/>
        <w:tc>
          <w:tcPr>
            <w:tcW w:w="185" w:type="dxa"/>
            <w:tcBorders/>
            <w:vAlign w:val="center"/>
          </w:tcPr>
          <w:p>
            <w:pPr>
              <w:pStyle w:val="TableContents"/>
              <w:bidi w:val="0"/>
              <w:spacing w:before="0" w:after="0"/>
              <w:ind w:left="0" w:right="0" w:hanging="0"/>
              <w:jc w:val="left"/>
              <w:rPr/>
            </w:pPr>
            <w:r>
              <w:rPr>
                <w:rStyle w:val="StrongEmphasis"/>
                <w:rFonts w:ascii="Times New Roman" w:hAnsi="Times New Roman"/>
                <w:sz w:val="20"/>
              </w:rPr>
              <w:t>4.</w:t>
            </w:r>
          </w:p>
        </w:tc>
        <w:tc>
          <w:tcPr>
            <w:tcW w:w="2795"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PROPERTY AND EQUIPMENT</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Property and equipment at December 31, 2023 and 2022 is summarized as follows: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7208" w:type="dxa"/>
        <w:jc w:val="left"/>
        <w:tblInd w:w="0" w:type="dxa"/>
        <w:tblLayout w:type="fixed"/>
        <w:tblCellMar>
          <w:top w:w="0" w:type="dxa"/>
          <w:left w:w="0" w:type="dxa"/>
          <w:bottom w:w="0" w:type="dxa"/>
          <w:right w:w="0" w:type="dxa"/>
        </w:tblCellMar>
      </w:tblPr>
      <w:tblGrid>
        <w:gridCol w:w="3410"/>
        <w:gridCol w:w="90"/>
        <w:gridCol w:w="297"/>
        <w:gridCol w:w="1372"/>
        <w:gridCol w:w="125"/>
        <w:gridCol w:w="90"/>
        <w:gridCol w:w="297"/>
        <w:gridCol w:w="1372"/>
        <w:gridCol w:w="155"/>
      </w:tblGrid>
      <w:tr>
        <w:trPr/>
        <w:tc>
          <w:tcPr>
            <w:tcW w:w="341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669"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December 31, 2023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669"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December 31, 2022</w:t>
            </w:r>
          </w:p>
        </w:tc>
        <w:tc>
          <w:tcPr>
            <w:tcW w:w="15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3553" w:type="dxa"/>
            <w:gridSpan w:val="6"/>
            <w:tcBorders/>
            <w:vAlign w:val="bottom"/>
          </w:tcPr>
          <w:p>
            <w:pPr>
              <w:pStyle w:val="TableContents"/>
              <w:bidi w:val="0"/>
              <w:spacing w:before="0" w:after="283"/>
              <w:jc w:val="center"/>
              <w:rPr>
                <w:i/>
              </w:rPr>
            </w:pPr>
            <w:r>
              <w:rPr>
                <w:i/>
              </w:rPr>
              <w:t>(In thousands)</w:t>
            </w:r>
          </w:p>
        </w:tc>
        <w:tc>
          <w:tcPr>
            <w:tcW w:w="15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Manufacturing and laboratory equipment</w:t>
            </w:r>
          </w:p>
        </w:tc>
        <w:tc>
          <w:tcPr>
            <w:tcW w:w="90"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21,093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18,768</w:t>
            </w:r>
          </w:p>
        </w:tc>
        <w:tc>
          <w:tcPr>
            <w:tcW w:w="15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Office equipment and computer software</w:t>
            </w:r>
          </w:p>
        </w:tc>
        <w:tc>
          <w:tcPr>
            <w:tcW w:w="90"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6,062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5,319</w:t>
            </w:r>
          </w:p>
        </w:tc>
        <w:tc>
          <w:tcPr>
            <w:tcW w:w="15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90"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5,776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5,110</w:t>
            </w:r>
          </w:p>
        </w:tc>
        <w:tc>
          <w:tcPr>
            <w:tcW w:w="15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in process</w:t>
            </w:r>
          </w:p>
        </w:tc>
        <w:tc>
          <w:tcPr>
            <w:tcW w:w="90"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2,273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6,727</w:t>
            </w:r>
          </w:p>
        </w:tc>
        <w:tc>
          <w:tcPr>
            <w:tcW w:w="15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90"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20,811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97"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17,931</w:t>
            </w:r>
          </w:p>
        </w:tc>
        <w:tc>
          <w:tcPr>
            <w:tcW w:w="15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Land</w:t>
            </w:r>
          </w:p>
        </w:tc>
        <w:tc>
          <w:tcPr>
            <w:tcW w:w="90"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4,339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4,339</w:t>
            </w:r>
          </w:p>
        </w:tc>
        <w:tc>
          <w:tcPr>
            <w:tcW w:w="15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Buildings and building improvements</w:t>
            </w:r>
          </w:p>
        </w:tc>
        <w:tc>
          <w:tcPr>
            <w:tcW w:w="90" w:type="dxa"/>
            <w:tcBorders/>
            <w:shd w:fill="CCEEFF" w:val="clear"/>
            <w:vAlign w:val="bottom"/>
          </w:tcPr>
          <w:p>
            <w:pPr>
              <w:pStyle w:val="TableContents"/>
              <w:bidi w:val="0"/>
              <w:spacing w:before="0" w:after="283"/>
              <w:jc w:val="right"/>
              <w:rPr/>
            </w:pPr>
            <w:r>
              <w:rPr/>
              <w:t> </w:t>
            </w:r>
          </w:p>
        </w:tc>
        <w:tc>
          <w:tcPr>
            <w:tcW w:w="2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bidi w:val="0"/>
              <w:spacing w:before="0" w:after="283"/>
              <w:jc w:val="right"/>
              <w:rPr/>
            </w:pPr>
            <w:r>
              <w:rPr/>
              <w:t>20,218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bidi w:val="0"/>
              <w:spacing w:before="0" w:after="283"/>
              <w:jc w:val="right"/>
              <w:rPr/>
            </w:pPr>
            <w:r>
              <w:rPr/>
              <w:t>19,544</w:t>
            </w:r>
          </w:p>
        </w:tc>
        <w:tc>
          <w:tcPr>
            <w:tcW w:w="15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80,572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97"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77,738</w:t>
            </w:r>
          </w:p>
        </w:tc>
        <w:tc>
          <w:tcPr>
            <w:tcW w:w="15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Less: Accumulated depreciation </w:t>
            </w:r>
          </w:p>
        </w:tc>
        <w:tc>
          <w:tcPr>
            <w:tcW w:w="90" w:type="dxa"/>
            <w:tcBorders/>
            <w:shd w:fill="CCEEFF" w:val="clear"/>
            <w:vAlign w:val="bottom"/>
          </w:tcPr>
          <w:p>
            <w:pPr>
              <w:pStyle w:val="TableContents"/>
              <w:bidi w:val="0"/>
              <w:spacing w:before="0" w:after="283"/>
              <w:jc w:val="right"/>
              <w:rPr/>
            </w:pPr>
            <w:r>
              <w:rPr/>
              <w:t> </w:t>
            </w:r>
          </w:p>
        </w:tc>
        <w:tc>
          <w:tcPr>
            <w:tcW w:w="2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bidi w:val="0"/>
              <w:spacing w:before="0" w:after="283"/>
              <w:jc w:val="right"/>
              <w:rPr/>
            </w:pPr>
            <w:r>
              <w:rPr/>
              <w:t>(26,737</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bidi w:val="0"/>
              <w:spacing w:before="0" w:after="283"/>
              <w:jc w:val="right"/>
              <w:rPr/>
            </w:pPr>
            <w:r>
              <w:rPr/>
              <w:t>(19,477</w:t>
            </w:r>
          </w:p>
        </w:tc>
        <w:tc>
          <w:tcPr>
            <w:tcW w:w="155" w:type="dxa"/>
            <w:tcBorders/>
            <w:shd w:fill="CCEEFF" w:val="clear"/>
            <w:vAlign w:val="bottom"/>
          </w:tcPr>
          <w:p>
            <w:pPr>
              <w:pStyle w:val="TableContents"/>
              <w:bidi w:val="0"/>
              <w:spacing w:before="0" w:after="283"/>
              <w:jc w:val="left"/>
              <w:rPr/>
            </w:pPr>
            <w:r>
              <w:rPr/>
              <w:t>)</w:t>
            </w:r>
          </w:p>
        </w:tc>
      </w:tr>
      <w:tr>
        <w:trPr/>
        <w:tc>
          <w:tcPr>
            <w:tcW w:w="341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property, plant and equipment, net</w:t>
            </w:r>
          </w:p>
        </w:tc>
        <w:tc>
          <w:tcPr>
            <w:tcW w:w="90" w:type="dxa"/>
            <w:tcBorders/>
            <w:vAlign w:val="bottom"/>
          </w:tcPr>
          <w:p>
            <w:pPr>
              <w:pStyle w:val="TableContents"/>
              <w:bidi w:val="0"/>
              <w:spacing w:before="0" w:after="283"/>
              <w:jc w:val="right"/>
              <w:rPr/>
            </w:pPr>
            <w:r>
              <w:rPr/>
              <w:t> </w:t>
            </w:r>
          </w:p>
        </w:tc>
        <w:tc>
          <w:tcPr>
            <w:tcW w:w="297" w:type="dxa"/>
            <w:tcBorders>
              <w:bottom w:val="double" w:sz="8" w:space="0" w:color="000000"/>
            </w:tcBorders>
            <w:tcMar>
              <w:bottom w:w="28" w:type="dxa"/>
            </w:tcMar>
            <w:vAlign w:val="bottom"/>
          </w:tcPr>
          <w:p>
            <w:pPr>
              <w:pStyle w:val="TableContents"/>
              <w:bidi w:val="0"/>
              <w:spacing w:before="0" w:after="283"/>
              <w:jc w:val="left"/>
              <w:rPr/>
            </w:pPr>
            <w:r>
              <w:rPr/>
              <w:t>$</w:t>
            </w:r>
          </w:p>
        </w:tc>
        <w:tc>
          <w:tcPr>
            <w:tcW w:w="1372" w:type="dxa"/>
            <w:tcBorders>
              <w:bottom w:val="double" w:sz="8" w:space="0" w:color="000000"/>
            </w:tcBorders>
            <w:tcMar>
              <w:bottom w:w="28" w:type="dxa"/>
            </w:tcMar>
            <w:vAlign w:val="bottom"/>
          </w:tcPr>
          <w:p>
            <w:pPr>
              <w:pStyle w:val="TableContents"/>
              <w:bidi w:val="0"/>
              <w:spacing w:before="0" w:after="283"/>
              <w:jc w:val="right"/>
              <w:rPr/>
            </w:pPr>
            <w:r>
              <w:rPr/>
              <w:t>53,835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97" w:type="dxa"/>
            <w:tcBorders>
              <w:bottom w:val="double" w:sz="8" w:space="0" w:color="000000"/>
            </w:tcBorders>
            <w:tcMar>
              <w:bottom w:w="28" w:type="dxa"/>
            </w:tcMar>
            <w:vAlign w:val="bottom"/>
          </w:tcPr>
          <w:p>
            <w:pPr>
              <w:pStyle w:val="TableContents"/>
              <w:bidi w:val="0"/>
              <w:spacing w:before="0" w:after="283"/>
              <w:jc w:val="left"/>
              <w:rPr/>
            </w:pPr>
            <w:r>
              <w:rPr/>
              <w:t>$</w:t>
            </w:r>
          </w:p>
        </w:tc>
        <w:tc>
          <w:tcPr>
            <w:tcW w:w="1372" w:type="dxa"/>
            <w:tcBorders>
              <w:bottom w:val="double" w:sz="8" w:space="0" w:color="000000"/>
            </w:tcBorders>
            <w:tcMar>
              <w:bottom w:w="28" w:type="dxa"/>
            </w:tcMar>
            <w:vAlign w:val="bottom"/>
          </w:tcPr>
          <w:p>
            <w:pPr>
              <w:pStyle w:val="TableContents"/>
              <w:bidi w:val="0"/>
              <w:spacing w:before="0" w:after="283"/>
              <w:jc w:val="right"/>
              <w:rPr/>
            </w:pPr>
            <w:r>
              <w:rPr/>
              <w:t>58,261</w:t>
            </w:r>
          </w:p>
        </w:tc>
        <w:tc>
          <w:tcPr>
            <w:tcW w:w="155"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recorded depreciation expense on property and equipment of $7.6 million, $6.4 million and $4.8 million for the years ended December 31, 2023, 2022 and 2021, respectively.</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2230" w:type="dxa"/>
        <w:jc w:val="left"/>
        <w:tblInd w:w="0" w:type="dxa"/>
        <w:tblLayout w:type="fixed"/>
        <w:tblCellMar>
          <w:top w:w="0" w:type="dxa"/>
          <w:left w:w="0" w:type="dxa"/>
          <w:bottom w:w="0" w:type="dxa"/>
          <w:right w:w="0" w:type="dxa"/>
        </w:tblCellMar>
      </w:tblPr>
      <w:tblGrid>
        <w:gridCol w:w="185"/>
        <w:gridCol w:w="2045"/>
      </w:tblGrid>
      <w:tr>
        <w:trPr/>
        <w:tc>
          <w:tcPr>
            <w:tcW w:w="185" w:type="dxa"/>
            <w:tcBorders/>
            <w:vAlign w:val="center"/>
          </w:tcPr>
          <w:p>
            <w:pPr>
              <w:pStyle w:val="TableContents"/>
              <w:bidi w:val="0"/>
              <w:spacing w:before="0" w:after="0"/>
              <w:ind w:left="0" w:right="0" w:hanging="0"/>
              <w:jc w:val="left"/>
              <w:rPr/>
            </w:pPr>
            <w:r>
              <w:rPr>
                <w:rStyle w:val="StrongEmphasis"/>
                <w:rFonts w:ascii="Times New Roman" w:hAnsi="Times New Roman"/>
                <w:sz w:val="20"/>
              </w:rPr>
              <w:t>5.</w:t>
            </w:r>
          </w:p>
        </w:tc>
        <w:tc>
          <w:tcPr>
            <w:tcW w:w="2045"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INTANGIBLE ASSETS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Intangible assets at December 31, 2023 and 2022 consist of the following:</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10205" w:type="dxa"/>
        <w:jc w:val="left"/>
        <w:tblInd w:w="0" w:type="dxa"/>
        <w:tblLayout w:type="fixed"/>
        <w:tblCellMar>
          <w:top w:w="0" w:type="dxa"/>
          <w:left w:w="0" w:type="dxa"/>
          <w:bottom w:w="0" w:type="dxa"/>
          <w:right w:w="0" w:type="dxa"/>
        </w:tblCellMar>
      </w:tblPr>
      <w:tblGrid>
        <w:gridCol w:w="3855"/>
        <w:gridCol w:w="90"/>
        <w:gridCol w:w="170"/>
        <w:gridCol w:w="590"/>
        <w:gridCol w:w="90"/>
        <w:gridCol w:w="90"/>
        <w:gridCol w:w="266"/>
        <w:gridCol w:w="924"/>
        <w:gridCol w:w="90"/>
        <w:gridCol w:w="90"/>
        <w:gridCol w:w="170"/>
        <w:gridCol w:w="410"/>
        <w:gridCol w:w="90"/>
        <w:gridCol w:w="90"/>
        <w:gridCol w:w="170"/>
        <w:gridCol w:w="590"/>
        <w:gridCol w:w="90"/>
        <w:gridCol w:w="90"/>
        <w:gridCol w:w="266"/>
        <w:gridCol w:w="924"/>
        <w:gridCol w:w="90"/>
        <w:gridCol w:w="90"/>
        <w:gridCol w:w="170"/>
        <w:gridCol w:w="590"/>
        <w:gridCol w:w="120"/>
      </w:tblGrid>
      <w:tr>
        <w:trPr/>
        <w:tc>
          <w:tcPr>
            <w:tcW w:w="385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2890" w:type="dxa"/>
            <w:gridSpan w:val="10"/>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 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3070" w:type="dxa"/>
            <w:gridSpan w:val="10"/>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 2022</w:t>
            </w:r>
          </w:p>
        </w:tc>
        <w:tc>
          <w:tcPr>
            <w:tcW w:w="120" w:type="dxa"/>
            <w:tcBorders/>
            <w:vAlign w:val="bottom"/>
          </w:tcPr>
          <w:p>
            <w:pPr>
              <w:pStyle w:val="TableContents"/>
              <w:bidi w:val="0"/>
              <w:spacing w:before="0" w:after="283"/>
              <w:jc w:val="left"/>
              <w:rPr/>
            </w:pPr>
            <w:r>
              <w:rPr/>
              <w:t> </w:t>
            </w:r>
          </w:p>
        </w:tc>
      </w:tr>
      <w:tr>
        <w:trPr/>
        <w:tc>
          <w:tcPr>
            <w:tcW w:w="38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6140" w:type="dxa"/>
            <w:gridSpan w:val="22"/>
            <w:tcBorders/>
            <w:vAlign w:val="bottom"/>
          </w:tcPr>
          <w:p>
            <w:pPr>
              <w:pStyle w:val="TableContents"/>
              <w:bidi w:val="0"/>
              <w:spacing w:before="0" w:after="283"/>
              <w:jc w:val="center"/>
              <w:rPr>
                <w:i/>
              </w:rPr>
            </w:pPr>
            <w:r>
              <w:rPr>
                <w:i/>
              </w:rPr>
              <w:t xml:space="preserve">(In thousands) </w:t>
            </w:r>
          </w:p>
        </w:tc>
        <w:tc>
          <w:tcPr>
            <w:tcW w:w="120" w:type="dxa"/>
            <w:tcBorders/>
            <w:vAlign w:val="bottom"/>
          </w:tcPr>
          <w:p>
            <w:pPr>
              <w:pStyle w:val="TableContents"/>
              <w:bidi w:val="0"/>
              <w:spacing w:before="0" w:after="283"/>
              <w:jc w:val="left"/>
              <w:rPr/>
            </w:pPr>
            <w:r>
              <w:rPr/>
              <w:t> </w:t>
            </w:r>
          </w:p>
        </w:tc>
      </w:tr>
      <w:tr>
        <w:trPr/>
        <w:tc>
          <w:tcPr>
            <w:tcW w:w="385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Accumulated</w:t>
            </w:r>
          </w:p>
          <w:p>
            <w:pPr>
              <w:pStyle w:val="TableContents"/>
              <w:bidi w:val="0"/>
              <w:spacing w:before="0" w:after="0"/>
              <w:ind w:left="0" w:right="0" w:hanging="0"/>
              <w:jc w:val="center"/>
              <w:rPr/>
            </w:pPr>
            <w:r>
              <w:rPr>
                <w:rStyle w:val="StrongEmphasis"/>
                <w:rFonts w:ascii="Times New Roman" w:hAnsi="Times New Roman"/>
                <w:sz w:val="20"/>
              </w:rPr>
              <w:t>Amortization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58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Net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Accumulated</w:t>
            </w:r>
          </w:p>
          <w:p>
            <w:pPr>
              <w:pStyle w:val="TableContents"/>
              <w:bidi w:val="0"/>
              <w:spacing w:before="0" w:after="0"/>
              <w:ind w:left="0" w:right="0" w:hanging="0"/>
              <w:jc w:val="center"/>
              <w:rPr/>
            </w:pPr>
            <w:r>
              <w:rPr>
                <w:rStyle w:val="StrongEmphasis"/>
                <w:rFonts w:ascii="Times New Roman" w:hAnsi="Times New Roman"/>
                <w:sz w:val="20"/>
              </w:rPr>
              <w:t>Amortization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Net</w:t>
            </w:r>
          </w:p>
        </w:tc>
        <w:tc>
          <w:tcPr>
            <w:tcW w:w="120" w:type="dxa"/>
            <w:tcBorders/>
            <w:vAlign w:val="bottom"/>
          </w:tcPr>
          <w:p>
            <w:pPr>
              <w:pStyle w:val="TableContents"/>
              <w:bidi w:val="0"/>
              <w:spacing w:before="0" w:after="283"/>
              <w:jc w:val="left"/>
              <w:rPr/>
            </w:pPr>
            <w:r>
              <w:rPr/>
              <w:t> </w:t>
            </w:r>
          </w:p>
        </w:tc>
      </w:tr>
      <w:tr>
        <w:trPr/>
        <w:tc>
          <w:tcPr>
            <w:tcW w:w="38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Trademark and other intangible rights related to Nabi-HB</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4,100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6"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3,856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410" w:type="dxa"/>
            <w:tcBorders/>
            <w:shd w:fill="CCEEFF" w:val="clear"/>
            <w:vAlign w:val="bottom"/>
          </w:tcPr>
          <w:p>
            <w:pPr>
              <w:pStyle w:val="TableContents"/>
              <w:bidi w:val="0"/>
              <w:spacing w:before="0" w:after="283"/>
              <w:jc w:val="right"/>
              <w:rPr/>
            </w:pPr>
            <w:r>
              <w:rPr/>
              <w:t>244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4,100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6"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3,270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830</w:t>
            </w:r>
          </w:p>
        </w:tc>
        <w:tc>
          <w:tcPr>
            <w:tcW w:w="120" w:type="dxa"/>
            <w:tcBorders/>
            <w:shd w:fill="CCEEFF" w:val="clear"/>
            <w:vAlign w:val="bottom"/>
          </w:tcPr>
          <w:p>
            <w:pPr>
              <w:pStyle w:val="TableContents"/>
              <w:bidi w:val="0"/>
              <w:spacing w:before="0" w:after="283"/>
              <w:jc w:val="left"/>
              <w:rPr/>
            </w:pPr>
            <w:r>
              <w:rPr/>
              <w:t> </w:t>
            </w:r>
          </w:p>
        </w:tc>
      </w:tr>
      <w:tr>
        <w:trPr/>
        <w:tc>
          <w:tcPr>
            <w:tcW w:w="3855" w:type="dxa"/>
            <w:tcBorders/>
            <w:vAlign w:val="bottom"/>
          </w:tcPr>
          <w:p>
            <w:pPr>
              <w:pStyle w:val="TableContents"/>
              <w:bidi w:val="0"/>
              <w:spacing w:before="0" w:after="283"/>
              <w:ind w:left="0"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Internally developed software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210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201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120" w:type="dxa"/>
            <w:tcBorders/>
            <w:vAlign w:val="bottom"/>
          </w:tcPr>
          <w:p>
            <w:pPr>
              <w:pStyle w:val="TableContents"/>
              <w:bidi w:val="0"/>
              <w:spacing w:before="0" w:after="283"/>
              <w:jc w:val="left"/>
              <w:rPr/>
            </w:pPr>
            <w:r>
              <w:rPr/>
              <w:t> </w:t>
            </w:r>
          </w:p>
        </w:tc>
      </w:tr>
      <w:tr>
        <w:trPr/>
        <w:tc>
          <w:tcPr>
            <w:tcW w:w="38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Rights to intermediates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right"/>
              <w:rPr/>
            </w:pPr>
            <w:r>
              <w:rPr/>
              <w:t>907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bottom"/>
          </w:tcPr>
          <w:p>
            <w:pPr>
              <w:pStyle w:val="TableContents"/>
              <w:bidi w:val="0"/>
              <w:spacing w:before="0" w:after="283"/>
              <w:jc w:val="right"/>
              <w:rPr/>
            </w:pPr>
            <w:r>
              <w:rPr/>
              <w:t>853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bottom"/>
          </w:tcPr>
          <w:p>
            <w:pPr>
              <w:pStyle w:val="TableContents"/>
              <w:bidi w:val="0"/>
              <w:spacing w:before="0" w:after="283"/>
              <w:jc w:val="right"/>
              <w:rPr/>
            </w:pPr>
            <w:r>
              <w:rPr/>
              <w:t>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right"/>
              <w:rPr/>
            </w:pPr>
            <w:r>
              <w:rPr/>
              <w:t>907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bottom"/>
          </w:tcPr>
          <w:p>
            <w:pPr>
              <w:pStyle w:val="TableContents"/>
              <w:bidi w:val="0"/>
              <w:spacing w:before="0" w:after="283"/>
              <w:jc w:val="right"/>
              <w:rPr/>
            </w:pPr>
            <w:r>
              <w:rPr/>
              <w:t>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right"/>
              <w:rPr/>
            </w:pPr>
            <w:r>
              <w:rPr/>
              <w:t>183</w:t>
            </w:r>
          </w:p>
        </w:tc>
        <w:tc>
          <w:tcPr>
            <w:tcW w:w="120" w:type="dxa"/>
            <w:tcBorders/>
            <w:shd w:fill="CCEEFF" w:val="clear"/>
            <w:vAlign w:val="bottom"/>
          </w:tcPr>
          <w:p>
            <w:pPr>
              <w:pStyle w:val="TableContents"/>
              <w:bidi w:val="0"/>
              <w:spacing w:before="0" w:after="283"/>
              <w:jc w:val="left"/>
              <w:rPr/>
            </w:pPr>
            <w:r>
              <w:rPr/>
              <w:t> </w:t>
            </w:r>
          </w:p>
        </w:tc>
      </w:tr>
      <w:tr>
        <w:trPr/>
        <w:tc>
          <w:tcPr>
            <w:tcW w:w="385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6" w:space="0" w:color="000000"/>
            </w:tcBorders>
            <w:tcMar>
              <w:bottom w:w="45" w:type="dxa"/>
            </w:tcMar>
            <w:vAlign w:val="bottom"/>
          </w:tcPr>
          <w:p>
            <w:pPr>
              <w:pStyle w:val="TableContents"/>
              <w:bidi w:val="0"/>
              <w:spacing w:before="0" w:after="283"/>
              <w:jc w:val="left"/>
              <w:rPr/>
            </w:pPr>
            <w:r>
              <w:rPr/>
              <w:t>$</w:t>
            </w:r>
          </w:p>
        </w:tc>
        <w:tc>
          <w:tcPr>
            <w:tcW w:w="590" w:type="dxa"/>
            <w:tcBorders>
              <w:bottom w:val="double" w:sz="6" w:space="0" w:color="000000"/>
            </w:tcBorders>
            <w:tcMar>
              <w:bottom w:w="45" w:type="dxa"/>
            </w:tcMar>
            <w:vAlign w:val="bottom"/>
          </w:tcPr>
          <w:p>
            <w:pPr>
              <w:pStyle w:val="TableContents"/>
              <w:bidi w:val="0"/>
              <w:spacing w:before="0" w:after="283"/>
              <w:jc w:val="right"/>
              <w:rPr/>
            </w:pPr>
            <w:r>
              <w:rPr/>
              <w:t>5,217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6" w:type="dxa"/>
            <w:tcBorders>
              <w:bottom w:val="double" w:sz="6" w:space="0" w:color="000000"/>
            </w:tcBorders>
            <w:tcMar>
              <w:bottom w:w="45" w:type="dxa"/>
            </w:tcMar>
            <w:vAlign w:val="bottom"/>
          </w:tcPr>
          <w:p>
            <w:pPr>
              <w:pStyle w:val="TableContents"/>
              <w:bidi w:val="0"/>
              <w:spacing w:before="0" w:after="283"/>
              <w:jc w:val="left"/>
              <w:rPr/>
            </w:pPr>
            <w:r>
              <w:rPr/>
              <w:t>$</w:t>
            </w:r>
          </w:p>
        </w:tc>
        <w:tc>
          <w:tcPr>
            <w:tcW w:w="924" w:type="dxa"/>
            <w:tcBorders>
              <w:bottom w:val="double" w:sz="6" w:space="0" w:color="000000"/>
            </w:tcBorders>
            <w:tcMar>
              <w:bottom w:w="45" w:type="dxa"/>
            </w:tcMar>
            <w:vAlign w:val="bottom"/>
          </w:tcPr>
          <w:p>
            <w:pPr>
              <w:pStyle w:val="TableContents"/>
              <w:bidi w:val="0"/>
              <w:spacing w:before="0" w:after="283"/>
              <w:jc w:val="right"/>
              <w:rPr/>
            </w:pPr>
            <w:r>
              <w:rPr/>
              <w:t>4,718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6" w:space="0" w:color="000000"/>
            </w:tcBorders>
            <w:tcMar>
              <w:bottom w:w="45" w:type="dxa"/>
            </w:tcMar>
            <w:vAlign w:val="bottom"/>
          </w:tcPr>
          <w:p>
            <w:pPr>
              <w:pStyle w:val="TableContents"/>
              <w:bidi w:val="0"/>
              <w:spacing w:before="0" w:after="283"/>
              <w:jc w:val="left"/>
              <w:rPr/>
            </w:pPr>
            <w:r>
              <w:rPr/>
              <w:t>$</w:t>
            </w:r>
          </w:p>
        </w:tc>
        <w:tc>
          <w:tcPr>
            <w:tcW w:w="410" w:type="dxa"/>
            <w:tcBorders>
              <w:bottom w:val="double" w:sz="6" w:space="0" w:color="000000"/>
            </w:tcBorders>
            <w:tcMar>
              <w:bottom w:w="45" w:type="dxa"/>
            </w:tcMar>
            <w:vAlign w:val="bottom"/>
          </w:tcPr>
          <w:p>
            <w:pPr>
              <w:pStyle w:val="TableContents"/>
              <w:bidi w:val="0"/>
              <w:spacing w:before="0" w:after="283"/>
              <w:jc w:val="right"/>
              <w:rPr/>
            </w:pPr>
            <w:r>
              <w:rPr/>
              <w:t>499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6" w:space="0" w:color="000000"/>
            </w:tcBorders>
            <w:tcMar>
              <w:bottom w:w="45" w:type="dxa"/>
            </w:tcMar>
            <w:vAlign w:val="bottom"/>
          </w:tcPr>
          <w:p>
            <w:pPr>
              <w:pStyle w:val="TableContents"/>
              <w:bidi w:val="0"/>
              <w:spacing w:before="0" w:after="283"/>
              <w:jc w:val="left"/>
              <w:rPr/>
            </w:pPr>
            <w:r>
              <w:rPr/>
              <w:t>$</w:t>
            </w:r>
          </w:p>
        </w:tc>
        <w:tc>
          <w:tcPr>
            <w:tcW w:w="590" w:type="dxa"/>
            <w:tcBorders>
              <w:bottom w:val="double" w:sz="6" w:space="0" w:color="000000"/>
            </w:tcBorders>
            <w:tcMar>
              <w:bottom w:w="45" w:type="dxa"/>
            </w:tcMar>
            <w:vAlign w:val="bottom"/>
          </w:tcPr>
          <w:p>
            <w:pPr>
              <w:pStyle w:val="TableContents"/>
              <w:bidi w:val="0"/>
              <w:spacing w:before="0" w:after="283"/>
              <w:jc w:val="right"/>
              <w:rPr/>
            </w:pPr>
            <w:r>
              <w:rPr/>
              <w:t>5,007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6" w:type="dxa"/>
            <w:tcBorders>
              <w:bottom w:val="double" w:sz="6" w:space="0" w:color="000000"/>
            </w:tcBorders>
            <w:tcMar>
              <w:bottom w:w="45" w:type="dxa"/>
            </w:tcMar>
            <w:vAlign w:val="bottom"/>
          </w:tcPr>
          <w:p>
            <w:pPr>
              <w:pStyle w:val="TableContents"/>
              <w:bidi w:val="0"/>
              <w:spacing w:before="0" w:after="283"/>
              <w:jc w:val="left"/>
              <w:rPr/>
            </w:pPr>
            <w:r>
              <w:rPr/>
              <w:t>$</w:t>
            </w:r>
          </w:p>
        </w:tc>
        <w:tc>
          <w:tcPr>
            <w:tcW w:w="924" w:type="dxa"/>
            <w:tcBorders>
              <w:bottom w:val="double" w:sz="6" w:space="0" w:color="000000"/>
            </w:tcBorders>
            <w:tcMar>
              <w:bottom w:w="45" w:type="dxa"/>
            </w:tcMar>
            <w:vAlign w:val="bottom"/>
          </w:tcPr>
          <w:p>
            <w:pPr>
              <w:pStyle w:val="TableContents"/>
              <w:bidi w:val="0"/>
              <w:spacing w:before="0" w:after="283"/>
              <w:jc w:val="right"/>
              <w:rPr/>
            </w:pPr>
            <w:r>
              <w:rPr/>
              <w:t>3,994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6" w:space="0" w:color="000000"/>
            </w:tcBorders>
            <w:tcMar>
              <w:bottom w:w="45" w:type="dxa"/>
            </w:tcMar>
            <w:vAlign w:val="bottom"/>
          </w:tcPr>
          <w:p>
            <w:pPr>
              <w:pStyle w:val="TableContents"/>
              <w:bidi w:val="0"/>
              <w:spacing w:before="0" w:after="283"/>
              <w:jc w:val="left"/>
              <w:rPr/>
            </w:pPr>
            <w:r>
              <w:rPr/>
              <w:t>$</w:t>
            </w:r>
          </w:p>
        </w:tc>
        <w:tc>
          <w:tcPr>
            <w:tcW w:w="590" w:type="dxa"/>
            <w:tcBorders>
              <w:bottom w:val="double" w:sz="6" w:space="0" w:color="000000"/>
            </w:tcBorders>
            <w:tcMar>
              <w:bottom w:w="45" w:type="dxa"/>
            </w:tcMar>
            <w:vAlign w:val="bottom"/>
          </w:tcPr>
          <w:p>
            <w:pPr>
              <w:pStyle w:val="TableContents"/>
              <w:bidi w:val="0"/>
              <w:spacing w:before="0" w:after="283"/>
              <w:jc w:val="right"/>
              <w:rPr/>
            </w:pPr>
            <w:r>
              <w:rPr/>
              <w:t>1,013</w:t>
            </w:r>
          </w:p>
        </w:tc>
        <w:tc>
          <w:tcPr>
            <w:tcW w:w="120"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Under the previous contract manufacturing agreement between ADMA and Biotest, intermediate by-products derived from the manufacture of ASCENIV were property of Biotest. As a result of the acquisition of certain assets from Biotest on June 6, 2017, ADMA obtained the right to these intermediate products, which are being amortized over a period of seven years. The intangible rights to Nabi-HB are also being amortized over a period of seven years. </w:t>
      </w:r>
      <w:r>
        <w:rPr>
          <w:rFonts w:ascii="Times New Roman" w:hAnsi="Times New Roman"/>
          <w:b w:val="false"/>
          <w:i w:val="false"/>
          <w:caps w:val="false"/>
          <w:smallCaps w:val="false"/>
          <w:color w:val="000000"/>
          <w:spacing w:val="0"/>
          <w:sz w:val="20"/>
          <w:shd w:fill="FFFFFF" w:val="clear"/>
        </w:rPr>
        <w:t>During the year ended December 31, 2023, the Company implemented an internally developed data intelligence and analytics program at a cost of approximately $0.2 million which is being amortized over a period of four years</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Amortization expense related to the Company’s intangible assets for the years ended December 31, 2023, 2022 and 2021 was $0.7 million. Estimated aggregate future aggregate amortization expense is expected to be as follows (in thousands):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1320" w:type="dxa"/>
        <w:jc w:val="left"/>
        <w:tblInd w:w="0" w:type="dxa"/>
        <w:tblLayout w:type="fixed"/>
        <w:tblCellMar>
          <w:top w:w="0" w:type="dxa"/>
          <w:left w:w="0" w:type="dxa"/>
          <w:bottom w:w="0" w:type="dxa"/>
          <w:right w:w="0" w:type="dxa"/>
        </w:tblCellMar>
      </w:tblPr>
      <w:tblGrid>
        <w:gridCol w:w="530"/>
        <w:gridCol w:w="90"/>
        <w:gridCol w:w="170"/>
        <w:gridCol w:w="410"/>
        <w:gridCol w:w="120"/>
      </w:tblGrid>
      <w:tr>
        <w:trPr/>
        <w:tc>
          <w:tcPr>
            <w:tcW w:w="53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2024</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410" w:type="dxa"/>
            <w:tcBorders/>
            <w:shd w:fill="CCEEFF" w:val="clear"/>
            <w:vAlign w:val="bottom"/>
          </w:tcPr>
          <w:p>
            <w:pPr>
              <w:pStyle w:val="TableContents"/>
              <w:bidi w:val="0"/>
              <w:spacing w:before="0" w:after="283"/>
              <w:jc w:val="right"/>
              <w:rPr/>
            </w:pPr>
            <w:r>
              <w:rPr/>
              <w:t>351</w:t>
            </w:r>
          </w:p>
        </w:tc>
        <w:tc>
          <w:tcPr>
            <w:tcW w:w="120" w:type="dxa"/>
            <w:tcBorders/>
            <w:shd w:fill="CCEEFF" w:val="clear"/>
            <w:vAlign w:val="bottom"/>
          </w:tcPr>
          <w:p>
            <w:pPr>
              <w:pStyle w:val="TableContents"/>
              <w:bidi w:val="0"/>
              <w:spacing w:before="0" w:after="283"/>
              <w:jc w:val="left"/>
              <w:rPr/>
            </w:pPr>
            <w:r>
              <w:rPr/>
              <w:t> </w:t>
            </w:r>
          </w:p>
        </w:tc>
      </w:tr>
      <w:tr>
        <w:trPr/>
        <w:tc>
          <w:tcPr>
            <w:tcW w:w="53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52</w:t>
            </w:r>
          </w:p>
        </w:tc>
        <w:tc>
          <w:tcPr>
            <w:tcW w:w="120" w:type="dxa"/>
            <w:tcBorders/>
            <w:vAlign w:val="bottom"/>
          </w:tcPr>
          <w:p>
            <w:pPr>
              <w:pStyle w:val="TableContents"/>
              <w:bidi w:val="0"/>
              <w:spacing w:before="0" w:after="283"/>
              <w:jc w:val="left"/>
              <w:rPr/>
            </w:pPr>
            <w:r>
              <w:rPr/>
              <w:t> </w:t>
            </w:r>
          </w:p>
        </w:tc>
      </w:tr>
      <w:tr>
        <w:trPr/>
        <w:tc>
          <w:tcPr>
            <w:tcW w:w="530" w:type="dxa"/>
            <w:tcBorders/>
            <w:shd w:fill="CCEEFF" w:val="clear"/>
            <w:vAlign w:val="bottom"/>
          </w:tcPr>
          <w:p>
            <w:pPr>
              <w:pStyle w:val="TableContents"/>
              <w:bidi w:val="0"/>
              <w:spacing w:before="0" w:after="0"/>
              <w:jc w:val="left"/>
              <w:rPr/>
            </w:pPr>
            <w:r>
              <w:rPr/>
              <w:t>2026</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52</w:t>
            </w:r>
          </w:p>
        </w:tc>
        <w:tc>
          <w:tcPr>
            <w:tcW w:w="120" w:type="dxa"/>
            <w:tcBorders/>
            <w:shd w:fill="CCEEFF" w:val="clear"/>
            <w:vAlign w:val="bottom"/>
          </w:tcPr>
          <w:p>
            <w:pPr>
              <w:pStyle w:val="TableContents"/>
              <w:bidi w:val="0"/>
              <w:spacing w:before="0" w:after="283"/>
              <w:jc w:val="left"/>
              <w:rPr/>
            </w:pPr>
            <w:r>
              <w:rPr/>
              <w:t> </w:t>
            </w:r>
          </w:p>
        </w:tc>
      </w:tr>
      <w:tr>
        <w:trPr/>
        <w:tc>
          <w:tcPr>
            <w:tcW w:w="530" w:type="dxa"/>
            <w:tcBorders/>
            <w:vAlign w:val="bottom"/>
          </w:tcPr>
          <w:p>
            <w:pPr>
              <w:pStyle w:val="TableContents"/>
              <w:bidi w:val="0"/>
              <w:spacing w:before="0" w:after="283"/>
              <w:jc w:val="left"/>
              <w:rPr/>
            </w:pPr>
            <w:r>
              <w:rPr/>
              <w:t>2027</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44</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4675" w:type="dxa"/>
        <w:jc w:val="left"/>
        <w:tblInd w:w="0" w:type="dxa"/>
        <w:tblLayout w:type="fixed"/>
        <w:tblCellMar>
          <w:top w:w="0" w:type="dxa"/>
          <w:left w:w="0" w:type="dxa"/>
          <w:bottom w:w="0" w:type="dxa"/>
          <w:right w:w="0" w:type="dxa"/>
        </w:tblCellMar>
      </w:tblPr>
      <w:tblGrid>
        <w:gridCol w:w="185"/>
        <w:gridCol w:w="4490"/>
      </w:tblGrid>
      <w:tr>
        <w:trPr/>
        <w:tc>
          <w:tcPr>
            <w:tcW w:w="185" w:type="dxa"/>
            <w:tcBorders/>
            <w:vAlign w:val="center"/>
          </w:tcPr>
          <w:p>
            <w:pPr>
              <w:pStyle w:val="TableContents"/>
              <w:bidi w:val="0"/>
              <w:spacing w:before="0" w:after="0"/>
              <w:ind w:left="0" w:right="0" w:hanging="0"/>
              <w:jc w:val="left"/>
              <w:rPr/>
            </w:pPr>
            <w:r>
              <w:rPr>
                <w:rStyle w:val="StrongEmphasis"/>
                <w:rFonts w:ascii="Times New Roman" w:hAnsi="Times New Roman"/>
                <w:sz w:val="20"/>
              </w:rPr>
              <w:t>6.</w:t>
            </w:r>
          </w:p>
        </w:tc>
        <w:tc>
          <w:tcPr>
            <w:tcW w:w="4490"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ACCRUED EXPENSES AND OTHER LIABILITIES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Accrued expenses and other current liabilities at December 31, 2023 and 2022 are as follows: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8278" w:type="dxa"/>
        <w:jc w:val="left"/>
        <w:tblInd w:w="0" w:type="dxa"/>
        <w:tblLayout w:type="fixed"/>
        <w:tblCellMar>
          <w:top w:w="0" w:type="dxa"/>
          <w:left w:w="0" w:type="dxa"/>
          <w:bottom w:w="0" w:type="dxa"/>
          <w:right w:w="0" w:type="dxa"/>
        </w:tblCellMar>
      </w:tblPr>
      <w:tblGrid>
        <w:gridCol w:w="4190"/>
        <w:gridCol w:w="90"/>
        <w:gridCol w:w="329"/>
        <w:gridCol w:w="1385"/>
        <w:gridCol w:w="90"/>
        <w:gridCol w:w="90"/>
        <w:gridCol w:w="382"/>
        <w:gridCol w:w="1602"/>
        <w:gridCol w:w="120"/>
      </w:tblGrid>
      <w:tr>
        <w:trPr/>
        <w:tc>
          <w:tcPr>
            <w:tcW w:w="419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714"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 xml:space="preserve">December 31, 2023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283"/>
              <w:jc w:val="center"/>
              <w:rPr/>
            </w:pPr>
            <w:r>
              <w:rPr>
                <w:rStyle w:val="StrongEmphasis"/>
              </w:rPr>
              <w:t>December 31, 2022</w:t>
            </w:r>
          </w:p>
        </w:tc>
        <w:tc>
          <w:tcPr>
            <w:tcW w:w="120" w:type="dxa"/>
            <w:tcBorders/>
            <w:vAlign w:val="bottom"/>
          </w:tcPr>
          <w:p>
            <w:pPr>
              <w:pStyle w:val="TableContents"/>
              <w:bidi w:val="0"/>
              <w:spacing w:before="0" w:after="283"/>
              <w:jc w:val="left"/>
              <w:rPr/>
            </w:pPr>
            <w:r>
              <w:rPr/>
              <w:t> </w:t>
            </w:r>
          </w:p>
        </w:tc>
      </w:tr>
      <w:tr>
        <w:trPr/>
        <w:tc>
          <w:tcPr>
            <w:tcW w:w="4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3878" w:type="dxa"/>
            <w:gridSpan w:val="6"/>
            <w:tcBorders/>
            <w:vAlign w:val="bottom"/>
          </w:tcPr>
          <w:p>
            <w:pPr>
              <w:pStyle w:val="TableContents"/>
              <w:bidi w:val="0"/>
              <w:spacing w:before="0" w:after="283"/>
              <w:jc w:val="center"/>
              <w:rPr/>
            </w:pPr>
            <w:r>
              <w:rPr>
                <w:i/>
              </w:rPr>
              <w:t>(In thousands)</w:t>
            </w:r>
            <w:r>
              <w:rPr/>
              <w:t xml:space="preserve">    </w:t>
            </w:r>
          </w:p>
        </w:tc>
        <w:tc>
          <w:tcPr>
            <w:tcW w:w="120" w:type="dxa"/>
            <w:tcBorders/>
            <w:vAlign w:val="bottom"/>
          </w:tcPr>
          <w:p>
            <w:pPr>
              <w:pStyle w:val="TableContents"/>
              <w:bidi w:val="0"/>
              <w:spacing w:before="0" w:after="283"/>
              <w:jc w:val="left"/>
              <w:rPr/>
            </w:pPr>
            <w:r>
              <w:rPr/>
              <w:t> </w:t>
            </w:r>
          </w:p>
        </w:tc>
      </w:tr>
      <w:tr>
        <w:trPr/>
        <w:tc>
          <w:tcPr>
            <w:tcW w:w="41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rebates</w:t>
            </w:r>
          </w:p>
        </w:tc>
        <w:tc>
          <w:tcPr>
            <w:tcW w:w="9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w:t>
            </w:r>
          </w:p>
        </w:tc>
        <w:tc>
          <w:tcPr>
            <w:tcW w:w="1385" w:type="dxa"/>
            <w:tcBorders/>
            <w:shd w:fill="CCEEFF" w:val="clear"/>
            <w:vAlign w:val="bottom"/>
          </w:tcPr>
          <w:p>
            <w:pPr>
              <w:pStyle w:val="TableContents"/>
              <w:bidi w:val="0"/>
              <w:spacing w:before="0" w:after="283"/>
              <w:jc w:val="right"/>
              <w:rPr/>
            </w:pPr>
            <w:r>
              <w:rPr/>
              <w:t>16,608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82" w:type="dxa"/>
            <w:tcBorders/>
            <w:shd w:fill="CCEEFF" w:val="clear"/>
            <w:vAlign w:val="bottom"/>
          </w:tcPr>
          <w:p>
            <w:pPr>
              <w:pStyle w:val="TableContents"/>
              <w:bidi w:val="0"/>
              <w:spacing w:before="0" w:after="283"/>
              <w:jc w:val="left"/>
              <w:rPr/>
            </w:pPr>
            <w:r>
              <w:rPr/>
              <w:t>$</w:t>
            </w:r>
          </w:p>
        </w:tc>
        <w:tc>
          <w:tcPr>
            <w:tcW w:w="1602" w:type="dxa"/>
            <w:tcBorders/>
            <w:shd w:fill="CCEEFF" w:val="clear"/>
            <w:vAlign w:val="bottom"/>
          </w:tcPr>
          <w:p>
            <w:pPr>
              <w:pStyle w:val="TableContents"/>
              <w:bidi w:val="0"/>
              <w:spacing w:before="0" w:after="283"/>
              <w:jc w:val="right"/>
              <w:rPr/>
            </w:pPr>
            <w:r>
              <w:rPr/>
              <w:t>11,437</w:t>
            </w:r>
          </w:p>
        </w:tc>
        <w:tc>
          <w:tcPr>
            <w:tcW w:w="120" w:type="dxa"/>
            <w:tcBorders/>
            <w:shd w:fill="CCEEFF" w:val="clear"/>
            <w:vAlign w:val="bottom"/>
          </w:tcPr>
          <w:p>
            <w:pPr>
              <w:pStyle w:val="TableContents"/>
              <w:bidi w:val="0"/>
              <w:spacing w:before="0" w:after="283"/>
              <w:jc w:val="left"/>
              <w:rPr/>
            </w:pPr>
            <w:r>
              <w:rPr/>
              <w:t> </w:t>
            </w:r>
          </w:p>
        </w:tc>
      </w:tr>
      <w:tr>
        <w:trPr/>
        <w:tc>
          <w:tcPr>
            <w:tcW w:w="41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distribution fees</w:t>
            </w:r>
          </w:p>
        </w:tc>
        <w:tc>
          <w:tcPr>
            <w:tcW w:w="9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5,954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82"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3,167</w:t>
            </w:r>
          </w:p>
        </w:tc>
        <w:tc>
          <w:tcPr>
            <w:tcW w:w="120" w:type="dxa"/>
            <w:tcBorders/>
            <w:vAlign w:val="bottom"/>
          </w:tcPr>
          <w:p>
            <w:pPr>
              <w:pStyle w:val="TableContents"/>
              <w:bidi w:val="0"/>
              <w:spacing w:before="0" w:after="283"/>
              <w:jc w:val="left"/>
              <w:rPr/>
            </w:pPr>
            <w:r>
              <w:rPr/>
              <w:t> </w:t>
            </w:r>
          </w:p>
        </w:tc>
      </w:tr>
      <w:tr>
        <w:trPr/>
        <w:tc>
          <w:tcPr>
            <w:tcW w:w="41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incentives</w:t>
            </w:r>
          </w:p>
        </w:tc>
        <w:tc>
          <w:tcPr>
            <w:tcW w:w="9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4,961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82"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4,194</w:t>
            </w:r>
          </w:p>
        </w:tc>
        <w:tc>
          <w:tcPr>
            <w:tcW w:w="120" w:type="dxa"/>
            <w:tcBorders/>
            <w:shd w:fill="CCEEFF" w:val="clear"/>
            <w:vAlign w:val="bottom"/>
          </w:tcPr>
          <w:p>
            <w:pPr>
              <w:pStyle w:val="TableContents"/>
              <w:bidi w:val="0"/>
              <w:spacing w:before="0" w:after="283"/>
              <w:jc w:val="left"/>
              <w:rPr/>
            </w:pPr>
            <w:r>
              <w:rPr/>
              <w:t> </w:t>
            </w:r>
          </w:p>
        </w:tc>
      </w:tr>
      <w:tr>
        <w:trPr/>
        <w:tc>
          <w:tcPr>
            <w:tcW w:w="41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testing</w:t>
            </w:r>
          </w:p>
        </w:tc>
        <w:tc>
          <w:tcPr>
            <w:tcW w:w="9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282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82"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310</w:t>
            </w:r>
          </w:p>
        </w:tc>
        <w:tc>
          <w:tcPr>
            <w:tcW w:w="120" w:type="dxa"/>
            <w:tcBorders/>
            <w:vAlign w:val="bottom"/>
          </w:tcPr>
          <w:p>
            <w:pPr>
              <w:pStyle w:val="TableContents"/>
              <w:bidi w:val="0"/>
              <w:spacing w:before="0" w:after="283"/>
              <w:jc w:val="left"/>
              <w:rPr/>
            </w:pPr>
            <w:r>
              <w:rPr/>
              <w:t> </w:t>
            </w:r>
          </w:p>
        </w:tc>
      </w:tr>
      <w:tr>
        <w:trPr/>
        <w:tc>
          <w:tcPr>
            <w:tcW w:w="4190" w:type="dxa"/>
            <w:tcBorders/>
            <w:shd w:fill="CCEEFF" w:val="clear"/>
            <w:vAlign w:val="bottom"/>
          </w:tcPr>
          <w:p>
            <w:pPr>
              <w:pStyle w:val="TableContents"/>
              <w:bidi w:val="0"/>
              <w:spacing w:before="0" w:after="0"/>
              <w:ind w:left="180" w:right="0" w:hanging="180"/>
              <w:jc w:val="left"/>
              <w:rPr>
                <w:color w:val="000000"/>
              </w:rPr>
            </w:pPr>
            <w:r>
              <w:rPr>
                <w:color w:val="000000"/>
              </w:rPr>
              <w:t>Accrued payroll and other compensation</w:t>
            </w:r>
          </w:p>
        </w:tc>
        <w:tc>
          <w:tcPr>
            <w:tcW w:w="9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2,203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82"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4,086</w:t>
            </w:r>
          </w:p>
        </w:tc>
        <w:tc>
          <w:tcPr>
            <w:tcW w:w="120" w:type="dxa"/>
            <w:tcBorders/>
            <w:shd w:fill="CCEEFF" w:val="clear"/>
            <w:vAlign w:val="bottom"/>
          </w:tcPr>
          <w:p>
            <w:pPr>
              <w:pStyle w:val="TableContents"/>
              <w:bidi w:val="0"/>
              <w:spacing w:before="0" w:after="283"/>
              <w:jc w:val="left"/>
              <w:rPr/>
            </w:pPr>
            <w:r>
              <w:rPr/>
              <w:t> </w:t>
            </w:r>
          </w:p>
        </w:tc>
      </w:tr>
      <w:tr>
        <w:trPr/>
        <w:tc>
          <w:tcPr>
            <w:tcW w:w="41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w:t>
            </w:r>
          </w:p>
        </w:tc>
        <w:tc>
          <w:tcPr>
            <w:tcW w:w="90" w:type="dxa"/>
            <w:tcBorders/>
            <w:vAlign w:val="bottom"/>
          </w:tcPr>
          <w:p>
            <w:pPr>
              <w:pStyle w:val="TableContents"/>
              <w:bidi w:val="0"/>
              <w:spacing w:before="0" w:after="283"/>
              <w:jc w:val="right"/>
              <w:rPr/>
            </w:pPr>
            <w:r>
              <w:rPr/>
              <w:t> </w:t>
            </w:r>
          </w:p>
        </w:tc>
        <w:tc>
          <w:tcPr>
            <w:tcW w:w="32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5" w:type="dxa"/>
            <w:tcBorders>
              <w:bottom w:val="single" w:sz="12" w:space="0" w:color="000000"/>
            </w:tcBorders>
            <w:tcMar>
              <w:bottom w:w="28" w:type="dxa"/>
            </w:tcMar>
            <w:vAlign w:val="bottom"/>
          </w:tcPr>
          <w:p>
            <w:pPr>
              <w:pStyle w:val="TableContents"/>
              <w:bidi w:val="0"/>
              <w:spacing w:before="0" w:after="283"/>
              <w:jc w:val="right"/>
              <w:rPr/>
            </w:pPr>
            <w:r>
              <w:rPr/>
              <w:t>2,911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602" w:type="dxa"/>
            <w:tcBorders>
              <w:bottom w:val="single" w:sz="12" w:space="0" w:color="000000"/>
            </w:tcBorders>
            <w:tcMar>
              <w:bottom w:w="28" w:type="dxa"/>
            </w:tcMar>
            <w:vAlign w:val="bottom"/>
          </w:tcPr>
          <w:p>
            <w:pPr>
              <w:pStyle w:val="TableContents"/>
              <w:bidi w:val="0"/>
              <w:spacing w:before="0" w:after="283"/>
              <w:jc w:val="right"/>
              <w:rPr/>
            </w:pPr>
            <w:r>
              <w:rPr/>
              <w:t>1,796</w:t>
            </w:r>
          </w:p>
        </w:tc>
        <w:tc>
          <w:tcPr>
            <w:tcW w:w="120" w:type="dxa"/>
            <w:tcBorders/>
            <w:vAlign w:val="bottom"/>
          </w:tcPr>
          <w:p>
            <w:pPr>
              <w:pStyle w:val="TableContents"/>
              <w:bidi w:val="0"/>
              <w:spacing w:before="0" w:after="283"/>
              <w:jc w:val="left"/>
              <w:rPr/>
            </w:pPr>
            <w:r>
              <w:rPr/>
              <w:t> </w:t>
            </w:r>
          </w:p>
        </w:tc>
      </w:tr>
      <w:tr>
        <w:trPr/>
        <w:tc>
          <w:tcPr>
            <w:tcW w:w="419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 accrued expenses and other current liabilities</w:t>
            </w:r>
          </w:p>
        </w:tc>
        <w:tc>
          <w:tcPr>
            <w:tcW w:w="90" w:type="dxa"/>
            <w:tcBorders/>
            <w:shd w:fill="CCEEFF" w:val="clear"/>
            <w:vAlign w:val="bottom"/>
          </w:tcPr>
          <w:p>
            <w:pPr>
              <w:pStyle w:val="TableContents"/>
              <w:bidi w:val="0"/>
              <w:spacing w:before="0" w:after="283"/>
              <w:jc w:val="right"/>
              <w:rPr/>
            </w:pPr>
            <w:r>
              <w:rPr/>
              <w:t> </w:t>
            </w:r>
          </w:p>
        </w:tc>
        <w:tc>
          <w:tcPr>
            <w:tcW w:w="329" w:type="dxa"/>
            <w:tcBorders>
              <w:bottom w:val="double" w:sz="6" w:space="0" w:color="000000"/>
            </w:tcBorders>
            <w:shd w:fill="CCEEFF" w:val="clear"/>
            <w:tcMar>
              <w:bottom w:w="28" w:type="dxa"/>
            </w:tcMar>
            <w:vAlign w:val="bottom"/>
          </w:tcPr>
          <w:p>
            <w:pPr>
              <w:pStyle w:val="TableContents"/>
              <w:bidi w:val="0"/>
              <w:spacing w:before="0" w:after="283"/>
              <w:jc w:val="left"/>
              <w:rPr/>
            </w:pPr>
            <w:r>
              <w:rPr/>
              <w:t>$</w:t>
            </w:r>
          </w:p>
        </w:tc>
        <w:tc>
          <w:tcPr>
            <w:tcW w:w="1385" w:type="dxa"/>
            <w:tcBorders>
              <w:bottom w:val="double" w:sz="6" w:space="0" w:color="000000"/>
            </w:tcBorders>
            <w:shd w:fill="CCEEFF" w:val="clear"/>
            <w:tcMar>
              <w:bottom w:w="28" w:type="dxa"/>
            </w:tcMar>
            <w:vAlign w:val="bottom"/>
          </w:tcPr>
          <w:p>
            <w:pPr>
              <w:pStyle w:val="TableContents"/>
              <w:bidi w:val="0"/>
              <w:spacing w:before="0" w:after="283"/>
              <w:jc w:val="right"/>
              <w:rPr/>
            </w:pPr>
            <w:r>
              <w:rPr/>
              <w:t>32,919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82" w:type="dxa"/>
            <w:tcBorders>
              <w:bottom w:val="double" w:sz="6" w:space="0" w:color="000000"/>
            </w:tcBorders>
            <w:shd w:fill="CCEEFF" w:val="clear"/>
            <w:tcMar>
              <w:bottom w:w="28" w:type="dxa"/>
            </w:tcMar>
            <w:vAlign w:val="bottom"/>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bottom"/>
          </w:tcPr>
          <w:p>
            <w:pPr>
              <w:pStyle w:val="TableContents"/>
              <w:bidi w:val="0"/>
              <w:spacing w:before="0" w:after="283"/>
              <w:jc w:val="right"/>
              <w:rPr/>
            </w:pPr>
            <w:r>
              <w:rPr/>
              <w:t>24,990</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1855" w:type="dxa"/>
        <w:jc w:val="left"/>
        <w:tblInd w:w="0" w:type="dxa"/>
        <w:tblLayout w:type="fixed"/>
        <w:tblCellMar>
          <w:top w:w="0" w:type="dxa"/>
          <w:left w:w="0" w:type="dxa"/>
          <w:bottom w:w="0" w:type="dxa"/>
          <w:right w:w="0" w:type="dxa"/>
        </w:tblCellMar>
      </w:tblPr>
      <w:tblGrid>
        <w:gridCol w:w="185"/>
        <w:gridCol w:w="1670"/>
      </w:tblGrid>
      <w:tr>
        <w:trPr/>
        <w:tc>
          <w:tcPr>
            <w:tcW w:w="185" w:type="dxa"/>
            <w:tcBorders/>
            <w:vAlign w:val="center"/>
          </w:tcPr>
          <w:p>
            <w:pPr>
              <w:pStyle w:val="TableContents"/>
              <w:bidi w:val="0"/>
              <w:spacing w:before="0" w:after="0"/>
              <w:ind w:left="0" w:right="0" w:hanging="0"/>
              <w:jc w:val="left"/>
              <w:rPr/>
            </w:pPr>
            <w:r>
              <w:rPr>
                <w:rStyle w:val="StrongEmphasis"/>
                <w:rFonts w:ascii="Times New Roman" w:hAnsi="Times New Roman"/>
                <w:sz w:val="20"/>
              </w:rPr>
              <w:t>7.</w:t>
            </w:r>
          </w:p>
        </w:tc>
        <w:tc>
          <w:tcPr>
            <w:tcW w:w="1670"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NOTES PAYABLE</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Senior Notes Payable</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summary of outstanding senior notes payable is as follows: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6128" w:type="dxa"/>
        <w:jc w:val="left"/>
        <w:tblInd w:w="0" w:type="dxa"/>
        <w:tblLayout w:type="fixed"/>
        <w:tblCellMar>
          <w:top w:w="0" w:type="dxa"/>
          <w:left w:w="0" w:type="dxa"/>
          <w:bottom w:w="0" w:type="dxa"/>
          <w:right w:w="0" w:type="dxa"/>
        </w:tblCellMar>
      </w:tblPr>
      <w:tblGrid>
        <w:gridCol w:w="2330"/>
        <w:gridCol w:w="90"/>
        <w:gridCol w:w="283"/>
        <w:gridCol w:w="1386"/>
        <w:gridCol w:w="125"/>
        <w:gridCol w:w="90"/>
        <w:gridCol w:w="283"/>
        <w:gridCol w:w="1386"/>
        <w:gridCol w:w="155"/>
      </w:tblGrid>
      <w:tr>
        <w:trPr/>
        <w:tc>
          <w:tcPr>
            <w:tcW w:w="233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669"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December 31, 2023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669"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December 31, 2022</w:t>
            </w:r>
          </w:p>
        </w:tc>
        <w:tc>
          <w:tcPr>
            <w:tcW w:w="155" w:type="dxa"/>
            <w:tcBorders/>
            <w:vAlign w:val="bottom"/>
          </w:tcPr>
          <w:p>
            <w:pPr>
              <w:pStyle w:val="TableContents"/>
              <w:bidi w:val="0"/>
              <w:spacing w:before="0" w:after="283"/>
              <w:jc w:val="left"/>
              <w:rPr/>
            </w:pPr>
            <w:r>
              <w:rPr/>
              <w:t> </w:t>
            </w:r>
          </w:p>
        </w:tc>
      </w:tr>
      <w:tr>
        <w:trPr/>
        <w:tc>
          <w:tcPr>
            <w:tcW w:w="23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553" w:type="dxa"/>
            <w:gridSpan w:val="6"/>
            <w:tcBorders/>
            <w:vAlign w:val="bottom"/>
          </w:tcPr>
          <w:p>
            <w:pPr>
              <w:pStyle w:val="TableContents"/>
              <w:bidi w:val="0"/>
              <w:spacing w:before="0" w:after="283"/>
              <w:jc w:val="center"/>
              <w:rPr>
                <w:i/>
              </w:rPr>
            </w:pPr>
            <w:r>
              <w:rPr>
                <w:i/>
              </w:rPr>
              <w:t>(In thousands)</w:t>
            </w:r>
          </w:p>
        </w:tc>
        <w:tc>
          <w:tcPr>
            <w:tcW w:w="155" w:type="dxa"/>
            <w:tcBorders/>
            <w:vAlign w:val="bottom"/>
          </w:tcPr>
          <w:p>
            <w:pPr>
              <w:pStyle w:val="TableContents"/>
              <w:bidi w:val="0"/>
              <w:spacing w:before="0" w:after="283"/>
              <w:jc w:val="left"/>
              <w:rPr/>
            </w:pPr>
            <w:r>
              <w:rPr/>
              <w:t> </w:t>
            </w:r>
          </w:p>
        </w:tc>
      </w:tr>
      <w:tr>
        <w:trPr/>
        <w:tc>
          <w:tcPr>
            <w:tcW w:w="233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Term loan</w:t>
            </w:r>
          </w:p>
        </w:tc>
        <w:tc>
          <w:tcPr>
            <w:tcW w:w="9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w:t>
            </w:r>
          </w:p>
        </w:tc>
        <w:tc>
          <w:tcPr>
            <w:tcW w:w="1386" w:type="dxa"/>
            <w:tcBorders/>
            <w:shd w:fill="CCEEFF" w:val="clear"/>
            <w:vAlign w:val="bottom"/>
          </w:tcPr>
          <w:p>
            <w:pPr>
              <w:pStyle w:val="TableContents"/>
              <w:bidi w:val="0"/>
              <w:spacing w:before="0" w:after="283"/>
              <w:jc w:val="right"/>
              <w:rPr/>
            </w:pPr>
            <w:r>
              <w:rPr/>
              <w:t>62,500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w:t>
            </w:r>
          </w:p>
        </w:tc>
        <w:tc>
          <w:tcPr>
            <w:tcW w:w="1386" w:type="dxa"/>
            <w:tcBorders/>
            <w:shd w:fill="CCEEFF" w:val="clear"/>
            <w:vAlign w:val="bottom"/>
          </w:tcPr>
          <w:p>
            <w:pPr>
              <w:pStyle w:val="TableContents"/>
              <w:bidi w:val="0"/>
              <w:spacing w:before="0" w:after="283"/>
              <w:jc w:val="right"/>
              <w:rPr/>
            </w:pPr>
            <w:r>
              <w:rPr/>
              <w:t>154,748</w:t>
            </w:r>
          </w:p>
        </w:tc>
        <w:tc>
          <w:tcPr>
            <w:tcW w:w="155" w:type="dxa"/>
            <w:tcBorders/>
            <w:shd w:fill="CCEEFF" w:val="clear"/>
            <w:vAlign w:val="bottom"/>
          </w:tcPr>
          <w:p>
            <w:pPr>
              <w:pStyle w:val="TableContents"/>
              <w:bidi w:val="0"/>
              <w:spacing w:before="0" w:after="283"/>
              <w:jc w:val="left"/>
              <w:rPr/>
            </w:pPr>
            <w:r>
              <w:rPr/>
              <w:t> </w:t>
            </w:r>
          </w:p>
        </w:tc>
      </w:tr>
      <w:tr>
        <w:trPr/>
        <w:tc>
          <w:tcPr>
            <w:tcW w:w="2330" w:type="dxa"/>
            <w:tcBorders/>
            <w:vAlign w:val="bottom"/>
          </w:tcPr>
          <w:p>
            <w:pPr>
              <w:pStyle w:val="TableContents"/>
              <w:bidi w:val="0"/>
              <w:spacing w:before="0" w:after="0"/>
              <w:ind w:left="180" w:right="0" w:hanging="180"/>
              <w:jc w:val="left"/>
              <w:rPr/>
            </w:pPr>
            <w:r>
              <w:rPr/>
              <w:t>Revolving credit facility</w:t>
            </w:r>
          </w:p>
        </w:tc>
        <w:tc>
          <w:tcPr>
            <w:tcW w:w="90"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72,500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233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w:t>
            </w:r>
          </w:p>
        </w:tc>
        <w:tc>
          <w:tcPr>
            <w:tcW w:w="9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330" w:type="dxa"/>
            <w:tcBorders/>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Debt discount</w:t>
            </w:r>
          </w:p>
        </w:tc>
        <w:tc>
          <w:tcPr>
            <w:tcW w:w="90" w:type="dxa"/>
            <w:tcBorders/>
            <w:vAlign w:val="bottom"/>
          </w:tcPr>
          <w:p>
            <w:pPr>
              <w:pStyle w:val="TableContents"/>
              <w:bidi w:val="0"/>
              <w:spacing w:before="0" w:after="283"/>
              <w:jc w:val="right"/>
              <w:rPr/>
            </w:pPr>
            <w:r>
              <w:rPr/>
              <w:t> </w:t>
            </w:r>
          </w:p>
        </w:tc>
        <w:tc>
          <w:tcPr>
            <w:tcW w:w="2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before="0" w:after="283"/>
              <w:jc w:val="right"/>
              <w:rPr/>
            </w:pPr>
            <w:r>
              <w:rPr/>
              <w:t>(4,406</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2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6" w:type="dxa"/>
            <w:tcBorders>
              <w:bottom w:val="single" w:sz="12" w:space="0" w:color="000000"/>
            </w:tcBorders>
            <w:tcMar>
              <w:bottom w:w="28" w:type="dxa"/>
            </w:tcMar>
            <w:vAlign w:val="bottom"/>
          </w:tcPr>
          <w:p>
            <w:pPr>
              <w:pStyle w:val="TableContents"/>
              <w:bidi w:val="0"/>
              <w:spacing w:before="0" w:after="283"/>
              <w:jc w:val="right"/>
              <w:rPr/>
            </w:pPr>
            <w:r>
              <w:rPr/>
              <w:t>(11,915</w:t>
            </w:r>
          </w:p>
        </w:tc>
        <w:tc>
          <w:tcPr>
            <w:tcW w:w="155" w:type="dxa"/>
            <w:tcBorders/>
            <w:vAlign w:val="bottom"/>
          </w:tcPr>
          <w:p>
            <w:pPr>
              <w:pStyle w:val="TableContents"/>
              <w:bidi w:val="0"/>
              <w:spacing w:before="0" w:after="283"/>
              <w:jc w:val="left"/>
              <w:rPr/>
            </w:pPr>
            <w:r>
              <w:rPr/>
              <w:t>)</w:t>
            </w:r>
          </w:p>
        </w:tc>
      </w:tr>
      <w:tr>
        <w:trPr/>
        <w:tc>
          <w:tcPr>
            <w:tcW w:w="233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Senior notes payable</w:t>
            </w:r>
          </w:p>
        </w:tc>
        <w:tc>
          <w:tcPr>
            <w:tcW w:w="90" w:type="dxa"/>
            <w:tcBorders/>
            <w:shd w:fill="CCEEFF" w:val="clear"/>
            <w:vAlign w:val="bottom"/>
          </w:tcPr>
          <w:p>
            <w:pPr>
              <w:pStyle w:val="TableContents"/>
              <w:bidi w:val="0"/>
              <w:spacing w:before="0" w:after="283"/>
              <w:jc w:val="right"/>
              <w:rPr/>
            </w:pPr>
            <w:r>
              <w:rPr/>
              <w:t> </w:t>
            </w:r>
          </w:p>
        </w:tc>
        <w:tc>
          <w:tcPr>
            <w:tcW w:w="283"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1386" w:type="dxa"/>
            <w:tcBorders>
              <w:bottom w:val="double" w:sz="6" w:space="0" w:color="000000"/>
            </w:tcBorders>
            <w:shd w:fill="CCEEFF" w:val="clear"/>
            <w:tcMar>
              <w:bottom w:w="45" w:type="dxa"/>
            </w:tcMar>
            <w:vAlign w:val="bottom"/>
          </w:tcPr>
          <w:p>
            <w:pPr>
              <w:pStyle w:val="TableContents"/>
              <w:bidi w:val="0"/>
              <w:spacing w:before="0" w:after="283"/>
              <w:jc w:val="right"/>
              <w:rPr/>
            </w:pPr>
            <w:r>
              <w:rPr/>
              <w:t>130,594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83"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1386" w:type="dxa"/>
            <w:tcBorders>
              <w:bottom w:val="double" w:sz="6" w:space="0" w:color="000000"/>
            </w:tcBorders>
            <w:shd w:fill="CCEEFF" w:val="clear"/>
            <w:tcMar>
              <w:bottom w:w="45" w:type="dxa"/>
            </w:tcMar>
            <w:vAlign w:val="bottom"/>
          </w:tcPr>
          <w:p>
            <w:pPr>
              <w:pStyle w:val="TableContents"/>
              <w:bidi w:val="0"/>
              <w:spacing w:before="0" w:after="283"/>
              <w:jc w:val="right"/>
              <w:rPr/>
            </w:pPr>
            <w:r>
              <w:rPr/>
              <w:t>142,833</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December 18, 2023 (the “Ares Closing Date”), the Company and all of its subsidiaries entered into a new senior secured credit facility (the “Ares Credit Agreement”) with Ares Capital Corporation and certain credit funds affiliated with Ares Capital Corporation (collectively, “Ares”). The Ares Credit Agreement provides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the Ares Closing Date, the Company used the proceeds from the Ares Loans, along with a portion of its existing cash on hand, to terminate and pay in full all of the outstanding obligations under the Company’s previous senior credit facility (the “Hayfin Credit Facility”) with Hayfin Services LLP (“Hayfin”) including the outstanding principal in the amount of $158.6 million, a prepayment penalty in the amount $11.1 million, an exit fee of $1.6 million, all accrued and unpaid interest outstanding on the Hayfin Credit Facility as of the Ares Closing date, as well as certain fees and expenses related thereto. In connection with the payoff and termination of the Hayfin Credit Facility, the Company also wrote off $15.0 million of unamortized debt discount related to the Hayfin Credit Facility. As a result of this transaction, the Company recorded a loss on the extinguishment of the Hayfin Credit Facility in the amount of $26.2 million, which is mainly comprised of the write-off of unamortized debt discount and the prepayment penalty.</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Borrowings under the term loan initially bear interest at the adjusted Term SOFR for a three-month tenor in effect on the day that is two business days prior to the first day of the applicable calendar quarter plus 6.50% (the “Initial SOFR Term Loan Applicable Margin”). Borrowings under the revolving facility initially bear interest at the adjusted Term SOFR for a three-month tenor in effect on the day that is two business days prior to the first day of the applicable calendar quarter plus 3.75% (the “SOFR Revolving Facility Applicable Margin”). On the Ares Closing Date, the interest rate on the term loan was 11.87774% and the interest rate on the revolving facility was 9.12774%.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the Ares Maturity Date, the Company is required to pay Ares the entire outstanding principal amount underlying the Ares Loans and any accrued and unpaid interest thereon. Prior to the Ares Maturity Date, there are no scheduled principal payments on the Ares Credit Facilities, and the Company is required to make quarterly interest payments to Ares of approximately $3.7 million. The Company may prepay the outstanding principal under the revolving facility, together with any accrued but unpaid interest on the prepaid principal amount, at any time and from time to time upon three business days’ prior written notice with no prepayment premium. However, in the event the Company prepays an amount under the Revolving Facility that is greater than 50% of the current $72.5 million outstanding balance, the Company will still be required to pay interest on 50% of this balance, or $36.3 million, through the term of Ares Credit Facility. The Company may prepay the outstanding principal on the term loan, together with any accrued but unpaid interest on the prepaid principal amount, at any time and from time to time upon three business days’ prior written notice, subject to the payment to Ares of a prepayment premium equal to (i) 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connection with the closing of the Ares Credit Facility, the Company incurred fees and expenses related to the transaction of $2.8 million, including a $1.7 million original discount payable to Ares, all of which was deducted from the Ares loan proceeds. In addition, the Company is also required to pay Ares an exit fee of $1.7 million upon the earlier of any prepayment date or the Ares Maturity Date, and this amount has been accrued as a separate liability in the Company’s consolidated balance sheet as of December 31, 2023. As a result, the Company recognized an aggregate debt discount of $4.4 million as of the Ares Closing Date, and the weighted-average effective interest rate on the Ares Loans as of December 31, 2023 was 11.39%. This debt discount was recorded as a reduction to the face amount of the debt and is being amortized as interest expense over the term of the debt using the interest method.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All of the Company’s obligations under the Ares Credit Agreement are secured by a first-priority lien and security interest in substantially all of the Company’s tangible and intangible assets, including intellectual property and all of the equity interests in the Company’s subsidiaries. The Ares Credit Agreement contains certain representations and warranties, affirmative covenants, negative covenants and conditions that are customarily required for similar debt financings. The negative covenants include certain financial covenants, including maximum total leverage ratios and a $15,000,000 minimum liquidity covenant, and also restrict or limit the Company’s ability and the ability of the Company’s subsidiaries to, among other things and subject to certain exceptions contained in the Ares Credit Agreement, incur new indebtedness; create liens on assets; engage in certain fundamental corporate changes, such as mergers or acquisitions, or changes to the Company’s or the Company’s subsidiaries’ business activities; make certain Investments or Restricted Payments (each as defined in the Ares Credit Agreement); engage in certain affiliate transactions; or enter into, amend or terminate any other agreements that have the impact of restricting the Company’s ability to make loan repayments under the Ares Credit Agreement. As of December 31, 2023 the Company was in compliance with all of the covenants contained in the Ares Credit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the Company will incur an increase in the rate of interest on the Ares Loans of 2% per annum.</w:t>
      </w:r>
    </w:p>
    <w:p>
      <w:pPr>
        <w:pStyle w:val="TextBody"/>
        <w:bidi w:val="0"/>
        <w:spacing w:before="0" w:after="0"/>
        <w:jc w:val="left"/>
        <w:rPr/>
      </w:pPr>
      <w:r>
        <w:rPr/>
      </w:r>
    </w:p>
    <w:p>
      <w:pPr>
        <w:pStyle w:val="TextBody"/>
        <w:bidi w:val="0"/>
        <w:ind w:left="0" w:right="0" w:firstLine="540"/>
        <w:jc w:val="left"/>
        <w:rPr>
          <w:rFonts w:ascii="Times New Roman" w:hAnsi="Times New Roman"/>
          <w:sz w:val="20"/>
        </w:rPr>
      </w:pPr>
      <w:r>
        <w:rPr>
          <w:rFonts w:ascii="Times New Roman" w:hAnsi="Times New Roman"/>
          <w:sz w:val="20"/>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On March 23, 2022 (the “Hayfin Closing Date”), the Company and all of its subsidiaries entered into the Hayfin Credit Agreement with Hayfin. The Hayfin Credit Agreement provided for a senior secured term loan facility in a principal amount of up to $175.0 million (the “Hayfin </w:t>
      </w:r>
      <w:r>
        <w:rPr>
          <w:rFonts w:ascii="Times New Roman" w:hAnsi="Times New Roman"/>
          <w:b w:val="false"/>
          <w:i w:val="false"/>
          <w:caps w:val="false"/>
          <w:smallCaps w:val="false"/>
          <w:color w:val="000000"/>
          <w:spacing w:val="0"/>
          <w:sz w:val="20"/>
          <w:shd w:fill="FFFFFF" w:val="clear"/>
        </w:rPr>
        <w:t>Credit Facility</w:t>
      </w:r>
      <w:r>
        <w:rPr>
          <w:rFonts w:ascii="Times New Roman" w:hAnsi="Times New Roman"/>
          <w:b w:val="false"/>
          <w:i w:val="false"/>
          <w:caps w:val="false"/>
          <w:smallCaps w:val="false"/>
          <w:color w:val="000000"/>
          <w:sz w:val="20"/>
          <w:shd w:fill="FFFFFF" w:val="clear"/>
        </w:rPr>
        <w:t>”), composed of (i) a term loan made on the Hayfin Closing Date in the principal amount of $ 150.0 million</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15"/>
          <w:shd w:fill="FFFFFF" w:val="clear"/>
        </w:rPr>
        <w:t>(</w:t>
      </w:r>
      <w:r>
        <w:rPr>
          <w:rFonts w:ascii="Times New Roman" w:hAnsi="Times New Roman"/>
          <w:b w:val="false"/>
          <w:i w:val="false"/>
          <w:caps w:val="false"/>
          <w:smallCaps w:val="false"/>
          <w:color w:val="000000"/>
          <w:spacing w:val="0"/>
          <w:sz w:val="20"/>
          <w:shd w:fill="FFFFFF" w:val="clear"/>
        </w:rPr>
        <w:t xml:space="preserve">the “Hayfin Closing Date Loan”), and (ii) a delayed draw term loan in the principal amount of </w:t>
      </w:r>
      <w:r>
        <w:rPr>
          <w:rFonts w:ascii="Times New Roman" w:hAnsi="Times New Roman"/>
          <w:b w:val="false"/>
          <w:i w:val="false"/>
          <w:caps w:val="false"/>
          <w:smallCaps w:val="false"/>
          <w:color w:val="000000"/>
          <w:sz w:val="20"/>
          <w:shd w:fill="FFFFFF" w:val="clear"/>
        </w:rPr>
        <w:t xml:space="preserve">$25.0 million (the “Hayfin </w:t>
      </w:r>
      <w:r>
        <w:rPr>
          <w:rFonts w:ascii="Times New Roman" w:hAnsi="Times New Roman"/>
          <w:b w:val="false"/>
          <w:i w:val="false"/>
          <w:caps w:val="false"/>
          <w:smallCaps w:val="false"/>
          <w:color w:val="000000"/>
          <w:spacing w:val="0"/>
          <w:sz w:val="20"/>
          <w:shd w:fill="FFFFFF" w:val="clear"/>
        </w:rPr>
        <w:t>Delayed Draw Loan</w:t>
      </w:r>
      <w:r>
        <w:rPr>
          <w:rFonts w:ascii="Times New Roman" w:hAnsi="Times New Roman"/>
          <w:b w:val="false"/>
          <w:i w:val="false"/>
          <w:caps w:val="false"/>
          <w:smallCaps w:val="false"/>
          <w:color w:val="000000"/>
          <w:sz w:val="20"/>
          <w:shd w:fill="FFFFFF" w:val="clear"/>
        </w:rPr>
        <w:t xml:space="preserve">” </w:t>
      </w:r>
      <w:r>
        <w:rPr>
          <w:rFonts w:ascii="Times New Roman" w:hAnsi="Times New Roman"/>
          <w:b w:val="false"/>
          <w:i w:val="false"/>
          <w:caps w:val="false"/>
          <w:smallCaps w:val="false"/>
          <w:color w:val="000000"/>
          <w:spacing w:val="0"/>
          <w:sz w:val="20"/>
          <w:shd w:fill="FFFFFF" w:val="clear"/>
        </w:rPr>
        <w:t>and, together with the Hayfin Closing Date Loan, the “Hayfin Loans</w:t>
      </w:r>
      <w:r>
        <w:rPr>
          <w:rFonts w:ascii="Times New Roman" w:hAnsi="Times New Roman"/>
          <w:b w:val="false"/>
          <w:i w:val="false"/>
          <w:caps w:val="false"/>
          <w:smallCaps w:val="false"/>
          <w:color w:val="000000"/>
          <w:sz w:val="20"/>
          <w:shd w:fill="FFFFFF" w:val="clear"/>
        </w:rPr>
        <w:t xml:space="preserve">”). </w:t>
      </w:r>
      <w:r>
        <w:rPr>
          <w:rFonts w:ascii="Times New Roman" w:hAnsi="Times New Roman"/>
          <w:b w:val="false"/>
          <w:i w:val="false"/>
          <w:caps w:val="false"/>
          <w:smallCaps w:val="false"/>
          <w:color w:val="000000"/>
          <w:spacing w:val="0"/>
          <w:sz w:val="20"/>
          <w:shd w:fill="FFFFFF" w:val="clear"/>
        </w:rPr>
        <w:t>The Hayfin Delayed Draw Loan was not drawn prior to the Ares Closing Date. The Hayfin Credit Facility had a maturity date of March 23, 2027 (the “Hayfin Maturity Date”), subject to acceleration pursuant to the Hayfin Credit Agreement, including upon an Event of Default (as defined in the Hayfin Credit Agreement).</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the Hayfin Closing Date, the Company used $100.0 million of the Hayfin Closing Date Loan to terminate and pay in full all of the outstanding obligations under the Company’s previously existing credit facility (the “Perceptive Credit Facility”) with Perceptive Credit Holdings II, LP (“Perceptive”). The Company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In connection with the retirement of the Perceptive Credit Facility and all of the obligations thereunder, the Company recorded a loss on extinguishment of debt in the amount of $6.7 million, consisting of the write-off of unamortized discount related to the Perceptive indebtedness and the redemption premium paid to Perceptive.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ind w:left="0" w:right="0" w:firstLine="54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Borrowings under the Hayfin Credit Agreement bore interest, at the Company’s election, at the adjusted Term SOFR for a one-month tenor, subject to a floor of 1.25%, plus an applicable margin of 9.5% (the “Applicable Margin”); provided, however, that upon, and during the continuance of, an Event of Default, the Applicable Margin would increase by an additional 3% per annum. On May 1, 2023 the Hayfin Credit Agreement was amended to reduce the Applicable Margin from 9.5% to 8.5%. On the last day of each calendar month prior to the Ares Closing Date, the Company paid accrued interest to Hayfin. The rate of interest in effect as of the Hayfin Closing Date, December 31, 2022 and the Ares Closing Date was 10.75%, approximately 13.7% and approximately 13.9%, respectively. The Company was also permitted to pay “in kind” a portion of the interest on the Hayfin Loans for each monthly interest period in an amount equal to 2.5% per annum, which was added to the principal amount of the outstanding debt under the Hayfin Credit Facility. From the Hayfin Closing Date through December 31, 2022, $3.0 million of interest was paid in kind and added to the balance of the outstanding Hayfin Loans. For the year ended December 31, 2023, $3.8 million of interest was paid in kind and added to the balance of the outstanding Hayfin Loans.</w:t>
      </w:r>
      <w:r>
        <w:rPr>
          <w:rFonts w:ascii="Times New Roman" w:hAnsi="Times New Roman"/>
          <w:color w:val="000000"/>
          <w:sz w:val="20"/>
          <w:shd w:fill="FFFFFF" w:val="clear"/>
        </w:rPr>
        <w:t xml:space="preserve"> </w:t>
      </w:r>
    </w:p>
    <w:p>
      <w:pPr>
        <w:pStyle w:val="TextBody"/>
        <w:shd w:fill="FFFFFF" w:val="clear"/>
        <w:bidi w:val="0"/>
        <w:spacing w:before="0" w:after="0"/>
        <w:ind w:left="0" w:right="0" w:firstLine="540"/>
        <w:jc w:val="left"/>
        <w:rPr>
          <w:caps w:val="false"/>
          <w:smallCaps w:val="false"/>
          <w:color w:val="000000"/>
          <w:shd w:fill="FFFFFF" w:val="clear"/>
        </w:rPr>
      </w:pPr>
      <w:r>
        <w:rPr>
          <w:caps w:val="false"/>
          <w:smallCaps w:val="false"/>
          <w:color w:val="000000"/>
          <w:shd w:fill="FFFFFF" w:val="clear"/>
        </w:rPr>
        <w:t>   </w:t>
      </w:r>
    </w:p>
    <w:p>
      <w:pPr>
        <w:pStyle w:val="TextBody"/>
        <w:shd w:fill="FFFFFF" w:val="clear"/>
        <w:bidi w:val="0"/>
        <w:spacing w:before="0" w:after="0"/>
        <w:ind w:left="0" w:right="0" w:firstLine="54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the Ares Closing Date, the Company paid Hayfin the entire outstanding principal amount underlying the Hayfin Loans and all accrued and unpaid interest thereon, as well as the exit fee of 1.0% of the outstanding principal amount paid. This exit fee had been recorded separately as a non-current liability on the accompanying consolidated balance sheet as of December 31, 2022. In accordance with the terms of the Hayfin Credit Agreement, the Company also paid Hayfin the early prepayment fee in the amount equal 7.0% of the prepaid principal amount of $158.6 million, or $11.1 million.</w:t>
      </w:r>
    </w:p>
    <w:p>
      <w:pPr>
        <w:pStyle w:val="TextBody"/>
        <w:shd w:fill="FFFFFF" w:val="clear"/>
        <w:bidi w:val="0"/>
        <w:spacing w:before="0" w:after="0"/>
        <w:ind w:left="0" w:right="0" w:firstLine="675"/>
        <w:jc w:val="left"/>
        <w:rPr/>
      </w:pPr>
      <w:r>
        <w:rPr/>
      </w:r>
    </w:p>
    <w:p>
      <w:pPr>
        <w:pStyle w:val="TextBody"/>
        <w:shd w:fill="FFFFFF" w:val="clear"/>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All of the Company’s obligations under the Hayfin Credit Agreement were secured by a first-priority lien and security interest in substantially all of the Company’s tangible and intangible assets, including intellectual property, and all of the equity interests in the Company’s subsidiaries. The Hayfin Credit Agreement contained certain representations and warranties, affirmative covenants, negative covenants and conditions that are customarily required for similar debt financings. The negative covenants restricted or limited the ability of the Company and its subsidiaries to, among other things and subject to certain exceptions contained in the Hayfin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Hayfin Credit Agreement); change its fiscal year; pay dividends; repay certain other indebtedness; engage in certain affiliate transactions; or enter into, amend or terminate any other agreements that have the impact of restricting the Company’s ability to make loan repayments under the Hayfin Credit Agreement. In addition, the Company was required (i) at all times prior to the Hayfin Maturity Date to maintain a minimum cash balance of $6.0 million; and (ii) as of the last day of each fiscal quarter, report IVIG product and related revenues for the trailing 12-month period that exceed the amounts set forth in the Hayfin Credit Agreement, which ranged from $75.0 million for the fiscal quarter ended June 30, 2022 to $110.0 million for the fiscal quarter ended September 30, 2023. As of  the Ares Closing Date and December 31, 2022, the Company was in compliance with all of the covenants contained in the Hayfin Credit Agreement. </w:t>
      </w:r>
    </w:p>
    <w:p>
      <w:pPr>
        <w:pStyle w:val="TextBody"/>
        <w:shd w:fill="FFFFFF" w:val="clear"/>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caps w:val="false"/>
          <w:smallCaps w:val="false"/>
          <w:color w:val="000000"/>
          <w:shd w:fill="FFFFFF" w:val="clear"/>
        </w:rPr>
      </w:pPr>
      <w:r>
        <w:rPr>
          <w:caps w:val="false"/>
          <w:smallCaps w:val="false"/>
          <w:color w:val="000000"/>
          <w:shd w:fill="FFFFFF" w:val="clear"/>
        </w:rPr>
        <w:t xml:space="preserve">           </w:t>
      </w:r>
      <w:r>
        <w:rPr>
          <w:rFonts w:ascii="Times New Roman" w:hAnsi="Times New Roman"/>
          <w:b w:val="false"/>
          <w:i w:val="false"/>
          <w:caps w:val="false"/>
          <w:smallCaps w:val="false"/>
          <w:color w:val="000000"/>
          <w:sz w:val="20"/>
          <w:shd w:fill="FFFFFF" w:val="clear"/>
        </w:rPr>
        <w:t>As consideration for the Hayfin Credit Agreement, on the Hayfin Closing Date the Company issued to various entities affiliated with Hayfin warrants to purchase an aggregate of 9,103,047 shares of the Company’s common stock (the “Hayfin Warrants”). The Hayfin Warrants have an exercise price equal to $1.6478 per share, which is equal to the trailing 30-day Volume Weighted-average Price of the Company’s common stock on the business day immediately prior to the Hayfin Closing Date. The Hayfin Warrants were valued by the Company at approximately $9.6 million as of the Hayfin Closing Date and have an expiration date of March 23, 2029 (see Note 8). As consideration for the foregoing amendment to the Hayfin Credit Agreement on May 1, 2023, the Company issued additional warrants to the lenders to purchase 2,391,244 shares of the Company’s common stock at an exercise price of $3.2619 per share (the “Hayfin Second Amendment Warrants”). The Hayfin Second Amendment Warrants were valued at approximately $5.6 million and have an expiration date of May 1, 2030.</w:t>
      </w:r>
    </w:p>
    <w:p>
      <w:pPr>
        <w:pStyle w:val="TextBody"/>
        <w:bidi w:val="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ind w:left="0" w:right="0" w:firstLine="72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54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a result of the upfront fee and exit fee paid or payable to Hayfin, the expenses incurred by the Company  in connection with this transaction and the value of the Hayfin Warrants and Hayfin Second Amendment Warrants, the Company recognized a discount on the Hayfin Loans in the amount of $13.9 million for the year ended December 31, 2022 and an additional debt discount in the year ended December 31, 2023 in the amount of $5.7 million. The Company records debt discount as a reduction to the face amount of the debt, and the debt discount is amortized as interest expense over the life of the debt using the interest method. As of the Ares Closing Date, $15.0 million of the aggregate debt discount associated with the Hayfin Credit Facility was unamortized, and this amount is reflected in the loss on extinguishment of debt for the year ended December 31, 2023. Based on the fair value of the Hayfin Warrants and the aggregate amount of fees and expenses associated with obtaining the Hayfin Credit Facility, the effective interest rate on the Hayfin Loans as of the Hayfin Closing Date and as of December 31, 2022 was approximately 13.0% and 16.1%, respectively</w:t>
      </w:r>
      <w:r>
        <w:rPr>
          <w:rFonts w:ascii="Times New Roman" w:hAnsi="Times New Roman"/>
          <w:b w:val="false"/>
          <w:i w:val="false"/>
          <w:caps w:val="false"/>
          <w:smallCaps w:val="false"/>
          <w:color w:val="000000"/>
          <w:spacing w:val="0"/>
          <w:sz w:val="20"/>
          <w:shd w:fill="FFFFFF" w:val="clear"/>
        </w:rPr>
        <w:t>.</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0"/>
              <w:ind w:left="0" w:right="0" w:hanging="0"/>
              <w:jc w:val="left"/>
              <w:rPr/>
            </w:pPr>
            <w:r>
              <w:rPr>
                <w:rStyle w:val="StrongEmphasis"/>
                <w:rFonts w:ascii="Times New Roman" w:hAnsi="Times New Roman"/>
                <w:sz w:val="20"/>
              </w:rPr>
              <w:t>8.</w:t>
            </w:r>
          </w:p>
        </w:tc>
        <w:tc>
          <w:tcPr>
            <w:tcW w:w="2525" w:type="dxa"/>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STOCKHOLDERS’ EQUITY</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Preferred Stock</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is currently authorized to issue up to 10 million shares of preferred stock, $0.0001 par value per share. There were no shares of preferred stock outstanding at December 31, 2023 and 2022.</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Common Stock</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December 31, 2023 and 2022, the Company was authorized to issue 300,000,000 shares of its common stock, $0.0001 par value per share, and 226,063,032 and 221,816,930 shares of common stock were outstanding as of December 31, 2023 and 2022, respectively.  On May 27, 2021, the Company amended its Second Amended and Restated Certificate of Incorporation to increase the number of shares of common stock that the Company is authorized to issue from 150,000,000 to 300,000,000. After giving effect to shares reserved for the issuance of warrants and for awards issued under the Company’s equity incentive plans, 31,033,333 shares of common stock were available for issuance as of December 31, 2023.</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December 9, 2022, the Company completed an underwritten public offering whereby the Company issued 24,125,873 shares of its common stock. Net proceeds after underwriting discounts and expenses associated with the offering were approximately $64.6 million and were used to accelerate commercialization and production activities, complete plasma center buildouts and obtain FDA approvals, to conclude post</w:t>
        <w:noBreakHyphen/>
        <w:t>FDA marketing approval research and development projects, and for working capital, capital expenditures and general corporate purposes.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During the year ended December 31, 2022, outstanding stock options aggregating to 68,679 shares of common stock were exercised, and the Company received net proceeds from the exercises of approximately $0.2 million.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October 25, 2021, the Company completed an underwritten public offering whereby the Company issued 57.5 million shares of common stock and received gross proceeds of $57.5 million. Net proceeds after underwriting discounts and expenses associated with the offering were approximately $53.8 million, and were used to advance the commercial sales of the Company’s FDA approved products through the procurement of raw materials for the manufacturing of BIVIGAM and ASCENIV, to expand the Company’s plasma collection facility network, to scale up the manufacturing capacity of the Boca Facility and make continuous improvements in order to adhere to cGMP compliance, to explore business development opportunities and for general corporate purposes and other capital expenditures.</w:t>
      </w:r>
    </w:p>
    <w:p>
      <w:pPr>
        <w:pStyle w:val="TextBody"/>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200" w:after="200"/>
        <w:ind w:left="0" w:right="0" w:hanging="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On September 3, 2021, the Company entered into a distribution agreement with Raymond James &amp; Associates, Inc., as agent (“Agent”), pursuant to which the Company may offer and sell, from time to time, at its option, through or to the Agent, up to an aggregate of $50 million of shares of the Company’s common stock (the “Distribution Agreement”). The Company currently intends to use any net proceeds from the sale of its common stock under the Distribution Agreement for general corporate purposes, including procurement of source plasma and other raw materials, supply chain initiatives and production expenditures, working capital, capital expenditures, expansion and resources for commercialization activities, and other potential research and development and business opportunities. </w:t>
      </w:r>
      <w:r>
        <w:rPr>
          <w:rFonts w:ascii="Times New Roman" w:hAnsi="Times New Roman"/>
          <w:b w:val="false"/>
          <w:i w:val="false"/>
          <w:caps w:val="false"/>
          <w:smallCaps w:val="false"/>
          <w:color w:val="000000"/>
          <w:spacing w:val="0"/>
          <w:sz w:val="20"/>
          <w:shd w:fill="FFFFFF" w:val="clear"/>
        </w:rPr>
        <w:t>T</w:t>
      </w:r>
      <w:r>
        <w:rPr>
          <w:rFonts w:ascii="Times New Roman" w:hAnsi="Times New Roman"/>
          <w:b w:val="false"/>
          <w:i w:val="false"/>
          <w:caps w:val="false"/>
          <w:smallCaps w:val="false"/>
          <w:color w:val="000000"/>
          <w:spacing w:val="0"/>
          <w:sz w:val="20"/>
          <w:shd w:fill="FFFFFF" w:val="clear"/>
        </w:rPr>
        <w:t xml:space="preserve">he Company currently has approximately $42.8 million of shares available to sell under the Distribution Agreement. There were no sales under the Distribution Agreement during the year ended December 31, 2022. </w:t>
      </w:r>
      <w:r>
        <w:rPr>
          <w:rFonts w:ascii="Times New Roman" w:hAnsi="Times New Roman"/>
          <w:b w:val="false"/>
          <w:i w:val="false"/>
          <w:caps w:val="false"/>
          <w:smallCaps w:val="false"/>
          <w:color w:val="000000"/>
          <w:sz w:val="20"/>
          <w:shd w:fill="FFFFFF" w:val="clear"/>
        </w:rPr>
        <w:t>During the year ended December 31, 2021, the Company issued 5,540,831 shares of its common stock under the Distribution Agreement and received net proceeds of $6.9 million.</w:t>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On August 5, 2020, the Company entered into an open market sale agreement (as amended from time to time, the “Sale Agreement”) with Jefferies LLC (“Jefferies”), pursuant to which the Company could offer and sell, from time to time, at its option, through or to Jefferies, up to an aggregate of $50 million of shares of the Company’s common stock. On November 5, 2020 and February 3, 2021, the Company and Jefferies amended the Sale Agreement to provide for increases in the aggregate offering amount under the Sale Agreement such that the Company could sell shares having an aggregate offering price of up to $105.4 million under the Sale Agreement, as amended. </w:t>
      </w:r>
      <w:r>
        <w:rPr>
          <w:rFonts w:ascii="Times New Roman" w:hAnsi="Times New Roman"/>
          <w:b w:val="false"/>
          <w:i w:val="false"/>
          <w:caps w:val="false"/>
          <w:smallCaps w:val="false"/>
          <w:color w:val="000000"/>
          <w:spacing w:val="0"/>
          <w:sz w:val="20"/>
          <w:shd w:fill="FFFFFF" w:val="clear"/>
        </w:rPr>
        <w:t xml:space="preserve">The Sale Agreement was terminated on August 31, 2021. </w:t>
      </w:r>
      <w:r>
        <w:rPr>
          <w:rFonts w:ascii="Times New Roman" w:hAnsi="Times New Roman"/>
          <w:b w:val="false"/>
          <w:i w:val="false"/>
          <w:caps w:val="false"/>
          <w:smallCaps w:val="false"/>
          <w:color w:val="000000"/>
          <w:sz w:val="20"/>
          <w:shd w:fill="FFFFFF" w:val="clear"/>
        </w:rPr>
        <w:t>For the year ended December 31, 2021, the Company issued and sold 27,805,198 shares of common stock under the 2020 Sale Agreement and received net proceeds of $60.4 million.</w:t>
      </w:r>
    </w:p>
    <w:p>
      <w:pPr>
        <w:pStyle w:val="TextBody"/>
        <w:bidi w:val="0"/>
        <w:spacing w:before="0" w:after="16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r>
    </w:p>
    <w:p>
      <w:pPr>
        <w:pStyle w:val="TextBody"/>
        <w:bidi w:val="0"/>
        <w:spacing w:before="0" w:after="1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u w:val="single"/>
          <w:shd w:fill="FFFFFF" w:val="clear"/>
        </w:rPr>
        <w:t>Warrants</w:t>
      </w:r>
      <w:r>
        <w:rPr>
          <w:rFonts w:ascii="Times New Roman" w:hAnsi="Times New Roman"/>
          <w:b w:val="false"/>
          <w:i w:val="false"/>
          <w:caps w:val="false"/>
          <w:smallCaps w:val="false"/>
          <w:color w:val="000000"/>
          <w:sz w:val="20"/>
          <w:shd w:fill="FFFFFF" w:val="clear"/>
        </w:rPr>
        <w:t xml:space="preserve">  </w:t>
      </w:r>
    </w:p>
    <w:p>
      <w:pPr>
        <w:pStyle w:val="TextBody"/>
        <w:shd w:fill="FFFFFF" w:val="clear"/>
        <w:bidi w:val="0"/>
        <w:spacing w:before="0" w:after="0"/>
        <w:ind w:left="0" w:right="0" w:hanging="0"/>
        <w:jc w:val="left"/>
        <w:rPr/>
      </w:pPr>
      <w:r>
        <w:rPr/>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June 16, 2023, various entities affiliated with Hayfin exercised 3,388,686 Hayfin Warrants in a cashless exercise transaction resulting in the Company issuing 1,967,847 shares of its common stock to such entities. On May 1, 2023 the Company issued the Hayfin Second Amendment Warrants (see Note 7), which were valued at $5.6 million using the Black-Scholes option-pricing model assuming an expected term of seven years, a volatility of 67.8%, a dividend yield of 0% and a risk-free rate of interest of 3.62%.</w:t>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March 23, 2022, the Company issued the Hayfin Warrants, whereby affiliates of Hayfin may purchase an aggregate of 9,103,047 shares of common stock at an exercise price of $1.6478 per share (see Note 7). The Hayfin Warrants were valued at $9.6 million, using the Black-Scholes option pricing model assuming an expected term of 7 years, a volatility of 68.1%, a dividend yield of 0% and a risk-free interest rate of 2.36%.</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160"/>
        <w:ind w:left="0" w:right="0" w:firstLine="72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During the year ended December 31, 2022, warrants to purchase 106,059 shares of common stock that had been issued to former noteholders of the Company expired. At December 31, 2023 and 2022, the Company had outstanding warrants to purchase an aggregate of 12,502,906 and 13,525,148 shares, respectively, of common stock, with a weighted average exercise price of $2.32 and $1.99 per share, respectively, and expiration dates ranging between May 2023 and December 2030. </w:t>
      </w:r>
      <w:r>
        <w:rPr>
          <w:rFonts w:ascii="Times New Roman" w:hAnsi="Times New Roman"/>
          <w:b w:val="false"/>
          <w:i w:val="false"/>
          <w:caps w:val="false"/>
          <w:smallCaps w:val="false"/>
          <w:color w:val="000000"/>
          <w:spacing w:val="0"/>
          <w:sz w:val="20"/>
          <w:shd w:fill="FFFFFF" w:val="clear"/>
        </w:rPr>
        <w:t xml:space="preserve">The following table summarizes information about warrants outstanding as of December 31, 2023, 2022 and 2021: </w:t>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tbl>
      <w:tblPr>
        <w:tblW w:w="7114" w:type="dxa"/>
        <w:jc w:val="left"/>
        <w:tblInd w:w="0" w:type="dxa"/>
        <w:shd w:fill="FFFFFF" w:val="clear"/>
        <w:tblLayout w:type="fixed"/>
        <w:tblCellMar>
          <w:top w:w="0" w:type="dxa"/>
          <w:left w:w="0" w:type="dxa"/>
          <w:bottom w:w="0" w:type="dxa"/>
          <w:right w:w="0" w:type="dxa"/>
        </w:tblCellMar>
      </w:tblPr>
      <w:tblGrid>
        <w:gridCol w:w="4205"/>
        <w:gridCol w:w="60"/>
        <w:gridCol w:w="60"/>
        <w:gridCol w:w="1100"/>
        <w:gridCol w:w="95"/>
        <w:gridCol w:w="60"/>
        <w:gridCol w:w="352"/>
        <w:gridCol w:w="1107"/>
        <w:gridCol w:w="75"/>
      </w:tblGrid>
      <w:tr>
        <w:trPr/>
        <w:tc>
          <w:tcPr>
            <w:tcW w:w="4205" w:type="dxa"/>
            <w:tcBorders/>
            <w:shd w:fill="FFFFFF" w:val="clear"/>
            <w:vAlign w:val="bottom"/>
          </w:tcPr>
          <w:p>
            <w:pPr>
              <w:pStyle w:val="TableContents"/>
              <w:bidi w:val="0"/>
              <w:spacing w:before="0" w:after="283"/>
              <w:jc w:val="left"/>
              <w:rPr/>
            </w:pPr>
            <w:r>
              <w:rPr/>
              <w:br/>
              <w:t> </w:t>
            </w:r>
          </w:p>
        </w:tc>
        <w:tc>
          <w:tcPr>
            <w:tcW w:w="60" w:type="dxa"/>
            <w:tcBorders/>
            <w:shd w:fill="FFFFFF" w:val="clear"/>
            <w:vAlign w:val="bottom"/>
          </w:tcPr>
          <w:p>
            <w:pPr>
              <w:pStyle w:val="TableContents"/>
              <w:bidi w:val="0"/>
              <w:spacing w:before="0" w:after="283"/>
              <w:jc w:val="center"/>
              <w:rPr/>
            </w:pPr>
            <w:r>
              <w:rPr/>
              <w:t> </w:t>
            </w:r>
          </w:p>
        </w:tc>
        <w:tc>
          <w:tcPr>
            <w:tcW w:w="1160" w:type="dxa"/>
            <w:gridSpan w:val="2"/>
            <w:tcBorders>
              <w:bottom w:val="single" w:sz="12" w:space="0" w:color="000000"/>
            </w:tcBorders>
            <w:shd w:fill="FFFFFF" w:val="clear"/>
            <w:tcMar>
              <w:bottom w:w="28" w:type="dxa"/>
            </w:tcMar>
            <w:vAlign w:val="bottom"/>
          </w:tcPr>
          <w:p>
            <w:pPr>
              <w:pStyle w:val="TableContents"/>
              <w:bidi w:val="0"/>
              <w:spacing w:before="0" w:after="283"/>
              <w:jc w:val="center"/>
              <w:rPr>
                <w:b/>
              </w:rPr>
            </w:pPr>
            <w:r>
              <w:rPr>
                <w:b/>
              </w:rPr>
              <w:t xml:space="preserve">Shares </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459" w:type="dxa"/>
            <w:gridSpan w:val="2"/>
            <w:tcBorders>
              <w:bottom w:val="single" w:sz="12" w:space="0" w:color="000000"/>
            </w:tcBorders>
            <w:shd w:fill="FFFFFF" w:val="clear"/>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Average</w:t>
            </w:r>
          </w:p>
          <w:p>
            <w:pPr>
              <w:pStyle w:val="TableContents"/>
              <w:bidi w:val="0"/>
              <w:spacing w:before="0" w:after="0"/>
              <w:jc w:val="center"/>
              <w:rPr>
                <w:b/>
              </w:rPr>
            </w:pPr>
            <w:r>
              <w:rPr>
                <w:b/>
              </w:rPr>
              <w:t>Exercise Price</w:t>
            </w:r>
          </w:p>
        </w:tc>
        <w:tc>
          <w:tcPr>
            <w:tcW w:w="75" w:type="dxa"/>
            <w:tcBorders/>
            <w:shd w:fill="FFFFFF" w:val="clear"/>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pPr>
            <w:r>
              <w:rPr/>
              <w:t>Warrants outstanding at December 31, 2020</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4,528,160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0"/>
              <w:jc w:val="left"/>
              <w:rPr/>
            </w:pPr>
            <w:r>
              <w:rPr/>
              <w:t>$</w:t>
            </w:r>
          </w:p>
        </w:tc>
        <w:tc>
          <w:tcPr>
            <w:tcW w:w="1107" w:type="dxa"/>
            <w:tcBorders/>
            <w:shd w:fill="CCEEFF" w:val="clear"/>
            <w:vAlign w:val="bottom"/>
          </w:tcPr>
          <w:p>
            <w:pPr>
              <w:pStyle w:val="TableContents"/>
              <w:bidi w:val="0"/>
              <w:spacing w:before="0" w:after="0"/>
              <w:jc w:val="right"/>
              <w:rPr/>
            </w:pPr>
            <w:r>
              <w:rPr/>
              <w:t>2.82</w:t>
            </w:r>
          </w:p>
        </w:tc>
        <w:tc>
          <w:tcPr>
            <w:tcW w:w="75" w:type="dxa"/>
            <w:tcBorders/>
            <w:shd w:fill="CCEEFF" w:val="clear"/>
            <w:vAlign w:val="bottom"/>
          </w:tcPr>
          <w:p>
            <w:pPr>
              <w:pStyle w:val="TableContents"/>
              <w:bidi w:val="0"/>
              <w:spacing w:before="0" w:after="283"/>
              <w:jc w:val="left"/>
              <w:rPr/>
            </w:pPr>
            <w:r>
              <w:rPr/>
              <w:t> </w:t>
            </w:r>
          </w:p>
        </w:tc>
      </w:tr>
      <w:tr>
        <w:trPr/>
        <w:tc>
          <w:tcPr>
            <w:tcW w:w="4205" w:type="dxa"/>
            <w:tcBorders/>
            <w:shd w:fill="FFFFFF" w:val="clear"/>
            <w:vAlign w:val="bottom"/>
          </w:tcPr>
          <w:p>
            <w:pPr>
              <w:pStyle w:val="TableContents"/>
              <w:bidi w:val="0"/>
              <w:spacing w:before="0" w:after="0"/>
              <w:ind w:left="144" w:right="0" w:hanging="144"/>
              <w:jc w:val="left"/>
              <w:rPr/>
            </w:pPr>
            <w:r>
              <w:rPr/>
              <w:t>Expired</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1100" w:type="dxa"/>
            <w:tcBorders/>
            <w:shd w:fill="FFFFFF" w:val="clear"/>
            <w:vAlign w:val="bottom"/>
          </w:tcPr>
          <w:p>
            <w:pPr>
              <w:pStyle w:val="TableContents"/>
              <w:bidi w:val="0"/>
              <w:spacing w:before="0" w:after="0"/>
              <w:jc w:val="right"/>
              <w:rPr/>
            </w:pPr>
            <w:r>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52" w:type="dxa"/>
            <w:tcBorders/>
            <w:shd w:fill="FFFFFF" w:val="clear"/>
            <w:vAlign w:val="bottom"/>
          </w:tcPr>
          <w:p>
            <w:pPr>
              <w:pStyle w:val="TableContents"/>
              <w:bidi w:val="0"/>
              <w:spacing w:before="0" w:after="0"/>
              <w:jc w:val="left"/>
              <w:rPr/>
            </w:pPr>
            <w:r>
              <w:rPr/>
              <w:t>$</w:t>
            </w:r>
          </w:p>
        </w:tc>
        <w:tc>
          <w:tcPr>
            <w:tcW w:w="1107" w:type="dxa"/>
            <w:tcBorders/>
            <w:shd w:fill="FFFFFF" w:val="clear"/>
            <w:vAlign w:val="bottom"/>
          </w:tcPr>
          <w:p>
            <w:pPr>
              <w:pStyle w:val="TableContents"/>
              <w:bidi w:val="0"/>
              <w:spacing w:before="0" w:after="0"/>
              <w:jc w:val="right"/>
              <w:rPr/>
            </w:pPr>
            <w:r>
              <w:rPr/>
              <w:t>-</w:t>
            </w:r>
          </w:p>
        </w:tc>
        <w:tc>
          <w:tcPr>
            <w:tcW w:w="75" w:type="dxa"/>
            <w:tcBorders/>
            <w:shd w:fill="FFFFFF" w:val="clear"/>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pPr>
            <w:r>
              <w:rPr/>
              <w:t>Granted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0"/>
              <w:jc w:val="left"/>
              <w:rPr/>
            </w:pPr>
            <w:r>
              <w:rPr/>
              <w:t>$</w:t>
            </w:r>
          </w:p>
        </w:tc>
        <w:tc>
          <w:tcPr>
            <w:tcW w:w="1107"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4205" w:type="dxa"/>
            <w:tcBorders/>
            <w:shd w:fill="FFFFFF" w:val="clear"/>
            <w:vAlign w:val="bottom"/>
          </w:tcPr>
          <w:p>
            <w:pPr>
              <w:pStyle w:val="TableContents"/>
              <w:bidi w:val="0"/>
              <w:spacing w:before="0" w:after="0"/>
              <w:ind w:left="144" w:right="0" w:hanging="144"/>
              <w:jc w:val="left"/>
              <w:rPr/>
            </w:pPr>
            <w:r>
              <w:rPr/>
              <w:t>Exercised</w:t>
            </w:r>
          </w:p>
        </w:tc>
        <w:tc>
          <w:tcPr>
            <w:tcW w:w="6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bidi w:val="0"/>
              <w:spacing w:before="0" w:after="0"/>
              <w:jc w:val="right"/>
              <w:rPr/>
            </w:pPr>
            <w:r>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52" w:type="dxa"/>
            <w:tcBorders/>
            <w:shd w:fill="FFFFFF" w:val="clear"/>
            <w:vAlign w:val="bottom"/>
          </w:tcPr>
          <w:p>
            <w:pPr>
              <w:pStyle w:val="TableContents"/>
              <w:bidi w:val="0"/>
              <w:spacing w:before="0" w:after="0"/>
              <w:jc w:val="left"/>
              <w:rPr/>
            </w:pPr>
            <w:r>
              <w:rPr/>
              <w:t>$</w:t>
            </w:r>
          </w:p>
        </w:tc>
        <w:tc>
          <w:tcPr>
            <w:tcW w:w="1107" w:type="dxa"/>
            <w:tcBorders/>
            <w:shd w:fill="FFFFFF" w:val="clear"/>
            <w:vAlign w:val="bottom"/>
          </w:tcPr>
          <w:p>
            <w:pPr>
              <w:pStyle w:val="TableContents"/>
              <w:bidi w:val="0"/>
              <w:spacing w:before="0" w:after="0"/>
              <w:jc w:val="right"/>
              <w:rPr/>
            </w:pPr>
            <w:r>
              <w:rPr/>
              <w:t>-</w:t>
            </w:r>
          </w:p>
        </w:tc>
        <w:tc>
          <w:tcPr>
            <w:tcW w:w="75" w:type="dxa"/>
            <w:tcBorders/>
            <w:shd w:fill="FFFFFF" w:val="clear"/>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pPr>
            <w:r>
              <w:rPr/>
              <w:t>Warrants outstanding at December 31, 2021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4,528,160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0"/>
              <w:jc w:val="left"/>
              <w:rPr/>
            </w:pPr>
            <w:r>
              <w:rPr/>
              <w:t>$</w:t>
            </w:r>
          </w:p>
        </w:tc>
        <w:tc>
          <w:tcPr>
            <w:tcW w:w="1107" w:type="dxa"/>
            <w:tcBorders/>
            <w:shd w:fill="CCEEFF" w:val="clear"/>
            <w:vAlign w:val="bottom"/>
          </w:tcPr>
          <w:p>
            <w:pPr>
              <w:pStyle w:val="TableContents"/>
              <w:bidi w:val="0"/>
              <w:spacing w:before="0" w:after="0"/>
              <w:jc w:val="right"/>
              <w:rPr/>
            </w:pPr>
            <w:r>
              <w:rPr/>
              <w:t>2.82</w:t>
            </w:r>
          </w:p>
        </w:tc>
        <w:tc>
          <w:tcPr>
            <w:tcW w:w="75" w:type="dxa"/>
            <w:tcBorders/>
            <w:shd w:fill="CCEEFF" w:val="clear"/>
            <w:vAlign w:val="bottom"/>
          </w:tcPr>
          <w:p>
            <w:pPr>
              <w:pStyle w:val="TableContents"/>
              <w:bidi w:val="0"/>
              <w:spacing w:before="0" w:after="283"/>
              <w:jc w:val="left"/>
              <w:rPr/>
            </w:pPr>
            <w:r>
              <w:rPr/>
              <w:t> </w:t>
            </w:r>
          </w:p>
        </w:tc>
      </w:tr>
      <w:tr>
        <w:trPr/>
        <w:tc>
          <w:tcPr>
            <w:tcW w:w="4205" w:type="dxa"/>
            <w:tcBorders/>
            <w:shd w:fill="FFFFFF" w:val="clear"/>
            <w:vAlign w:val="bottom"/>
          </w:tcPr>
          <w:p>
            <w:pPr>
              <w:pStyle w:val="TableContents"/>
              <w:bidi w:val="0"/>
              <w:spacing w:before="0" w:after="0"/>
              <w:ind w:left="144" w:right="0" w:hanging="144"/>
              <w:jc w:val="left"/>
              <w:rPr/>
            </w:pPr>
            <w:r>
              <w:rPr/>
              <w:t>Expired</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1100" w:type="dxa"/>
            <w:tcBorders/>
            <w:shd w:fill="FFFFFF" w:val="clear"/>
            <w:vAlign w:val="bottom"/>
          </w:tcPr>
          <w:p>
            <w:pPr>
              <w:pStyle w:val="TableContents"/>
              <w:bidi w:val="0"/>
              <w:spacing w:before="0" w:after="0"/>
              <w:jc w:val="right"/>
              <w:rPr/>
            </w:pPr>
            <w:r>
              <w:rPr/>
              <w:t>(106,059</w:t>
            </w:r>
          </w:p>
        </w:tc>
        <w:tc>
          <w:tcPr>
            <w:tcW w:w="95" w:type="dxa"/>
            <w:tcBorders/>
            <w:shd w:fill="FFFFFF" w:val="clear"/>
            <w:vAlign w:val="bottom"/>
          </w:tcPr>
          <w:p>
            <w:pPr>
              <w:pStyle w:val="TableContents"/>
              <w:bidi w:val="0"/>
              <w:spacing w:before="0" w:after="0"/>
              <w:jc w:val="left"/>
              <w:rPr/>
            </w:pPr>
            <w:r>
              <w:rPr/>
              <w:t>)</w:t>
            </w:r>
          </w:p>
        </w:tc>
        <w:tc>
          <w:tcPr>
            <w:tcW w:w="60" w:type="dxa"/>
            <w:tcBorders/>
            <w:shd w:fill="FFFFFF" w:val="clear"/>
            <w:vAlign w:val="bottom"/>
          </w:tcPr>
          <w:p>
            <w:pPr>
              <w:pStyle w:val="TableContents"/>
              <w:bidi w:val="0"/>
              <w:spacing w:before="0" w:after="283"/>
              <w:jc w:val="right"/>
              <w:rPr/>
            </w:pPr>
            <w:r>
              <w:rPr/>
              <w:t> </w:t>
            </w:r>
          </w:p>
        </w:tc>
        <w:tc>
          <w:tcPr>
            <w:tcW w:w="352" w:type="dxa"/>
            <w:tcBorders/>
            <w:shd w:fill="FFFFFF" w:val="clear"/>
            <w:vAlign w:val="bottom"/>
          </w:tcPr>
          <w:p>
            <w:pPr>
              <w:pStyle w:val="TableContents"/>
              <w:bidi w:val="0"/>
              <w:spacing w:before="0" w:after="0"/>
              <w:jc w:val="left"/>
              <w:rPr/>
            </w:pPr>
            <w:r>
              <w:rPr/>
              <w:t>$</w:t>
            </w:r>
          </w:p>
        </w:tc>
        <w:tc>
          <w:tcPr>
            <w:tcW w:w="1107" w:type="dxa"/>
            <w:tcBorders/>
            <w:shd w:fill="FFFFFF" w:val="clear"/>
            <w:vAlign w:val="bottom"/>
          </w:tcPr>
          <w:p>
            <w:pPr>
              <w:pStyle w:val="TableContents"/>
              <w:bidi w:val="0"/>
              <w:spacing w:before="0" w:after="0"/>
              <w:jc w:val="right"/>
              <w:rPr/>
            </w:pPr>
            <w:r>
              <w:rPr/>
              <w:t>8.23</w:t>
            </w:r>
          </w:p>
        </w:tc>
        <w:tc>
          <w:tcPr>
            <w:tcW w:w="75" w:type="dxa"/>
            <w:tcBorders/>
            <w:shd w:fill="FFFFFF" w:val="clear"/>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pPr>
            <w:r>
              <w:rPr/>
              <w:t>Granted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9,103,047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0"/>
              <w:jc w:val="left"/>
              <w:rPr/>
            </w:pPr>
            <w:r>
              <w:rPr/>
              <w:t>$</w:t>
            </w:r>
          </w:p>
        </w:tc>
        <w:tc>
          <w:tcPr>
            <w:tcW w:w="1107" w:type="dxa"/>
            <w:tcBorders/>
            <w:shd w:fill="CCEEFF" w:val="clear"/>
            <w:vAlign w:val="bottom"/>
          </w:tcPr>
          <w:p>
            <w:pPr>
              <w:pStyle w:val="TableContents"/>
              <w:bidi w:val="0"/>
              <w:spacing w:before="0" w:after="0"/>
              <w:jc w:val="right"/>
              <w:rPr/>
            </w:pPr>
            <w:r>
              <w:rPr/>
              <w:t>1.65</w:t>
            </w:r>
          </w:p>
        </w:tc>
        <w:tc>
          <w:tcPr>
            <w:tcW w:w="75" w:type="dxa"/>
            <w:tcBorders/>
            <w:shd w:fill="CCEEFF" w:val="clear"/>
            <w:vAlign w:val="bottom"/>
          </w:tcPr>
          <w:p>
            <w:pPr>
              <w:pStyle w:val="TableContents"/>
              <w:bidi w:val="0"/>
              <w:spacing w:before="0" w:after="283"/>
              <w:jc w:val="left"/>
              <w:rPr/>
            </w:pPr>
            <w:r>
              <w:rPr/>
              <w:t> </w:t>
            </w:r>
          </w:p>
        </w:tc>
      </w:tr>
      <w:tr>
        <w:trPr/>
        <w:tc>
          <w:tcPr>
            <w:tcW w:w="4205" w:type="dxa"/>
            <w:tcBorders/>
            <w:shd w:fill="FFFFFF" w:val="clear"/>
            <w:vAlign w:val="bottom"/>
          </w:tcPr>
          <w:p>
            <w:pPr>
              <w:pStyle w:val="TableContents"/>
              <w:bidi w:val="0"/>
              <w:spacing w:before="0" w:after="0"/>
              <w:ind w:left="144" w:right="0" w:hanging="144"/>
              <w:jc w:val="left"/>
              <w:rPr/>
            </w:pPr>
            <w:r>
              <w:rPr/>
              <w:t>Exercised</w:t>
            </w:r>
          </w:p>
        </w:tc>
        <w:tc>
          <w:tcPr>
            <w:tcW w:w="6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bidi w:val="0"/>
              <w:spacing w:before="0" w:after="0"/>
              <w:jc w:val="right"/>
              <w:rPr/>
            </w:pPr>
            <w:r>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52" w:type="dxa"/>
            <w:tcBorders/>
            <w:shd w:fill="FFFFFF" w:val="clear"/>
            <w:vAlign w:val="bottom"/>
          </w:tcPr>
          <w:p>
            <w:pPr>
              <w:pStyle w:val="TableContents"/>
              <w:bidi w:val="0"/>
              <w:spacing w:before="0" w:after="0"/>
              <w:jc w:val="left"/>
              <w:rPr/>
            </w:pPr>
            <w:r>
              <w:rPr/>
              <w:t>$</w:t>
            </w:r>
          </w:p>
        </w:tc>
        <w:tc>
          <w:tcPr>
            <w:tcW w:w="1107" w:type="dxa"/>
            <w:tcBorders/>
            <w:shd w:fill="FFFFFF" w:val="clear"/>
            <w:vAlign w:val="bottom"/>
          </w:tcPr>
          <w:p>
            <w:pPr>
              <w:pStyle w:val="TableContents"/>
              <w:bidi w:val="0"/>
              <w:spacing w:before="0" w:after="0"/>
              <w:jc w:val="right"/>
              <w:rPr/>
            </w:pPr>
            <w:r>
              <w:rPr/>
              <w:t>-</w:t>
            </w:r>
          </w:p>
        </w:tc>
        <w:tc>
          <w:tcPr>
            <w:tcW w:w="75" w:type="dxa"/>
            <w:tcBorders/>
            <w:shd w:fill="FFFFFF" w:val="clear"/>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pPr>
            <w:r>
              <w:rPr/>
              <w:t>Warrants outstanding at December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13,525,148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0"/>
              <w:jc w:val="left"/>
              <w:rPr/>
            </w:pPr>
            <w:r>
              <w:rPr/>
              <w:t>$</w:t>
            </w:r>
          </w:p>
        </w:tc>
        <w:tc>
          <w:tcPr>
            <w:tcW w:w="1107" w:type="dxa"/>
            <w:tcBorders/>
            <w:shd w:fill="CCEEFF" w:val="clear"/>
            <w:vAlign w:val="bottom"/>
          </w:tcPr>
          <w:p>
            <w:pPr>
              <w:pStyle w:val="TableContents"/>
              <w:bidi w:val="0"/>
              <w:spacing w:before="0" w:after="0"/>
              <w:jc w:val="right"/>
              <w:rPr/>
            </w:pPr>
            <w:r>
              <w:rPr/>
              <w:t>1.99</w:t>
            </w:r>
          </w:p>
        </w:tc>
        <w:tc>
          <w:tcPr>
            <w:tcW w:w="75" w:type="dxa"/>
            <w:tcBorders/>
            <w:shd w:fill="CCEEFF" w:val="clear"/>
            <w:vAlign w:val="bottom"/>
          </w:tcPr>
          <w:p>
            <w:pPr>
              <w:pStyle w:val="TableContents"/>
              <w:bidi w:val="0"/>
              <w:spacing w:before="0" w:after="283"/>
              <w:jc w:val="left"/>
              <w:rPr/>
            </w:pPr>
            <w:r>
              <w:rPr/>
              <w:t> </w:t>
            </w:r>
          </w:p>
        </w:tc>
      </w:tr>
      <w:tr>
        <w:trPr/>
        <w:tc>
          <w:tcPr>
            <w:tcW w:w="4205" w:type="dxa"/>
            <w:tcBorders/>
            <w:shd w:fill="FFFFFF" w:val="clear"/>
            <w:vAlign w:val="bottom"/>
          </w:tcPr>
          <w:p>
            <w:pPr>
              <w:pStyle w:val="TableContents"/>
              <w:bidi w:val="0"/>
              <w:spacing w:before="0" w:after="0"/>
              <w:ind w:left="144" w:right="0" w:hanging="144"/>
              <w:jc w:val="left"/>
              <w:rPr/>
            </w:pPr>
            <w:r>
              <w:rPr/>
              <w:t>Expired</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1100" w:type="dxa"/>
            <w:tcBorders/>
            <w:shd w:fill="FFFFFF" w:val="clear"/>
            <w:vAlign w:val="bottom"/>
          </w:tcPr>
          <w:p>
            <w:pPr>
              <w:pStyle w:val="TableContents"/>
              <w:bidi w:val="0"/>
              <w:spacing w:before="0" w:after="0"/>
              <w:jc w:val="right"/>
              <w:rPr/>
            </w:pPr>
            <w:r>
              <w:rPr/>
              <w:t>(24,800</w:t>
            </w:r>
          </w:p>
        </w:tc>
        <w:tc>
          <w:tcPr>
            <w:tcW w:w="95" w:type="dxa"/>
            <w:tcBorders/>
            <w:shd w:fill="FFFFFF" w:val="clear"/>
            <w:vAlign w:val="bottom"/>
          </w:tcPr>
          <w:p>
            <w:pPr>
              <w:pStyle w:val="TableContents"/>
              <w:bidi w:val="0"/>
              <w:spacing w:before="0" w:after="0"/>
              <w:jc w:val="left"/>
              <w:rPr/>
            </w:pPr>
            <w:r>
              <w:rPr/>
              <w:t>)</w:t>
            </w:r>
          </w:p>
        </w:tc>
        <w:tc>
          <w:tcPr>
            <w:tcW w:w="60" w:type="dxa"/>
            <w:tcBorders/>
            <w:shd w:fill="FFFFFF" w:val="clear"/>
            <w:vAlign w:val="bottom"/>
          </w:tcPr>
          <w:p>
            <w:pPr>
              <w:pStyle w:val="TableContents"/>
              <w:bidi w:val="0"/>
              <w:spacing w:before="0" w:after="283"/>
              <w:jc w:val="right"/>
              <w:rPr/>
            </w:pPr>
            <w:r>
              <w:rPr/>
              <w:t> </w:t>
            </w:r>
          </w:p>
        </w:tc>
        <w:tc>
          <w:tcPr>
            <w:tcW w:w="352" w:type="dxa"/>
            <w:tcBorders/>
            <w:shd w:fill="FFFFFF" w:val="clear"/>
            <w:vAlign w:val="bottom"/>
          </w:tcPr>
          <w:p>
            <w:pPr>
              <w:pStyle w:val="TableContents"/>
              <w:bidi w:val="0"/>
              <w:spacing w:before="0" w:after="0"/>
              <w:jc w:val="left"/>
              <w:rPr/>
            </w:pPr>
            <w:r>
              <w:rPr/>
              <w:t>$</w:t>
            </w:r>
          </w:p>
        </w:tc>
        <w:tc>
          <w:tcPr>
            <w:tcW w:w="1107" w:type="dxa"/>
            <w:tcBorders/>
            <w:shd w:fill="FFFFFF" w:val="clear"/>
            <w:vAlign w:val="bottom"/>
          </w:tcPr>
          <w:p>
            <w:pPr>
              <w:pStyle w:val="TableContents"/>
              <w:bidi w:val="0"/>
              <w:spacing w:before="0" w:after="0"/>
              <w:jc w:val="right"/>
              <w:rPr/>
            </w:pPr>
            <w:r>
              <w:rPr/>
              <w:t>6.37</w:t>
            </w:r>
          </w:p>
        </w:tc>
        <w:tc>
          <w:tcPr>
            <w:tcW w:w="75" w:type="dxa"/>
            <w:tcBorders/>
            <w:shd w:fill="FFFFFF" w:val="clear"/>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pPr>
            <w:r>
              <w:rPr/>
              <w:t>Granted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2,391,244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0"/>
              <w:jc w:val="left"/>
              <w:rPr/>
            </w:pPr>
            <w:r>
              <w:rPr/>
              <w:t>$</w:t>
            </w:r>
          </w:p>
        </w:tc>
        <w:tc>
          <w:tcPr>
            <w:tcW w:w="1107" w:type="dxa"/>
            <w:tcBorders/>
            <w:shd w:fill="CCEEFF" w:val="clear"/>
            <w:vAlign w:val="bottom"/>
          </w:tcPr>
          <w:p>
            <w:pPr>
              <w:pStyle w:val="TableContents"/>
              <w:bidi w:val="0"/>
              <w:spacing w:before="0" w:after="0"/>
              <w:jc w:val="right"/>
              <w:rPr/>
            </w:pPr>
            <w:r>
              <w:rPr/>
              <w:t>3.26</w:t>
            </w:r>
          </w:p>
        </w:tc>
        <w:tc>
          <w:tcPr>
            <w:tcW w:w="75" w:type="dxa"/>
            <w:tcBorders/>
            <w:shd w:fill="CCEEFF" w:val="clear"/>
            <w:vAlign w:val="bottom"/>
          </w:tcPr>
          <w:p>
            <w:pPr>
              <w:pStyle w:val="TableContents"/>
              <w:bidi w:val="0"/>
              <w:spacing w:before="0" w:after="283"/>
              <w:jc w:val="left"/>
              <w:rPr/>
            </w:pPr>
            <w:r>
              <w:rPr/>
              <w:t> </w:t>
            </w:r>
          </w:p>
        </w:tc>
      </w:tr>
      <w:tr>
        <w:trPr/>
        <w:tc>
          <w:tcPr>
            <w:tcW w:w="4205" w:type="dxa"/>
            <w:tcBorders/>
            <w:shd w:fill="FFFFFF" w:val="clear"/>
            <w:vAlign w:val="bottom"/>
          </w:tcPr>
          <w:p>
            <w:pPr>
              <w:pStyle w:val="TableContents"/>
              <w:bidi w:val="0"/>
              <w:spacing w:before="0" w:after="0"/>
              <w:ind w:left="144" w:right="0" w:hanging="144"/>
              <w:jc w:val="left"/>
              <w:rPr/>
            </w:pPr>
            <w:r>
              <w:rPr/>
              <w:t>Exercised</w:t>
            </w:r>
          </w:p>
        </w:tc>
        <w:tc>
          <w:tcPr>
            <w:tcW w:w="6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bottom"/>
          </w:tcPr>
          <w:p>
            <w:pPr>
              <w:pStyle w:val="TableContents"/>
              <w:bidi w:val="0"/>
              <w:spacing w:before="0" w:after="0"/>
              <w:jc w:val="right"/>
              <w:rPr/>
            </w:pPr>
            <w:r>
              <w:rPr/>
              <w:t>(3,388,686</w:t>
            </w:r>
          </w:p>
        </w:tc>
        <w:tc>
          <w:tcPr>
            <w:tcW w:w="95" w:type="dxa"/>
            <w:tcBorders/>
            <w:shd w:fill="FFFFFF" w:val="clear"/>
            <w:vAlign w:val="bottom"/>
          </w:tcPr>
          <w:p>
            <w:pPr>
              <w:pStyle w:val="TableContents"/>
              <w:bidi w:val="0"/>
              <w:spacing w:before="0" w:after="0"/>
              <w:jc w:val="left"/>
              <w:rPr/>
            </w:pPr>
            <w:r>
              <w:rPr/>
              <w:t>)</w:t>
            </w:r>
          </w:p>
        </w:tc>
        <w:tc>
          <w:tcPr>
            <w:tcW w:w="60" w:type="dxa"/>
            <w:tcBorders/>
            <w:shd w:fill="FFFFFF" w:val="clear"/>
            <w:vAlign w:val="bottom"/>
          </w:tcPr>
          <w:p>
            <w:pPr>
              <w:pStyle w:val="TableContents"/>
              <w:bidi w:val="0"/>
              <w:spacing w:before="0" w:after="283"/>
              <w:jc w:val="right"/>
              <w:rPr/>
            </w:pPr>
            <w:r>
              <w:rPr/>
              <w:t> </w:t>
            </w:r>
          </w:p>
        </w:tc>
        <w:tc>
          <w:tcPr>
            <w:tcW w:w="352" w:type="dxa"/>
            <w:tcBorders/>
            <w:shd w:fill="FFFFFF" w:val="clear"/>
            <w:vAlign w:val="bottom"/>
          </w:tcPr>
          <w:p>
            <w:pPr>
              <w:pStyle w:val="TableContents"/>
              <w:bidi w:val="0"/>
              <w:spacing w:before="0" w:after="0"/>
              <w:jc w:val="left"/>
              <w:rPr/>
            </w:pPr>
            <w:r>
              <w:rPr/>
              <w:t>$</w:t>
            </w:r>
          </w:p>
        </w:tc>
        <w:tc>
          <w:tcPr>
            <w:tcW w:w="1107" w:type="dxa"/>
            <w:tcBorders/>
            <w:shd w:fill="FFFFFF" w:val="clear"/>
            <w:vAlign w:val="bottom"/>
          </w:tcPr>
          <w:p>
            <w:pPr>
              <w:pStyle w:val="TableContents"/>
              <w:bidi w:val="0"/>
              <w:spacing w:before="0" w:after="0"/>
              <w:jc w:val="right"/>
              <w:rPr/>
            </w:pPr>
            <w:r>
              <w:rPr/>
              <w:t>1.65</w:t>
            </w:r>
          </w:p>
        </w:tc>
        <w:tc>
          <w:tcPr>
            <w:tcW w:w="75" w:type="dxa"/>
            <w:tcBorders/>
            <w:shd w:fill="FFFFFF" w:val="clear"/>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pPr>
            <w:r>
              <w:rPr/>
              <w:t>Warrants outstanding at December 31,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12,502,906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0"/>
              <w:jc w:val="left"/>
              <w:rPr/>
            </w:pPr>
            <w:r>
              <w:rPr/>
              <w:t>$</w:t>
            </w:r>
          </w:p>
        </w:tc>
        <w:tc>
          <w:tcPr>
            <w:tcW w:w="1107" w:type="dxa"/>
            <w:tcBorders/>
            <w:shd w:fill="CCEEFF" w:val="clear"/>
            <w:vAlign w:val="bottom"/>
          </w:tcPr>
          <w:p>
            <w:pPr>
              <w:pStyle w:val="TableContents"/>
              <w:bidi w:val="0"/>
              <w:spacing w:before="0" w:after="0"/>
              <w:jc w:val="right"/>
              <w:rPr/>
            </w:pPr>
            <w:r>
              <w:rPr/>
              <w:t>2.32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160"/>
        <w:ind w:left="0" w:right="0" w:firstLine="72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1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u w:val="single"/>
          <w:shd w:fill="FFFFFF" w:val="clear"/>
        </w:rPr>
        <w:t>Equity Incentive Plans</w:t>
      </w:r>
      <w:r>
        <w:rPr>
          <w:rFonts w:ascii="Times New Roman" w:hAnsi="Times New Roman"/>
          <w:b w:val="false"/>
          <w:i w:val="false"/>
          <w:caps w:val="false"/>
          <w:smallCaps w:val="false"/>
          <w:color w:val="000000"/>
          <w:sz w:val="20"/>
          <w:shd w:fill="FFFFFF" w:val="clear"/>
        </w:rPr>
        <w:t xml:space="preserve"> </w:t>
      </w:r>
    </w:p>
    <w:p>
      <w:pPr>
        <w:pStyle w:val="TextBody"/>
        <w:shd w:fill="FFFFFF" w:val="clear"/>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From time to time the Company granted stock options or other equity-based awards under the Company’s Amended and Restated 2014 Omnibus Incentive Compensation Plan (the “2014 Plan”).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2014 Plan, as amended, was approved by the </w:t>
      </w:r>
      <w:r>
        <w:rPr>
          <w:rFonts w:ascii="Times New Roman" w:hAnsi="Times New Roman"/>
          <w:b w:val="false"/>
          <w:i w:val="false"/>
          <w:caps w:val="false"/>
          <w:smallCaps w:val="false"/>
          <w:color w:val="000000"/>
          <w:spacing w:val="0"/>
          <w:sz w:val="20"/>
          <w:shd w:fill="FFFFFF" w:val="clear"/>
        </w:rPr>
        <w:t>Company’s Board of Directors (the “Board”)</w:t>
      </w:r>
      <w:r>
        <w:rPr>
          <w:rFonts w:ascii="Times New Roman" w:hAnsi="Times New Roman"/>
          <w:b w:val="false"/>
          <w:i w:val="false"/>
          <w:caps w:val="false"/>
          <w:smallCaps w:val="false"/>
          <w:color w:val="000000"/>
          <w:sz w:val="20"/>
          <w:shd w:fill="FFFFFF" w:val="clear"/>
        </w:rPr>
        <w:t xml:space="preserve"> on March 15, 2017 and by the Company’s stockholders on May 25, 2017.  The maximum number of shares that were reserved for grant under the 2014 Plan was: (a) 2,334,940 shares; plus (b) an annual increase as of the first day of the Company’s fiscal year, beginning in 2018 and occurring each year thereafter through 2022, equal to 4% of the outstanding shares of common stock as of the end of the Company’s immediately preceding fiscal year, or any lesser number of shares determined by the Board; provided, however, that no more than an aggregate of 10 million shares of common stock may be issued pursuant to incentive stock options intended to qualify under Section 422 of the Internal Revenue Code. As of December 31, 2021, an aggregate of 69,090 shares were available for issuance under the 2014 Plan. In accordance with the foregoing, on January 1, 2022 the aggregate number of shares available for issuance increased to 7,901,643.</w:t>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During the years ended December 31, 2022 and 2021, the Company granted options to purchase an aggregate of 1,194,032 and 1,895,550 shares of common stock, respectively, to its directors and employees under the 2014 Plan. </w:t>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160"/>
        <w:ind w:left="0" w:right="0" w:firstLine="72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June 21, 2022, the Company’s stockholders approved the ADMA Biologics, Inc. 2022 Compensation Plan (the “2022 Equity Plan”).  Approval of the 2022 Equity Plan resulted in approximately 18 million additional shares of the Company’s common stock being reserved for future awards. The 2022 Equity Plan provides for the Board or a Committee of the Board (the “Committee”) to grant awards to optionees and to determine the exercise price, vesting term, expiration date and all other terms and conditions of the awards, including acceleration of the vesting of an award at any time. Any options granted under the 2022 Equity Plan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w:t>
      </w:r>
    </w:p>
    <w:p>
      <w:pPr>
        <w:pStyle w:val="TextBody"/>
        <w:bidi w:val="0"/>
        <w:spacing w:before="0" w:after="16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the year ended December 31, 2023, the Company granted options to purchase an aggregate of 1,826,380 shares of common stock to employees and directors under the 2022 Equity Plan. Also during the year ended December 31, 2023, options to purchase 3,814,122 shares of common stock were exercised, for which 2,109,722 shares were withheld to cover the aggregate exercise prices and 259,867 shares were withheld to cover payroll taxes, and the Company received aggregate net exercise proceeds of $1.1 million.</w:t>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fair value of stock options granted was determined on the date of grant using the Black-Scholes model. The Black-Scholes option pricing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the Company utilized the U.S. Treasury yield curve in effect at the time of the grant with a term consistent with the term of the awards granted by the Company. The expected term of the options granted is in accordance with Staff Accounting Bulletins 107 and 110, which is based on the average between vesting terms and contractual terms. The expected dividend yield reflects the Company’s current and expected future policy for dividends on the Company’s common stock. For the years ended December 31, 2023, 2022 and 2021, the expected stock price volatility for the Company’s stock options was calculated by examining the historical volatility of the Company’s common stock since the stock became publicly traded in the fourth quarter of 2013. </w:t>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16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grant date fair values of stock options awarded during the years ended December 31, 2023, 2022 and 2021 were determined using the Black-Scholes option pricing model with the following assumptions: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6692" w:type="dxa"/>
        <w:jc w:val="left"/>
        <w:tblInd w:w="0" w:type="dxa"/>
        <w:tblLayout w:type="fixed"/>
        <w:tblCellMar>
          <w:top w:w="0" w:type="dxa"/>
          <w:left w:w="0" w:type="dxa"/>
          <w:bottom w:w="0" w:type="dxa"/>
          <w:right w:w="0" w:type="dxa"/>
        </w:tblCellMar>
      </w:tblPr>
      <w:tblGrid>
        <w:gridCol w:w="1775"/>
        <w:gridCol w:w="90"/>
        <w:gridCol w:w="117"/>
        <w:gridCol w:w="1087"/>
        <w:gridCol w:w="215"/>
        <w:gridCol w:w="90"/>
        <w:gridCol w:w="117"/>
        <w:gridCol w:w="1087"/>
        <w:gridCol w:w="245"/>
        <w:gridCol w:w="90"/>
        <w:gridCol w:w="205"/>
        <w:gridCol w:w="1299"/>
        <w:gridCol w:w="275"/>
      </w:tblGrid>
      <w:tr>
        <w:trPr/>
        <w:tc>
          <w:tcPr>
            <w:tcW w:w="177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4552" w:type="dxa"/>
            <w:gridSpan w:val="10"/>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 xml:space="preserve">Years Ended </w:t>
            </w:r>
          </w:p>
        </w:tc>
        <w:tc>
          <w:tcPr>
            <w:tcW w:w="275" w:type="dxa"/>
            <w:tcBorders/>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pPr>
            <w:r>
              <w:rPr>
                <w:rStyle w:val="StrongEmphasis"/>
                <w:rFonts w:ascii="Times New Roman" w:hAnsi="Times New Roman"/>
                <w:sz w:val="20"/>
              </w:rPr>
              <w:t>December 31,</w:t>
            </w:r>
          </w:p>
          <w:p>
            <w:pPr>
              <w:pStyle w:val="TableContents"/>
              <w:bidi w:val="0"/>
              <w:spacing w:before="0" w:after="0"/>
              <w:jc w:val="center"/>
              <w:rPr/>
            </w:pPr>
            <w:r>
              <w:rPr>
                <w:rStyle w:val="StrongEmphasis"/>
                <w:rFonts w:ascii="Times New Roman" w:hAnsi="Times New Roman"/>
                <w:sz w:val="20"/>
              </w:rPr>
              <w:t xml:space="preserve">2023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pPr>
            <w:r>
              <w:rPr>
                <w:rStyle w:val="StrongEmphasis"/>
                <w:rFonts w:ascii="Times New Roman" w:hAnsi="Times New Roman"/>
                <w:sz w:val="20"/>
              </w:rPr>
              <w:t>December 31,</w:t>
            </w:r>
          </w:p>
          <w:p>
            <w:pPr>
              <w:pStyle w:val="TableContents"/>
              <w:bidi w:val="0"/>
              <w:spacing w:before="0" w:after="0"/>
              <w:jc w:val="center"/>
              <w:rPr/>
            </w:pPr>
            <w:r>
              <w:rPr>
                <w:rStyle w:val="StrongEmphasis"/>
                <w:rFonts w:ascii="Times New Roman" w:hAnsi="Times New Roman"/>
                <w:sz w:val="20"/>
              </w:rPr>
              <w:t xml:space="preserve">2022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pPr>
            <w:r>
              <w:rPr>
                <w:rStyle w:val="StrongEmphasis"/>
              </w:rPr>
              <w:t>December 31,</w:t>
            </w:r>
            <w:r>
              <w:rPr/>
              <w:t xml:space="preserve"> </w:t>
            </w:r>
          </w:p>
          <w:p>
            <w:pPr>
              <w:pStyle w:val="TableContents"/>
              <w:bidi w:val="0"/>
              <w:spacing w:before="0" w:after="0"/>
              <w:jc w:val="center"/>
              <w:rPr>
                <w:b/>
              </w:rPr>
            </w:pPr>
            <w:r>
              <w:rPr>
                <w:b/>
              </w:rPr>
              <w:t>2021</w:t>
            </w:r>
          </w:p>
        </w:tc>
        <w:tc>
          <w:tcPr>
            <w:tcW w:w="275" w:type="dxa"/>
            <w:tcBorders/>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Expected term</w:t>
            </w:r>
          </w:p>
        </w:tc>
        <w:tc>
          <w:tcPr>
            <w:tcW w:w="90" w:type="dxa"/>
            <w:tcBorders/>
            <w:vAlign w:val="bottom"/>
          </w:tcPr>
          <w:p>
            <w:pPr>
              <w:pStyle w:val="TableContents"/>
              <w:bidi w:val="0"/>
              <w:spacing w:before="0" w:after="283"/>
              <w:jc w:val="center"/>
              <w:rPr/>
            </w:pPr>
            <w:r>
              <w:rPr/>
              <w:t> </w:t>
            </w:r>
          </w:p>
        </w:tc>
        <w:tc>
          <w:tcPr>
            <w:tcW w:w="1204" w:type="dxa"/>
            <w:gridSpan w:val="2"/>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5.5-6.3 years</w:t>
            </w:r>
          </w:p>
        </w:tc>
        <w:tc>
          <w:tcPr>
            <w:tcW w:w="2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204" w:type="dxa"/>
            <w:gridSpan w:val="2"/>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5.5-6.3 years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504"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5.5-6.3 years</w:t>
            </w:r>
          </w:p>
        </w:tc>
        <w:tc>
          <w:tcPr>
            <w:tcW w:w="275" w:type="dxa"/>
            <w:tcBorders/>
            <w:vAlign w:val="bottom"/>
          </w:tcPr>
          <w:p>
            <w:pPr>
              <w:pStyle w:val="TableContents"/>
              <w:bidi w:val="0"/>
              <w:spacing w:before="0" w:after="283"/>
              <w:jc w:val="left"/>
              <w:rPr/>
            </w:pPr>
            <w:r>
              <w:rPr/>
              <w:t> </w:t>
            </w:r>
          </w:p>
        </w:tc>
      </w:tr>
      <w:tr>
        <w:trPr/>
        <w:tc>
          <w:tcPr>
            <w:tcW w:w="177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Volatility</w:t>
            </w:r>
          </w:p>
        </w:tc>
        <w:tc>
          <w:tcPr>
            <w:tcW w:w="9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68</w:t>
            </w:r>
          </w:p>
        </w:tc>
        <w:tc>
          <w:tcPr>
            <w:tcW w:w="21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68</w:t>
            </w:r>
          </w:p>
        </w:tc>
        <w:tc>
          <w:tcPr>
            <w:tcW w:w="24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b w:val="false"/>
              </w:rPr>
            </w:pPr>
            <w:r>
              <w:rPr>
                <w:b w:val="false"/>
              </w:rPr>
              <w:t>68-70</w:t>
            </w:r>
          </w:p>
        </w:tc>
        <w:tc>
          <w:tcPr>
            <w:tcW w:w="275" w:type="dxa"/>
            <w:tcBorders/>
            <w:shd w:fill="CCEEFF" w:val="clear"/>
            <w:vAlign w:val="bottom"/>
          </w:tcPr>
          <w:p>
            <w:pPr>
              <w:pStyle w:val="TableContents"/>
              <w:bidi w:val="0"/>
              <w:spacing w:before="0" w:after="283"/>
              <w:jc w:val="left"/>
              <w:rPr/>
            </w:pPr>
            <w:r>
              <w:rPr>
                <w:rStyle w:val="StrongEmphasis"/>
                <w:b w:val="false"/>
              </w:rPr>
              <w:t>%</w:t>
            </w:r>
          </w:p>
        </w:tc>
      </w:tr>
      <w:tr>
        <w:trPr/>
        <w:tc>
          <w:tcPr>
            <w:tcW w:w="17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Dividend yield</w:t>
            </w:r>
          </w:p>
        </w:tc>
        <w:tc>
          <w:tcPr>
            <w:tcW w:w="9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rFonts w:ascii="Times New Roman" w:hAnsi="Times New Roman"/>
              </w:rPr>
            </w:pPr>
            <w:r>
              <w:rPr>
                <w:rFonts w:ascii="Times New Roman" w:hAnsi="Times New Roman"/>
              </w:rPr>
              <w:t>0.0</w:t>
            </w:r>
          </w:p>
        </w:tc>
        <w:tc>
          <w:tcPr>
            <w:tcW w:w="2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rFonts w:ascii="Times New Roman" w:hAnsi="Times New Roman"/>
              </w:rPr>
            </w:pPr>
            <w:r>
              <w:rPr>
                <w:rFonts w:ascii="Times New Roman" w:hAnsi="Times New Roman"/>
              </w:rPr>
              <w:t>0.0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5"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r>
      <w:tr>
        <w:trPr/>
        <w:tc>
          <w:tcPr>
            <w:tcW w:w="177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Risk-free interest rate</w:t>
            </w:r>
          </w:p>
        </w:tc>
        <w:tc>
          <w:tcPr>
            <w:tcW w:w="9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4.20-4.62</w:t>
            </w:r>
          </w:p>
        </w:tc>
        <w:tc>
          <w:tcPr>
            <w:tcW w:w="21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1.72-1.73</w:t>
            </w:r>
          </w:p>
        </w:tc>
        <w:tc>
          <w:tcPr>
            <w:tcW w:w="24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0.80-1.27</w:t>
            </w:r>
          </w:p>
        </w:tc>
        <w:tc>
          <w:tcPr>
            <w:tcW w:w="275" w:type="dxa"/>
            <w:tcBorders/>
            <w:shd w:fill="CCEEFF" w:val="clear"/>
            <w:vAlign w:val="bottom"/>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ind w:left="0" w:right="0" w:firstLine="180"/>
        <w:jc w:val="left"/>
        <w:rPr>
          <w:rFonts w:ascii="Times New Roman" w:hAnsi="Times New Roman"/>
          <w:sz w:val="22"/>
        </w:rPr>
      </w:pPr>
      <w:r>
        <w:rPr>
          <w:rFonts w:ascii="Times New Roman" w:hAnsi="Times New Roman"/>
          <w:sz w:val="22"/>
        </w:rPr>
      </w:r>
    </w:p>
    <w:p>
      <w:pPr>
        <w:pStyle w:val="TextBody"/>
        <w:bidi w:val="0"/>
        <w:spacing w:before="0" w:after="0"/>
        <w:ind w:left="0" w:right="0" w:firstLine="720"/>
        <w:jc w:val="left"/>
        <w:rPr/>
      </w:pPr>
      <w:r>
        <w:rPr>
          <w:rFonts w:ascii="Times New Roman" w:hAnsi="Times New Roman"/>
          <w:b w:val="false"/>
          <w:i w:val="false"/>
          <w:caps w:val="false"/>
          <w:smallCaps w:val="false"/>
          <w:color w:val="000000"/>
          <w:sz w:val="20"/>
          <w:shd w:fill="FFFFFF" w:val="clear"/>
        </w:rPr>
        <w:t xml:space="preserve">The following table summarizes information about stock options outstanding as of December 31, </w:t>
      </w:r>
      <w:r>
        <w:rPr>
          <w:rStyle w:val="StrongEmphasis"/>
          <w:rFonts w:ascii="Times New Roman" w:hAnsi="Times New Roman"/>
          <w:b w:val="false"/>
          <w:i w:val="false"/>
          <w:caps w:val="false"/>
          <w:smallCaps w:val="false"/>
          <w:color w:val="000000"/>
          <w:sz w:val="20"/>
          <w:shd w:fill="FFFFFF" w:val="clear"/>
        </w:rPr>
        <w:t xml:space="preserve">2023, </w:t>
      </w:r>
      <w:r>
        <w:rPr>
          <w:rFonts w:ascii="Times New Roman" w:hAnsi="Times New Roman"/>
          <w:b w:val="false"/>
          <w:i w:val="false"/>
          <w:caps w:val="false"/>
          <w:smallCaps w:val="false"/>
          <w:color w:val="000000"/>
          <w:sz w:val="20"/>
          <w:shd w:fill="FFFFFF" w:val="clear"/>
        </w:rPr>
        <w:t>2022 and 2021:</w:t>
      </w:r>
      <w:r>
        <w:rPr>
          <w:rFonts w:ascii="Times New Roman" w:hAnsi="Times New Roman"/>
          <w:b w:val="false"/>
          <w:i w:val="false"/>
          <w:caps w:val="false"/>
          <w:smallCaps w:val="false"/>
          <w:color w:val="000000"/>
          <w:sz w:val="22"/>
          <w:shd w:fill="FFFFFF" w:val="clear"/>
        </w:rPr>
        <w:t xml:space="preserve">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9754" w:type="dxa"/>
        <w:jc w:val="left"/>
        <w:tblInd w:w="0" w:type="dxa"/>
        <w:tblLayout w:type="fixed"/>
        <w:tblCellMar>
          <w:top w:w="0" w:type="dxa"/>
          <w:left w:w="0" w:type="dxa"/>
          <w:bottom w:w="0" w:type="dxa"/>
          <w:right w:w="0" w:type="dxa"/>
        </w:tblCellMar>
      </w:tblPr>
      <w:tblGrid>
        <w:gridCol w:w="6875"/>
        <w:gridCol w:w="90"/>
        <w:gridCol w:w="90"/>
        <w:gridCol w:w="1085"/>
        <w:gridCol w:w="125"/>
        <w:gridCol w:w="90"/>
        <w:gridCol w:w="339"/>
        <w:gridCol w:w="940"/>
        <w:gridCol w:w="120"/>
      </w:tblGrid>
      <w:tr>
        <w:trPr/>
        <w:tc>
          <w:tcPr>
            <w:tcW w:w="687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Shares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279"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Weighted</w:t>
            </w:r>
          </w:p>
          <w:p>
            <w:pPr>
              <w:pStyle w:val="TableContents"/>
              <w:bidi w:val="0"/>
              <w:spacing w:before="0" w:after="0"/>
              <w:ind w:left="0" w:right="0" w:hanging="0"/>
              <w:jc w:val="center"/>
              <w:rPr/>
            </w:pPr>
            <w:r>
              <w:rPr>
                <w:rStyle w:val="StrongEmphasis"/>
                <w:rFonts w:ascii="Times New Roman" w:hAnsi="Times New Roman"/>
                <w:sz w:val="20"/>
              </w:rPr>
              <w:t>Average</w:t>
            </w:r>
          </w:p>
          <w:p>
            <w:pPr>
              <w:pStyle w:val="TableContents"/>
              <w:bidi w:val="0"/>
              <w:spacing w:before="0" w:after="0"/>
              <w:ind w:left="0" w:right="0" w:hanging="0"/>
              <w:jc w:val="center"/>
              <w:rPr/>
            </w:pPr>
            <w:r>
              <w:rPr>
                <w:rStyle w:val="StrongEmphasis"/>
                <w:rFonts w:ascii="Times New Roman" w:hAnsi="Times New Roman"/>
                <w:sz w:val="20"/>
              </w:rPr>
              <w:t>Exercise Price</w:t>
            </w:r>
          </w:p>
        </w:tc>
        <w:tc>
          <w:tcPr>
            <w:tcW w:w="120" w:type="dxa"/>
            <w:tcBorders/>
            <w:vAlign w:val="bottom"/>
          </w:tcPr>
          <w:p>
            <w:pPr>
              <w:pStyle w:val="TableContents"/>
              <w:bidi w:val="0"/>
              <w:spacing w:before="0" w:after="283"/>
              <w:jc w:val="left"/>
              <w:rPr/>
            </w:pPr>
            <w:r>
              <w:rPr/>
              <w:t> </w:t>
            </w:r>
          </w:p>
        </w:tc>
      </w:tr>
      <w:tr>
        <w:trPr/>
        <w:tc>
          <w:tcPr>
            <w:tcW w:w="6875" w:type="dxa"/>
            <w:tcBorders/>
            <w:shd w:fill="CCEEFF" w:val="clear"/>
            <w:vAlign w:val="bottom"/>
          </w:tcPr>
          <w:p>
            <w:pPr>
              <w:pStyle w:val="TableContents"/>
              <w:bidi w:val="0"/>
              <w:spacing w:before="0" w:after="0"/>
              <w:ind w:left="180" w:right="0" w:hanging="180"/>
              <w:jc w:val="left"/>
              <w:rPr/>
            </w:pPr>
            <w:r>
              <w:rPr/>
              <w:t xml:space="preserve">Options outstanding, vested and expected to vest at December 31, 2020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6,922,931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4.40</w:t>
            </w:r>
          </w:p>
        </w:tc>
        <w:tc>
          <w:tcPr>
            <w:tcW w:w="120"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0"/>
              <w:ind w:left="180" w:right="0" w:hanging="180"/>
              <w:jc w:val="left"/>
              <w:rPr/>
            </w:pPr>
            <w:r>
              <w:rPr/>
              <w:t xml:space="preserve">Forfeited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rFonts w:ascii="Times New Roman" w:hAnsi="Times New Roman"/>
              </w:rPr>
            </w:pPr>
            <w:r>
              <w:rPr>
                <w:rFonts w:ascii="Times New Roman" w:hAnsi="Times New Roman"/>
              </w:rPr>
              <w:t>(529,202</w:t>
            </w:r>
          </w:p>
        </w:tc>
        <w:tc>
          <w:tcPr>
            <w:tcW w:w="125"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vAlign w:val="bottom"/>
          </w:tcPr>
          <w:p>
            <w:pPr>
              <w:pStyle w:val="TableContents"/>
              <w:bidi w:val="0"/>
              <w:spacing w:before="0" w:after="283"/>
              <w:jc w:val="right"/>
              <w:rPr>
                <w:rFonts w:ascii="Times New Roman" w:hAnsi="Times New Roman"/>
              </w:rPr>
            </w:pPr>
            <w:r>
              <w:rPr>
                <w:rFonts w:ascii="Times New Roman" w:hAnsi="Times New Roman"/>
              </w:rPr>
              <w:t>2.89</w:t>
            </w:r>
          </w:p>
        </w:tc>
        <w:tc>
          <w:tcPr>
            <w:tcW w:w="120" w:type="dxa"/>
            <w:tcBorders/>
            <w:vAlign w:val="bottom"/>
          </w:tcPr>
          <w:p>
            <w:pPr>
              <w:pStyle w:val="TableContents"/>
              <w:bidi w:val="0"/>
              <w:spacing w:before="0" w:after="283"/>
              <w:jc w:val="left"/>
              <w:rPr/>
            </w:pPr>
            <w:r>
              <w:rPr/>
              <w:t> </w:t>
            </w:r>
          </w:p>
        </w:tc>
      </w:tr>
      <w:tr>
        <w:trPr/>
        <w:tc>
          <w:tcPr>
            <w:tcW w:w="6875" w:type="dxa"/>
            <w:tcBorders/>
            <w:shd w:fill="CCEEFF" w:val="clear"/>
            <w:vAlign w:val="bottom"/>
          </w:tcPr>
          <w:p>
            <w:pPr>
              <w:pStyle w:val="TableContents"/>
              <w:bidi w:val="0"/>
              <w:spacing w:before="0" w:after="0"/>
              <w:ind w:left="180" w:right="0" w:hanging="180"/>
              <w:jc w:val="left"/>
              <w:rPr/>
            </w:pPr>
            <w:r>
              <w:rPr/>
              <w:t xml:space="preserve">Expired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(426,557</w:t>
            </w:r>
          </w:p>
        </w:tc>
        <w:tc>
          <w:tcPr>
            <w:tcW w:w="12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4.91</w:t>
            </w:r>
          </w:p>
        </w:tc>
        <w:tc>
          <w:tcPr>
            <w:tcW w:w="120"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0"/>
              <w:ind w:left="180" w:right="0" w:hanging="180"/>
              <w:jc w:val="left"/>
              <w:rPr/>
            </w:pPr>
            <w:r>
              <w:rPr/>
              <w:t xml:space="preserve">Granted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rFonts w:ascii="Times New Roman" w:hAnsi="Times New Roman"/>
              </w:rPr>
            </w:pPr>
            <w:r>
              <w:rPr>
                <w:rFonts w:ascii="Times New Roman" w:hAnsi="Times New Roman"/>
              </w:rPr>
              <w:t>1,895,550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vAlign w:val="bottom"/>
          </w:tcPr>
          <w:p>
            <w:pPr>
              <w:pStyle w:val="TableContents"/>
              <w:bidi w:val="0"/>
              <w:spacing w:before="0" w:after="283"/>
              <w:jc w:val="right"/>
              <w:rPr>
                <w:rFonts w:ascii="Times New Roman" w:hAnsi="Times New Roman"/>
              </w:rPr>
            </w:pPr>
            <w:r>
              <w:rPr>
                <w:rFonts w:ascii="Times New Roman" w:hAnsi="Times New Roman"/>
              </w:rPr>
              <w:t>2.14</w:t>
            </w:r>
          </w:p>
        </w:tc>
        <w:tc>
          <w:tcPr>
            <w:tcW w:w="120" w:type="dxa"/>
            <w:tcBorders/>
            <w:vAlign w:val="bottom"/>
          </w:tcPr>
          <w:p>
            <w:pPr>
              <w:pStyle w:val="TableContents"/>
              <w:bidi w:val="0"/>
              <w:spacing w:before="0" w:after="283"/>
              <w:jc w:val="left"/>
              <w:rPr/>
            </w:pPr>
            <w:r>
              <w:rPr/>
              <w:t> </w:t>
            </w:r>
          </w:p>
        </w:tc>
      </w:tr>
      <w:tr>
        <w:trPr/>
        <w:tc>
          <w:tcPr>
            <w:tcW w:w="6875" w:type="dxa"/>
            <w:tcBorders/>
            <w:shd w:fill="CCEEFF" w:val="clear"/>
            <w:vAlign w:val="bottom"/>
          </w:tcPr>
          <w:p>
            <w:pPr>
              <w:pStyle w:val="TableContents"/>
              <w:bidi w:val="0"/>
              <w:spacing w:before="0" w:after="0"/>
              <w:ind w:left="180" w:right="0" w:hanging="180"/>
              <w:jc w:val="left"/>
              <w:rPr/>
            </w:pPr>
            <w:r>
              <w:rPr/>
              <w:t xml:space="preserve">Exercised </w:t>
            </w:r>
          </w:p>
        </w:tc>
        <w:tc>
          <w:tcPr>
            <w:tcW w:w="90" w:type="dxa"/>
            <w:tcBorders/>
            <w:shd w:fill="CCEEFF" w:val="clear"/>
            <w:vAlign w:val="bottom"/>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w:t>
            </w:r>
          </w:p>
        </w:tc>
        <w:tc>
          <w:tcPr>
            <w:tcW w:w="120"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outstanding, vested and expected to vest at December 31, 2021</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rFonts w:ascii="Times New Roman" w:hAnsi="Times New Roman"/>
              </w:rPr>
            </w:pPr>
            <w:r>
              <w:rPr>
                <w:rFonts w:ascii="Times New Roman" w:hAnsi="Times New Roman"/>
              </w:rPr>
              <w:t>7,862,722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vAlign w:val="bottom"/>
          </w:tcPr>
          <w:p>
            <w:pPr>
              <w:pStyle w:val="TableContents"/>
              <w:bidi w:val="0"/>
              <w:spacing w:before="0" w:after="283"/>
              <w:jc w:val="right"/>
              <w:rPr>
                <w:rFonts w:ascii="Times New Roman" w:hAnsi="Times New Roman"/>
              </w:rPr>
            </w:pPr>
            <w:r>
              <w:rPr>
                <w:rFonts w:ascii="Times New Roman" w:hAnsi="Times New Roman"/>
              </w:rPr>
              <w:t>3.93</w:t>
            </w:r>
          </w:p>
        </w:tc>
        <w:tc>
          <w:tcPr>
            <w:tcW w:w="120" w:type="dxa"/>
            <w:tcBorders/>
            <w:vAlign w:val="bottom"/>
          </w:tcPr>
          <w:p>
            <w:pPr>
              <w:pStyle w:val="TableContents"/>
              <w:bidi w:val="0"/>
              <w:spacing w:before="0" w:after="283"/>
              <w:jc w:val="left"/>
              <w:rPr/>
            </w:pPr>
            <w:r>
              <w:rPr/>
              <w:t> </w:t>
            </w:r>
          </w:p>
        </w:tc>
      </w:tr>
      <w:tr>
        <w:trPr/>
        <w:tc>
          <w:tcPr>
            <w:tcW w:w="687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(31,540</w:t>
            </w:r>
          </w:p>
        </w:tc>
        <w:tc>
          <w:tcPr>
            <w:tcW w:w="12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2.37</w:t>
            </w:r>
          </w:p>
        </w:tc>
        <w:tc>
          <w:tcPr>
            <w:tcW w:w="120"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Expired</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rFonts w:ascii="Times New Roman" w:hAnsi="Times New Roman"/>
              </w:rPr>
            </w:pPr>
            <w:r>
              <w:rPr>
                <w:rFonts w:ascii="Times New Roman" w:hAnsi="Times New Roman"/>
              </w:rPr>
              <w:t>(700,324</w:t>
            </w:r>
          </w:p>
        </w:tc>
        <w:tc>
          <w:tcPr>
            <w:tcW w:w="125"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vAlign w:val="bottom"/>
          </w:tcPr>
          <w:p>
            <w:pPr>
              <w:pStyle w:val="TableContents"/>
              <w:bidi w:val="0"/>
              <w:spacing w:before="0" w:after="283"/>
              <w:jc w:val="right"/>
              <w:rPr>
                <w:rFonts w:ascii="Times New Roman" w:hAnsi="Times New Roman"/>
              </w:rPr>
            </w:pPr>
            <w:r>
              <w:rPr>
                <w:rFonts w:ascii="Times New Roman" w:hAnsi="Times New Roman"/>
              </w:rPr>
              <w:t>6.86</w:t>
            </w:r>
          </w:p>
        </w:tc>
        <w:tc>
          <w:tcPr>
            <w:tcW w:w="120" w:type="dxa"/>
            <w:tcBorders/>
            <w:vAlign w:val="bottom"/>
          </w:tcPr>
          <w:p>
            <w:pPr>
              <w:pStyle w:val="TableContents"/>
              <w:bidi w:val="0"/>
              <w:spacing w:before="0" w:after="283"/>
              <w:jc w:val="left"/>
              <w:rPr/>
            </w:pPr>
            <w:r>
              <w:rPr/>
              <w:t> </w:t>
            </w:r>
          </w:p>
        </w:tc>
      </w:tr>
      <w:tr>
        <w:trPr/>
        <w:tc>
          <w:tcPr>
            <w:tcW w:w="687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1,194,032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1.67</w:t>
            </w:r>
          </w:p>
        </w:tc>
        <w:tc>
          <w:tcPr>
            <w:tcW w:w="120"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Exercised</w:t>
            </w:r>
          </w:p>
        </w:tc>
        <w:tc>
          <w:tcPr>
            <w:tcW w:w="90" w:type="dxa"/>
            <w:tcBorders/>
            <w:vAlign w:val="bottom"/>
          </w:tcPr>
          <w:p>
            <w:pPr>
              <w:pStyle w:val="TableContents"/>
              <w:bidi w:val="0"/>
              <w:spacing w:before="0" w:after="283"/>
              <w:jc w:val="righ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(68,679</w:t>
            </w:r>
          </w:p>
        </w:tc>
        <w:tc>
          <w:tcPr>
            <w:tcW w:w="125"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vAlign w:val="bottom"/>
          </w:tcPr>
          <w:p>
            <w:pPr>
              <w:pStyle w:val="TableContents"/>
              <w:bidi w:val="0"/>
              <w:spacing w:before="0" w:after="283"/>
              <w:jc w:val="right"/>
              <w:rPr>
                <w:rFonts w:ascii="Times New Roman" w:hAnsi="Times New Roman"/>
              </w:rPr>
            </w:pPr>
            <w:r>
              <w:rPr>
                <w:rFonts w:ascii="Times New Roman" w:hAnsi="Times New Roman"/>
              </w:rPr>
              <w:t>2.55</w:t>
            </w:r>
          </w:p>
        </w:tc>
        <w:tc>
          <w:tcPr>
            <w:tcW w:w="120" w:type="dxa"/>
            <w:tcBorders/>
            <w:vAlign w:val="bottom"/>
          </w:tcPr>
          <w:p>
            <w:pPr>
              <w:pStyle w:val="TableContents"/>
              <w:bidi w:val="0"/>
              <w:spacing w:before="0" w:after="283"/>
              <w:jc w:val="left"/>
              <w:rPr/>
            </w:pPr>
            <w:r>
              <w:rPr/>
              <w:t> </w:t>
            </w:r>
          </w:p>
        </w:tc>
      </w:tr>
      <w:tr>
        <w:trPr/>
        <w:tc>
          <w:tcPr>
            <w:tcW w:w="687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outstanding, vested and expected to vest at December 31, 2022</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8,256,211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3.37</w:t>
            </w:r>
          </w:p>
        </w:tc>
        <w:tc>
          <w:tcPr>
            <w:tcW w:w="120"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rFonts w:ascii="Times New Roman" w:hAnsi="Times New Roman"/>
              </w:rPr>
            </w:pPr>
            <w:r>
              <w:rPr>
                <w:rFonts w:ascii="Times New Roman" w:hAnsi="Times New Roman"/>
              </w:rPr>
              <w:t>(99,345</w:t>
            </w:r>
          </w:p>
        </w:tc>
        <w:tc>
          <w:tcPr>
            <w:tcW w:w="125"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vAlign w:val="bottom"/>
          </w:tcPr>
          <w:p>
            <w:pPr>
              <w:pStyle w:val="TableContents"/>
              <w:bidi w:val="0"/>
              <w:spacing w:before="0" w:after="283"/>
              <w:jc w:val="right"/>
              <w:rPr>
                <w:rFonts w:ascii="Times New Roman" w:hAnsi="Times New Roman"/>
              </w:rPr>
            </w:pPr>
            <w:r>
              <w:rPr>
                <w:rFonts w:ascii="Times New Roman" w:hAnsi="Times New Roman"/>
              </w:rPr>
              <w:t>2.73</w:t>
            </w:r>
          </w:p>
        </w:tc>
        <w:tc>
          <w:tcPr>
            <w:tcW w:w="120" w:type="dxa"/>
            <w:tcBorders/>
            <w:vAlign w:val="bottom"/>
          </w:tcPr>
          <w:p>
            <w:pPr>
              <w:pStyle w:val="TableContents"/>
              <w:bidi w:val="0"/>
              <w:spacing w:before="0" w:after="283"/>
              <w:jc w:val="left"/>
              <w:rPr/>
            </w:pPr>
            <w:r>
              <w:rPr/>
              <w:t> </w:t>
            </w:r>
          </w:p>
        </w:tc>
      </w:tr>
      <w:tr>
        <w:trPr/>
        <w:tc>
          <w:tcPr>
            <w:tcW w:w="687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Expired</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(262,940</w:t>
            </w:r>
          </w:p>
        </w:tc>
        <w:tc>
          <w:tcPr>
            <w:tcW w:w="12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6.42</w:t>
            </w:r>
          </w:p>
        </w:tc>
        <w:tc>
          <w:tcPr>
            <w:tcW w:w="120"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rFonts w:ascii="Times New Roman" w:hAnsi="Times New Roman"/>
              </w:rPr>
            </w:pPr>
            <w:r>
              <w:rPr>
                <w:rFonts w:ascii="Times New Roman" w:hAnsi="Times New Roman"/>
              </w:rPr>
              <w:t>1,826,380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vAlign w:val="bottom"/>
          </w:tcPr>
          <w:p>
            <w:pPr>
              <w:pStyle w:val="TableContents"/>
              <w:bidi w:val="0"/>
              <w:spacing w:before="0" w:after="283"/>
              <w:jc w:val="right"/>
              <w:rPr>
                <w:rFonts w:ascii="Times New Roman" w:hAnsi="Times New Roman"/>
              </w:rPr>
            </w:pPr>
            <w:r>
              <w:rPr>
                <w:rFonts w:ascii="Times New Roman" w:hAnsi="Times New Roman"/>
              </w:rPr>
              <w:t>3.36</w:t>
            </w:r>
          </w:p>
        </w:tc>
        <w:tc>
          <w:tcPr>
            <w:tcW w:w="120" w:type="dxa"/>
            <w:tcBorders/>
            <w:vAlign w:val="bottom"/>
          </w:tcPr>
          <w:p>
            <w:pPr>
              <w:pStyle w:val="TableContents"/>
              <w:bidi w:val="0"/>
              <w:spacing w:before="0" w:after="283"/>
              <w:jc w:val="left"/>
              <w:rPr/>
            </w:pPr>
            <w:r>
              <w:rPr/>
              <w:t> </w:t>
            </w:r>
          </w:p>
        </w:tc>
      </w:tr>
      <w:tr>
        <w:trPr/>
        <w:tc>
          <w:tcPr>
            <w:tcW w:w="687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Exercised</w:t>
            </w:r>
          </w:p>
        </w:tc>
        <w:tc>
          <w:tcPr>
            <w:tcW w:w="90" w:type="dxa"/>
            <w:tcBorders/>
            <w:shd w:fill="CCEEFF" w:val="clear"/>
            <w:vAlign w:val="bottom"/>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(3,814,122</w:t>
            </w:r>
          </w:p>
        </w:tc>
        <w:tc>
          <w:tcPr>
            <w:tcW w:w="12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3.15</w:t>
            </w:r>
          </w:p>
        </w:tc>
        <w:tc>
          <w:tcPr>
            <w:tcW w:w="120"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outstanding, vested and expected to vest at December 31, 2023</w:t>
            </w:r>
          </w:p>
        </w:tc>
        <w:tc>
          <w:tcPr>
            <w:tcW w:w="90" w:type="dxa"/>
            <w:tcBorders/>
            <w:vAlign w:val="bottom"/>
          </w:tcPr>
          <w:p>
            <w:pPr>
              <w:pStyle w:val="TableContents"/>
              <w:bidi w:val="0"/>
              <w:spacing w:before="0" w:after="283"/>
              <w:jc w:val="right"/>
              <w:rPr/>
            </w:pPr>
            <w:r>
              <w:rPr/>
              <w:t> </w:t>
            </w:r>
          </w:p>
        </w:tc>
        <w:tc>
          <w:tcPr>
            <w:tcW w:w="90" w:type="dxa"/>
            <w:tcBorders>
              <w:bottom w:val="double" w:sz="6" w:space="0" w:color="000000"/>
            </w:tcBorders>
            <w:tcMar>
              <w:bottom w:w="45" w:type="dxa"/>
            </w:tcMar>
            <w:vAlign w:val="bottom"/>
          </w:tcPr>
          <w:p>
            <w:pPr>
              <w:pStyle w:val="TableContents"/>
              <w:bidi w:val="0"/>
              <w:spacing w:before="0" w:after="283"/>
              <w:jc w:val="left"/>
              <w:rPr/>
            </w:pPr>
            <w:r>
              <w:rPr/>
              <w:t> </w:t>
            </w:r>
          </w:p>
        </w:tc>
        <w:tc>
          <w:tcPr>
            <w:tcW w:w="1085" w:type="dxa"/>
            <w:tcBorders>
              <w:bottom w:val="double" w:sz="6" w:space="0" w:color="000000"/>
            </w:tcBorders>
            <w:tcMar>
              <w:bottom w:w="45" w:type="dxa"/>
            </w:tcMar>
            <w:vAlign w:val="bottom"/>
          </w:tcPr>
          <w:p>
            <w:pPr>
              <w:pStyle w:val="TableContents"/>
              <w:bidi w:val="0"/>
              <w:spacing w:before="0" w:after="283"/>
              <w:jc w:val="right"/>
              <w:rPr>
                <w:rFonts w:ascii="Times New Roman" w:hAnsi="Times New Roman"/>
              </w:rPr>
            </w:pPr>
            <w:r>
              <w:rPr>
                <w:rFonts w:ascii="Times New Roman" w:hAnsi="Times New Roman"/>
              </w:rPr>
              <w:t>5,906,184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vAlign w:val="bottom"/>
          </w:tcPr>
          <w:p>
            <w:pPr>
              <w:pStyle w:val="TableContents"/>
              <w:bidi w:val="0"/>
              <w:spacing w:before="0" w:after="283"/>
              <w:jc w:val="right"/>
              <w:rPr>
                <w:rFonts w:ascii="Times New Roman" w:hAnsi="Times New Roman"/>
              </w:rPr>
            </w:pPr>
            <w:r>
              <w:rPr>
                <w:rFonts w:ascii="Times New Roman" w:hAnsi="Times New Roman"/>
              </w:rPr>
              <w:t>3.38</w:t>
            </w:r>
          </w:p>
        </w:tc>
        <w:tc>
          <w:tcPr>
            <w:tcW w:w="120" w:type="dxa"/>
            <w:tcBorders/>
            <w:vAlign w:val="bottom"/>
          </w:tcPr>
          <w:p>
            <w:pPr>
              <w:pStyle w:val="TableContents"/>
              <w:bidi w:val="0"/>
              <w:spacing w:before="0" w:after="283"/>
              <w:jc w:val="left"/>
              <w:rPr/>
            </w:pPr>
            <w:r>
              <w:rPr/>
              <w:t> </w:t>
            </w:r>
          </w:p>
        </w:tc>
      </w:tr>
      <w:tr>
        <w:trPr/>
        <w:tc>
          <w:tcPr>
            <w:tcW w:w="6875"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exercisable</w:t>
            </w:r>
          </w:p>
        </w:tc>
        <w:tc>
          <w:tcPr>
            <w:tcW w:w="90" w:type="dxa"/>
            <w:tcBorders/>
            <w:vAlign w:val="bottom"/>
          </w:tcPr>
          <w:p>
            <w:pPr>
              <w:pStyle w:val="TableContents"/>
              <w:bidi w:val="0"/>
              <w:spacing w:before="0" w:after="283"/>
              <w:jc w:val="right"/>
              <w:rPr/>
            </w:pPr>
            <w:r>
              <w:rPr/>
              <w:t> </w:t>
            </w:r>
          </w:p>
        </w:tc>
        <w:tc>
          <w:tcPr>
            <w:tcW w:w="90" w:type="dxa"/>
            <w:tcBorders>
              <w:bottom w:val="double" w:sz="6" w:space="0" w:color="000000"/>
            </w:tcBorders>
            <w:tcMar>
              <w:bottom w:w="45" w:type="dxa"/>
            </w:tcMar>
            <w:vAlign w:val="bottom"/>
          </w:tcPr>
          <w:p>
            <w:pPr>
              <w:pStyle w:val="TableContents"/>
              <w:bidi w:val="0"/>
              <w:spacing w:before="0" w:after="283"/>
              <w:jc w:val="left"/>
              <w:rPr/>
            </w:pPr>
            <w:r>
              <w:rPr/>
              <w:t> </w:t>
            </w:r>
          </w:p>
        </w:tc>
        <w:tc>
          <w:tcPr>
            <w:tcW w:w="1085" w:type="dxa"/>
            <w:tcBorders>
              <w:bottom w:val="double" w:sz="6" w:space="0" w:color="000000"/>
            </w:tcBorders>
            <w:tcMar>
              <w:bottom w:w="45" w:type="dxa"/>
            </w:tcMar>
            <w:vAlign w:val="bottom"/>
          </w:tcPr>
          <w:p>
            <w:pPr>
              <w:pStyle w:val="TableContents"/>
              <w:bidi w:val="0"/>
              <w:spacing w:before="0" w:after="283"/>
              <w:jc w:val="right"/>
              <w:rPr>
                <w:rFonts w:ascii="Times New Roman" w:hAnsi="Times New Roman"/>
              </w:rPr>
            </w:pPr>
            <w:r>
              <w:rPr>
                <w:rFonts w:ascii="Times New Roman" w:hAnsi="Times New Roman"/>
              </w:rPr>
              <w:t>3,410,131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39" w:type="dxa"/>
            <w:tcBorders>
              <w:bottom w:val="double" w:sz="6" w:space="0" w:color="000000"/>
            </w:tcBorders>
            <w:tcMar>
              <w:bottom w:w="45"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bottom w:val="double" w:sz="6" w:space="0" w:color="000000"/>
            </w:tcBorders>
            <w:tcMar>
              <w:bottom w:w="45" w:type="dxa"/>
            </w:tcMar>
            <w:vAlign w:val="bottom"/>
          </w:tcPr>
          <w:p>
            <w:pPr>
              <w:pStyle w:val="TableContents"/>
              <w:bidi w:val="0"/>
              <w:spacing w:before="0" w:after="283"/>
              <w:jc w:val="right"/>
              <w:rPr>
                <w:rFonts w:ascii="Times New Roman" w:hAnsi="Times New Roman"/>
              </w:rPr>
            </w:pPr>
            <w:r>
              <w:rPr>
                <w:rFonts w:ascii="Times New Roman" w:hAnsi="Times New Roman"/>
              </w:rPr>
              <w:t>3.79</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F-18</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pPr>
      <w:r>
        <w:rPr/>
      </w:r>
    </w:p>
    <w:p>
      <w:pPr>
        <w:pStyle w:val="TextBody"/>
        <w:bidi w:val="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As of December 31, 2023, the Company had $3.8 million of unrecognized compensation expense related to stock options granted under the Company’s equity incentive plans, which is expected to be recognized over a weighted-average period of 2.6 years. The weighted average remaining contractual term of stock options outstanding and expected to vest at December 31, 2023 is 6.6 years. The weighted average remaining contractual term of stock options exercisable at December 31, 2023 is 5.2 years.The following table summarizes additional information regarding outstanding and exercisable options under the stock option plans at December 31, 2023: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10205" w:type="dxa"/>
        <w:jc w:val="left"/>
        <w:tblInd w:w="0" w:type="dxa"/>
        <w:tblLayout w:type="fixed"/>
        <w:tblCellMar>
          <w:top w:w="0" w:type="dxa"/>
          <w:left w:w="0" w:type="dxa"/>
          <w:bottom w:w="0" w:type="dxa"/>
          <w:right w:w="0" w:type="dxa"/>
        </w:tblCellMar>
      </w:tblPr>
      <w:tblGrid>
        <w:gridCol w:w="755"/>
        <w:gridCol w:w="90"/>
        <w:gridCol w:w="90"/>
        <w:gridCol w:w="91"/>
        <w:gridCol w:w="1025"/>
        <w:gridCol w:w="90"/>
        <w:gridCol w:w="90"/>
        <w:gridCol w:w="206"/>
        <w:gridCol w:w="804"/>
        <w:gridCol w:w="90"/>
        <w:gridCol w:w="90"/>
        <w:gridCol w:w="200"/>
        <w:gridCol w:w="694"/>
        <w:gridCol w:w="90"/>
        <w:gridCol w:w="90"/>
        <w:gridCol w:w="206"/>
        <w:gridCol w:w="716"/>
        <w:gridCol w:w="90"/>
        <w:gridCol w:w="90"/>
        <w:gridCol w:w="91"/>
        <w:gridCol w:w="1025"/>
        <w:gridCol w:w="90"/>
        <w:gridCol w:w="90"/>
        <w:gridCol w:w="206"/>
        <w:gridCol w:w="804"/>
        <w:gridCol w:w="90"/>
        <w:gridCol w:w="90"/>
        <w:gridCol w:w="200"/>
        <w:gridCol w:w="694"/>
        <w:gridCol w:w="90"/>
        <w:gridCol w:w="90"/>
        <w:gridCol w:w="206"/>
        <w:gridCol w:w="716"/>
        <w:gridCol w:w="126"/>
      </w:tblGrid>
      <w:tr>
        <w:trPr/>
        <w:tc>
          <w:tcPr>
            <w:tcW w:w="7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ind w:left="0" w:right="0" w:hanging="0"/>
              <w:jc w:val="left"/>
              <w:rPr/>
            </w:pPr>
            <w:r>
              <w:rPr/>
              <w:t> </w:t>
            </w:r>
          </w:p>
        </w:tc>
        <w:tc>
          <w:tcPr>
            <w:tcW w:w="4482" w:type="dxa"/>
            <w:gridSpan w:val="14"/>
            <w:tcBorders>
              <w:bottom w:val="single" w:sz="1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Stock Options Outstanding</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4482" w:type="dxa"/>
            <w:gridSpan w:val="14"/>
            <w:tcBorders>
              <w:bottom w:val="single" w:sz="1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Stock Options Exercisable</w:t>
            </w:r>
          </w:p>
        </w:tc>
        <w:tc>
          <w:tcPr>
            <w:tcW w:w="126" w:type="dxa"/>
            <w:tcBorders/>
            <w:vAlign w:val="center"/>
          </w:tcPr>
          <w:p>
            <w:pPr>
              <w:pStyle w:val="TableContents"/>
              <w:bidi w:val="0"/>
              <w:spacing w:before="0" w:after="0"/>
              <w:ind w:left="0" w:right="0" w:hanging="0"/>
              <w:jc w:val="left"/>
              <w:rPr/>
            </w:pPr>
            <w:r>
              <w:rPr/>
              <w:t> </w:t>
            </w:r>
          </w:p>
        </w:tc>
      </w:tr>
      <w:tr>
        <w:trPr/>
        <w:tc>
          <w:tcPr>
            <w:tcW w:w="75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Range of</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Exercise Prices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Options Outstanding</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Weighted</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Average</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Remaining</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Contractual</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Life (Years)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9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Weighted Average Exercise Price</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Aggregate Intrinsic Value</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($000’s)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Options Outstanding</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Weighted</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Average</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Remaining</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Contractual</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Life (Years)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9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Weighted Average Exercise Price</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Aggregate Intrinsic Value</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($000’s)</w:t>
            </w:r>
          </w:p>
        </w:tc>
        <w:tc>
          <w:tcPr>
            <w:tcW w:w="126" w:type="dxa"/>
            <w:tcBorders/>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$1.10 - $1.67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1,175,410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7.7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1.60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716"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3,428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590,275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7.3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1.56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716"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1,748</w:t>
            </w:r>
          </w:p>
        </w:tc>
        <w:tc>
          <w:tcPr>
            <w:tcW w:w="126" w:type="dxa"/>
            <w:tcBorders/>
            <w:shd w:fill="CCEEFF" w:val="clear"/>
            <w:vAlign w:val="center"/>
          </w:tcPr>
          <w:p>
            <w:pPr>
              <w:pStyle w:val="TableContents"/>
              <w:bidi w:val="0"/>
              <w:spacing w:before="0" w:after="0"/>
              <w:ind w:left="0" w:right="0" w:hanging="0"/>
              <w:jc w:val="left"/>
              <w:rPr/>
            </w:pPr>
            <w:r>
              <w:rPr/>
              <w:t> </w:t>
            </w:r>
          </w:p>
        </w:tc>
      </w:tr>
      <w:tr>
        <w:trPr/>
        <w:tc>
          <w:tcPr>
            <w:tcW w:w="7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$1.73 - $2.60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1"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283"/>
              <w:jc w:val="right"/>
              <w:rPr>
                <w:rFonts w:ascii="Times New Roman" w:hAnsi="Times New Roman"/>
              </w:rPr>
            </w:pPr>
            <w:r>
              <w:rPr>
                <w:rFonts w:ascii="Times New Roman" w:hAnsi="Times New Roman"/>
              </w:rPr>
              <w:t>1,028,392</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283"/>
              <w:jc w:val="right"/>
              <w:rPr>
                <w:rFonts w:ascii="Times New Roman" w:hAnsi="Times New Roman"/>
              </w:rPr>
            </w:pPr>
            <w:r>
              <w:rPr>
                <w:rFonts w:ascii="Times New Roman" w:hAnsi="Times New Roman"/>
              </w:rPr>
              <w:t>6.6</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vAlign w:val="center"/>
          </w:tcPr>
          <w:p>
            <w:pPr>
              <w:pStyle w:val="TableContents"/>
              <w:bidi w:val="0"/>
              <w:spacing w:before="0" w:after="283"/>
              <w:jc w:val="right"/>
              <w:rPr>
                <w:rFonts w:ascii="Times New Roman" w:hAnsi="Times New Roman"/>
              </w:rPr>
            </w:pPr>
            <w:r>
              <w:rPr>
                <w:rFonts w:ascii="Times New Roman" w:hAnsi="Times New Roman"/>
              </w:rPr>
              <w:t>2.33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283"/>
              <w:jc w:val="right"/>
              <w:rPr>
                <w:rFonts w:ascii="Times New Roman" w:hAnsi="Times New Roman"/>
              </w:rPr>
            </w:pPr>
            <w:r>
              <w:rPr>
                <w:rFonts w:ascii="Times New Roman" w:hAnsi="Times New Roman"/>
              </w:rPr>
              <w:t>2,253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1"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283"/>
              <w:jc w:val="right"/>
              <w:rPr>
                <w:rFonts w:ascii="Times New Roman" w:hAnsi="Times New Roman"/>
              </w:rPr>
            </w:pPr>
            <w:r>
              <w:rPr>
                <w:rFonts w:ascii="Times New Roman" w:hAnsi="Times New Roman"/>
              </w:rPr>
              <w:t>712,704</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283"/>
              <w:jc w:val="right"/>
              <w:rPr>
                <w:rFonts w:ascii="Times New Roman" w:hAnsi="Times New Roman"/>
              </w:rPr>
            </w:pPr>
            <w:r>
              <w:rPr>
                <w:rFonts w:ascii="Times New Roman" w:hAnsi="Times New Roman"/>
              </w:rPr>
              <w:t>6.4</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vAlign w:val="center"/>
          </w:tcPr>
          <w:p>
            <w:pPr>
              <w:pStyle w:val="TableContents"/>
              <w:bidi w:val="0"/>
              <w:spacing w:before="0" w:after="283"/>
              <w:jc w:val="right"/>
              <w:rPr>
                <w:rFonts w:ascii="Times New Roman" w:hAnsi="Times New Roman"/>
              </w:rPr>
            </w:pPr>
            <w:r>
              <w:rPr>
                <w:rFonts w:ascii="Times New Roman" w:hAnsi="Times New Roman"/>
              </w:rPr>
              <w:t>2.34</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283"/>
              <w:jc w:val="right"/>
              <w:rPr>
                <w:rFonts w:ascii="Times New Roman" w:hAnsi="Times New Roman"/>
              </w:rPr>
            </w:pPr>
            <w:r>
              <w:rPr>
                <w:rFonts w:ascii="Times New Roman" w:hAnsi="Times New Roman"/>
              </w:rPr>
              <w:t>1,551</w:t>
            </w:r>
          </w:p>
        </w:tc>
        <w:tc>
          <w:tcPr>
            <w:tcW w:w="126" w:type="dxa"/>
            <w:tcBorders/>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$2.67 - $4.01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2,905,506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7.4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3.41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3,211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025"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1,310,276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5.3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3.49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1,343</w:t>
            </w:r>
          </w:p>
        </w:tc>
        <w:tc>
          <w:tcPr>
            <w:tcW w:w="126" w:type="dxa"/>
            <w:tcBorders/>
            <w:shd w:fill="CCEEFF" w:val="clear"/>
            <w:vAlign w:val="center"/>
          </w:tcPr>
          <w:p>
            <w:pPr>
              <w:pStyle w:val="TableContents"/>
              <w:bidi w:val="0"/>
              <w:spacing w:before="0" w:after="0"/>
              <w:ind w:left="0" w:right="0" w:hanging="0"/>
              <w:jc w:val="left"/>
              <w:rPr/>
            </w:pPr>
            <w:r>
              <w:rPr/>
              <w:t> </w:t>
            </w:r>
          </w:p>
        </w:tc>
      </w:tr>
      <w:tr>
        <w:trPr/>
        <w:tc>
          <w:tcPr>
            <w:tcW w:w="755" w:type="dxa"/>
            <w:tcBorders/>
            <w:vAlign w:val="center"/>
          </w:tcPr>
          <w:p>
            <w:pPr>
              <w:pStyle w:val="TableContents"/>
              <w:bidi w:val="0"/>
              <w:spacing w:before="0" w:after="283"/>
              <w:jc w:val="left"/>
              <w:rPr>
                <w:rFonts w:ascii="Times New Roman" w:hAnsi="Times New Roman"/>
              </w:rPr>
            </w:pPr>
            <w:r>
              <w:rPr>
                <w:rFonts w:ascii="Times New Roman" w:hAnsi="Times New Roman"/>
              </w:rPr>
              <w:t>$4.01 - $6.02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Times New Roman" w:hAnsi="Times New Roman"/>
              </w:rPr>
            </w:pPr>
            <w:r>
              <w:rPr>
                <w:rFonts w:ascii="Times New Roman" w:hAnsi="Times New Roman"/>
              </w:rPr>
              <w:t>383,535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rFonts w:ascii="Times New Roman" w:hAnsi="Times New Roman"/>
              </w:rPr>
            </w:pPr>
            <w:r>
              <w:rPr>
                <w:rFonts w:ascii="Times New Roman" w:hAnsi="Times New Roman"/>
              </w:rPr>
              <w:t>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vAlign w:val="center"/>
          </w:tcPr>
          <w:p>
            <w:pPr>
              <w:pStyle w:val="TableContents"/>
              <w:bidi w:val="0"/>
              <w:spacing w:before="0" w:after="283"/>
              <w:jc w:val="right"/>
              <w:rPr>
                <w:rFonts w:ascii="Times New Roman" w:hAnsi="Times New Roman"/>
              </w:rPr>
            </w:pPr>
            <w:r>
              <w:rPr>
                <w:rFonts w:ascii="Times New Roman" w:hAnsi="Times New Roman"/>
              </w:rPr>
              <w:t>5.09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rFonts w:ascii="Times New Roman" w:hAnsi="Times New Roman"/>
              </w:rPr>
            </w:pPr>
            <w:r>
              <w:rPr>
                <w:rFonts w:ascii="Times New Roman" w:hAnsi="Times New Roman"/>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rFonts w:ascii="Times New Roman" w:hAnsi="Times New Roman"/>
              </w:rPr>
            </w:pPr>
            <w:r>
              <w:rPr>
                <w:rFonts w:ascii="Times New Roman" w:hAnsi="Times New Roman"/>
              </w:rPr>
              <w:t>383,535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rFonts w:ascii="Times New Roman" w:hAnsi="Times New Roman"/>
              </w:rPr>
            </w:pPr>
            <w:r>
              <w:rPr>
                <w:rFonts w:ascii="Times New Roman" w:hAnsi="Times New Roman"/>
              </w:rPr>
              <w:t>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vAlign w:val="center"/>
          </w:tcPr>
          <w:p>
            <w:pPr>
              <w:pStyle w:val="TableContents"/>
              <w:bidi w:val="0"/>
              <w:spacing w:before="0" w:after="283"/>
              <w:jc w:val="right"/>
              <w:rPr>
                <w:rFonts w:ascii="Times New Roman" w:hAnsi="Times New Roman"/>
              </w:rPr>
            </w:pPr>
            <w:r>
              <w:rPr>
                <w:rFonts w:ascii="Times New Roman" w:hAnsi="Times New Roman"/>
              </w:rPr>
              <w:t>5.09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rFonts w:ascii="Times New Roman" w:hAnsi="Times New Roman"/>
              </w:rPr>
            </w:pPr>
            <w:r>
              <w:rPr>
                <w:rFonts w:ascii="Times New Roman" w:hAnsi="Times New Roman"/>
              </w:rPr>
              <w:t>22</w:t>
            </w:r>
          </w:p>
        </w:tc>
        <w:tc>
          <w:tcPr>
            <w:tcW w:w="126" w:type="dxa"/>
            <w:tcBorders/>
            <w:vAlign w:val="center"/>
          </w:tcPr>
          <w:p>
            <w:pPr>
              <w:pStyle w:val="TableContents"/>
              <w:bidi w:val="0"/>
              <w:spacing w:before="0" w:after="283"/>
              <w:jc w:val="left"/>
              <w:rPr/>
            </w:pPr>
            <w:r>
              <w:rPr/>
              <w:t> </w:t>
            </w:r>
          </w:p>
        </w:tc>
      </w:tr>
      <w:tr>
        <w:trPr/>
        <w:tc>
          <w:tcPr>
            <w:tcW w:w="755"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$6.26 - $9.39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279,841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8.48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279,841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8.48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w:t>
            </w:r>
          </w:p>
        </w:tc>
        <w:tc>
          <w:tcPr>
            <w:tcW w:w="126" w:type="dxa"/>
            <w:tcBorders/>
            <w:shd w:fill="CCEEFF" w:val="clear"/>
            <w:vAlign w:val="center"/>
          </w:tcPr>
          <w:p>
            <w:pPr>
              <w:pStyle w:val="TableContents"/>
              <w:bidi w:val="0"/>
              <w:spacing w:before="0" w:after="283"/>
              <w:jc w:val="left"/>
              <w:rPr/>
            </w:pPr>
            <w:r>
              <w:rPr/>
              <w:t> </w:t>
            </w:r>
          </w:p>
        </w:tc>
      </w:tr>
      <w:tr>
        <w:trPr/>
        <w:tc>
          <w:tcPr>
            <w:tcW w:w="7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$10.80 - $16.20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25" w:type="dxa"/>
            <w:tcBorders>
              <w:bottom w:val="single" w:sz="12" w:space="0" w:color="000000"/>
            </w:tcBorders>
            <w:tcMar>
              <w:bottom w:w="28" w:type="dxa"/>
            </w:tcMar>
            <w:vAlign w:val="center"/>
          </w:tcPr>
          <w:p>
            <w:pPr>
              <w:pStyle w:val="TableContents"/>
              <w:bidi w:val="0"/>
              <w:spacing w:before="0" w:after="283"/>
              <w:jc w:val="right"/>
              <w:rPr>
                <w:rFonts w:ascii="Times New Roman" w:hAnsi="Times New Roman"/>
              </w:rPr>
            </w:pPr>
            <w:r>
              <w:rPr>
                <w:rFonts w:ascii="Times New Roman" w:hAnsi="Times New Roman"/>
              </w:rPr>
              <w:t>133,500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vAlign w:val="center"/>
          </w:tcPr>
          <w:p>
            <w:pPr>
              <w:pStyle w:val="TableContents"/>
              <w:bidi w:val="0"/>
              <w:spacing w:before="0" w:after="283"/>
              <w:jc w:val="right"/>
              <w:rPr>
                <w:rFonts w:ascii="Times New Roman" w:hAnsi="Times New Roman"/>
              </w:rPr>
            </w:pPr>
            <w:r>
              <w:rPr>
                <w:rFonts w:ascii="Times New Roman" w:hAnsi="Times New Roman"/>
              </w:rPr>
              <w:t>10.80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16" w:type="dxa"/>
            <w:tcBorders>
              <w:bottom w:val="single" w:sz="12" w:space="0" w:color="000000"/>
            </w:tcBorders>
            <w:tcMar>
              <w:bottom w:w="28" w:type="dxa"/>
            </w:tcMar>
            <w:vAlign w:val="center"/>
          </w:tcPr>
          <w:p>
            <w:pPr>
              <w:pStyle w:val="TableContents"/>
              <w:bidi w:val="0"/>
              <w:spacing w:before="0" w:after="283"/>
              <w:jc w:val="right"/>
              <w:rPr>
                <w:rFonts w:ascii="Times New Roman" w:hAnsi="Times New Roman"/>
              </w:rPr>
            </w:pPr>
            <w:r>
              <w:rPr>
                <w:rFonts w:ascii="Times New Roman" w:hAnsi="Times New Roman"/>
              </w:rPr>
              <w: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1"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25" w:type="dxa"/>
            <w:tcBorders>
              <w:bottom w:val="single" w:sz="12" w:space="0" w:color="000000"/>
            </w:tcBorders>
            <w:tcMar>
              <w:bottom w:w="28" w:type="dxa"/>
            </w:tcMar>
            <w:vAlign w:val="center"/>
          </w:tcPr>
          <w:p>
            <w:pPr>
              <w:pStyle w:val="TableContents"/>
              <w:bidi w:val="0"/>
              <w:spacing w:before="0" w:after="283"/>
              <w:jc w:val="right"/>
              <w:rPr>
                <w:rFonts w:ascii="Times New Roman" w:hAnsi="Times New Roman"/>
              </w:rPr>
            </w:pPr>
            <w:r>
              <w:rPr>
                <w:rFonts w:ascii="Times New Roman" w:hAnsi="Times New Roman"/>
              </w:rPr>
              <w:t>133,500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283"/>
              <w:jc w:val="right"/>
              <w:rPr>
                <w:rFonts w:ascii="Times New Roman" w:hAnsi="Times New Roman"/>
              </w:rPr>
            </w:pPr>
            <w:r>
              <w:rPr>
                <w:rFonts w:ascii="Times New Roman" w:hAnsi="Times New Roman"/>
              </w:rPr>
              <w:t>1.1</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vAlign w:val="center"/>
          </w:tcPr>
          <w:p>
            <w:pPr>
              <w:pStyle w:val="TableContents"/>
              <w:bidi w:val="0"/>
              <w:spacing w:before="0" w:after="283"/>
              <w:jc w:val="right"/>
              <w:rPr>
                <w:rFonts w:ascii="Times New Roman" w:hAnsi="Times New Roman"/>
              </w:rPr>
            </w:pPr>
            <w:r>
              <w:rPr>
                <w:rFonts w:ascii="Times New Roman" w:hAnsi="Times New Roman"/>
              </w:rPr>
              <w:t>10.80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6"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716" w:type="dxa"/>
            <w:tcBorders>
              <w:bottom w:val="single" w:sz="12" w:space="0" w:color="000000"/>
            </w:tcBorders>
            <w:tcMar>
              <w:bottom w:w="28" w:type="dxa"/>
            </w:tcMar>
            <w:vAlign w:val="center"/>
          </w:tcPr>
          <w:p>
            <w:pPr>
              <w:pStyle w:val="TableContents"/>
              <w:bidi w:val="0"/>
              <w:spacing w:before="0" w:after="283"/>
              <w:jc w:val="right"/>
              <w:rPr>
                <w:rFonts w:ascii="Times New Roman" w:hAnsi="Times New Roman"/>
              </w:rPr>
            </w:pPr>
            <w:r>
              <w:rPr>
                <w:rFonts w:ascii="Times New Roman" w:hAnsi="Times New Roman"/>
              </w:rPr>
              <w:t>-</w:t>
            </w:r>
          </w:p>
        </w:tc>
        <w:tc>
          <w:tcPr>
            <w:tcW w:w="126" w:type="dxa"/>
            <w:tcBorders/>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rPr>
            </w:pPr>
            <w:r>
              <w:rPr>
                <w:rFonts w:ascii="Times New Roman" w:hAnsi="Times New Roman"/>
              </w:rPr>
              <w:t>5,906,184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6.6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3.38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rPr>
            </w:pPr>
            <w:r>
              <w:rPr>
                <w:rFonts w:ascii="Times New Roman" w:hAnsi="Times New Roman"/>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rPr>
            </w:pPr>
            <w:r>
              <w:rPr>
                <w:rFonts w:ascii="Times New Roman" w:hAnsi="Times New Roman"/>
              </w:rPr>
              <w:t>8,914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rPr>
            </w:pPr>
            <w:r>
              <w:rPr>
                <w:rFonts w:ascii="Times New Roman" w:hAnsi="Times New Roman"/>
              </w:rPr>
              <w:t>3,410,131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5.2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jc w:val="left"/>
              <w:rPr>
                <w:rFonts w:ascii="Times New Roman" w:hAnsi="Times New Roman"/>
              </w:rPr>
            </w:pPr>
            <w:r>
              <w:rPr>
                <w:rFonts w:ascii="Times New Roman" w:hAnsi="Times New Roman"/>
              </w:rPr>
              <w:t>$</w:t>
            </w:r>
          </w:p>
        </w:tc>
        <w:tc>
          <w:tcPr>
            <w:tcW w:w="694" w:type="dxa"/>
            <w:tcBorders/>
            <w:shd w:fill="CCEEFF" w:val="clear"/>
            <w:vAlign w:val="center"/>
          </w:tcPr>
          <w:p>
            <w:pPr>
              <w:pStyle w:val="TableContents"/>
              <w:bidi w:val="0"/>
              <w:spacing w:before="0" w:after="283"/>
              <w:jc w:val="right"/>
              <w:rPr>
                <w:rFonts w:ascii="Times New Roman" w:hAnsi="Times New Roman"/>
              </w:rPr>
            </w:pPr>
            <w:r>
              <w:rPr>
                <w:rFonts w:ascii="Times New Roman" w:hAnsi="Times New Roman"/>
              </w:rPr>
              <w:t>3.79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rPr>
            </w:pPr>
            <w:r>
              <w:rPr>
                <w:rFonts w:ascii="Times New Roman" w:hAnsi="Times New Roman"/>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 w:hAnsi="Times New Roman"/>
              </w:rPr>
            </w:pPr>
            <w:r>
              <w:rPr>
                <w:rFonts w:ascii="Times New Roman" w:hAnsi="Times New Roman"/>
              </w:rPr>
              <w:t>4,664</w:t>
            </w:r>
          </w:p>
        </w:tc>
        <w:tc>
          <w:tcPr>
            <w:tcW w:w="126"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During the years ended December 31, 2023, 2022 and 2021, the Company granted  RSUs representing an aggregate of 3,389,760, 1,174,266 and 4,384,744 shares, respectively, to certain employees of the Company and to members of the Board. Except for the RSUs granted under the Company’s retention incentive program discussed below, the RSUs generally vest annually over a period of four years for employees and semi-annually over a period of one year for directors. The RSUs granted during the year ended December 31, 2021 include 3,832,500 shares granted under a retention incentive program implemented by the Company for its executive management and certain employees (see Note 10), whereby the Company issued an aggregate of 2,685,000 time-based RSUs and 1,147,500 milestone-based RSUs. Fifty percent of the time-based RSUs granted under the retention incentive program vested on December 31, 2022, with the remainder vesting in quarterly installments through December 31, 2024. </w:t>
      </w:r>
      <w:r>
        <w:rPr>
          <w:rFonts w:ascii="Times New Roman" w:hAnsi="Times New Roman"/>
          <w:b w:val="false"/>
          <w:i w:val="false"/>
          <w:caps w:val="false"/>
          <w:smallCaps w:val="false"/>
          <w:color w:val="000000"/>
          <w:spacing w:val="0"/>
          <w:sz w:val="20"/>
          <w:shd w:fill="FFFFFF" w:val="clear"/>
        </w:rPr>
        <w:t>The milestone-based RSUs vested upon achievement of the applicable milestone, and all of the milestone-based RSUs vested during the year ended December 31, 2022. The milestones required to be achieved in order for the milestone-based RSUs to vest were determined by the Board and were consistent with the 2022 operating plan approved by the Board.</w:t>
      </w:r>
    </w:p>
    <w:p>
      <w:pPr>
        <w:pStyle w:val="TextBody"/>
        <w:bidi w:val="0"/>
        <w:spacing w:before="0" w:after="0"/>
        <w:jc w:val="left"/>
        <w:rPr/>
      </w:pPr>
      <w:r>
        <w:rPr/>
      </w:r>
    </w:p>
    <w:p>
      <w:pPr>
        <w:pStyle w:val="TextBody"/>
        <w:bidi w:val="0"/>
        <w:spacing w:before="0" w:after="0"/>
        <w:ind w:left="0" w:right="0" w:firstLine="18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During the years ended December 31, 2023, 2022 and 2021, 1,199,445, 2,727,412 and 92,750 shares, </w:t>
      </w:r>
      <w:r>
        <w:rPr>
          <w:rFonts w:ascii="Times New Roman" w:hAnsi="Times New Roman"/>
          <w:b w:val="false"/>
          <w:i w:val="false"/>
          <w:caps w:val="false"/>
          <w:smallCaps w:val="false"/>
          <w:color w:val="000000"/>
          <w:spacing w:val="0"/>
          <w:sz w:val="20"/>
          <w:shd w:fill="FFFFFF" w:val="clear"/>
        </w:rPr>
        <w:t xml:space="preserve">respectively, vested in connection with grants of RSUs. </w:t>
      </w:r>
      <w:r>
        <w:rPr>
          <w:rFonts w:ascii="Times New Roman" w:hAnsi="Times New Roman"/>
          <w:b w:val="false"/>
          <w:i w:val="false"/>
          <w:caps w:val="false"/>
          <w:smallCaps w:val="false"/>
          <w:color w:val="000000"/>
          <w:spacing w:val="0"/>
          <w:sz w:val="20"/>
          <w:shd w:fill="FFFFFF" w:val="clear"/>
        </w:rPr>
        <w:t xml:space="preserve">With respect to RSUs vested during the year ended December 31, 2023, 365,722 shares valued at approximately $1.3 million were withheld by the Company to cover employees’ tax liabilities. </w:t>
      </w:r>
      <w:r>
        <w:rPr>
          <w:rFonts w:ascii="Times New Roman" w:hAnsi="Times New Roman"/>
          <w:b w:val="false"/>
          <w:i w:val="false"/>
          <w:caps w:val="false"/>
          <w:smallCaps w:val="false"/>
          <w:color w:val="000000"/>
          <w:spacing w:val="0"/>
          <w:sz w:val="20"/>
          <w:shd w:fill="FFFFFF" w:val="clear"/>
        </w:rPr>
        <w:t>With respect to the RSUs vested during the year ended December 31, 2022, 918,851 shares valued at approximately $2.9 million were withheld by the Company to cover employees’ tax liabilities</w:t>
      </w:r>
      <w:r>
        <w:rPr>
          <w:rFonts w:ascii="Times New Roman" w:hAnsi="Times New Roman"/>
          <w:b w:val="false"/>
          <w:i w:val="false"/>
          <w:caps w:val="false"/>
          <w:smallCaps w:val="false"/>
          <w:color w:val="000000"/>
          <w:sz w:val="20"/>
          <w:shd w:fill="FFFFFF" w:val="clear"/>
        </w:rPr>
        <w:t xml:space="preserve">. </w:t>
      </w:r>
      <w:r>
        <w:rPr>
          <w:rFonts w:ascii="Times New Roman" w:hAnsi="Times New Roman"/>
          <w:b w:val="false"/>
          <w:i w:val="false"/>
          <w:caps w:val="false"/>
          <w:smallCaps w:val="false"/>
          <w:color w:val="000000"/>
          <w:spacing w:val="0"/>
          <w:sz w:val="20"/>
          <w:shd w:fill="FFFFFF" w:val="clear"/>
        </w:rPr>
        <w:t>For the RSUs vested during the year ended December 31, 2021</w:t>
      </w:r>
      <w:r>
        <w:rPr>
          <w:rFonts w:ascii="Times New Roman" w:hAnsi="Times New Roman"/>
          <w:b w:val="false"/>
          <w:i w:val="false"/>
          <w:caps w:val="false"/>
          <w:smallCaps w:val="false"/>
          <w:color w:val="000000"/>
          <w:sz w:val="20"/>
          <w:shd w:fill="FFFFFF" w:val="clear"/>
        </w:rPr>
        <w:t>, 27,850 shares valued at approximately $62,000 were withheld by the Company to cover employees’ tax liabilities.</w:t>
      </w:r>
      <w:r>
        <w:rPr>
          <w:rFonts w:ascii="Times New Roman" w:hAnsi="Times New Roman"/>
          <w:b w:val="false"/>
          <w:i w:val="false"/>
          <w:caps w:val="false"/>
          <w:smallCaps w:val="false"/>
          <w:color w:val="000000"/>
          <w:spacing w:val="0"/>
          <w:sz w:val="20"/>
          <w:shd w:fill="FFFFFF" w:val="clear"/>
        </w:rPr>
        <w:t xml:space="preserve"> All of these shares have been retired by the Company or were otherwise no longer outstanding as of December 31, 2023</w:t>
      </w:r>
      <w:r>
        <w:rPr>
          <w:rFonts w:ascii="Times New Roman" w:hAnsi="Times New Roman"/>
          <w:b w:val="false"/>
          <w:i w:val="false"/>
          <w:caps w:val="false"/>
          <w:smallCaps w:val="false"/>
          <w:color w:val="000000"/>
          <w:sz w:val="20"/>
          <w:shd w:fill="FFFFFF" w:val="clear"/>
        </w:rPr>
        <w:t xml:space="preserve">. A summary of the Company’s unvested RSU activity and related information is as follows: </w:t>
      </w:r>
    </w:p>
    <w:p>
      <w:pPr>
        <w:pStyle w:val="TextBody"/>
        <w:bidi w:val="0"/>
        <w:spacing w:before="0" w:after="0"/>
        <w:jc w:val="left"/>
        <w:rPr>
          <w:rFonts w:ascii="Times New Roman" w:hAnsi="Times New Roman"/>
          <w:sz w:val="20"/>
        </w:rPr>
      </w:pPr>
      <w:r>
        <w:rPr>
          <w:rFonts w:ascii="Times New Roman" w:hAnsi="Times New Roman"/>
          <w:sz w:val="20"/>
        </w:rPr>
      </w:r>
    </w:p>
    <w:tbl>
      <w:tblPr>
        <w:tblW w:w="6034" w:type="dxa"/>
        <w:jc w:val="left"/>
        <w:tblInd w:w="0" w:type="dxa"/>
        <w:tblLayout w:type="fixed"/>
        <w:tblCellMar>
          <w:top w:w="0" w:type="dxa"/>
          <w:left w:w="0" w:type="dxa"/>
          <w:bottom w:w="0" w:type="dxa"/>
          <w:right w:w="0" w:type="dxa"/>
        </w:tblCellMar>
      </w:tblPr>
      <w:tblGrid>
        <w:gridCol w:w="3035"/>
        <w:gridCol w:w="90"/>
        <w:gridCol w:w="90"/>
        <w:gridCol w:w="1085"/>
        <w:gridCol w:w="125"/>
        <w:gridCol w:w="90"/>
        <w:gridCol w:w="371"/>
        <w:gridCol w:w="1028"/>
        <w:gridCol w:w="120"/>
      </w:tblGrid>
      <w:tr>
        <w:trPr/>
        <w:tc>
          <w:tcPr>
            <w:tcW w:w="303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Shares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399"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Weighted</w:t>
            </w:r>
          </w:p>
          <w:p>
            <w:pPr>
              <w:pStyle w:val="TableContents"/>
              <w:bidi w:val="0"/>
              <w:spacing w:before="0" w:after="0"/>
              <w:ind w:left="0" w:right="0" w:hanging="0"/>
              <w:jc w:val="center"/>
              <w:rPr/>
            </w:pPr>
            <w:r>
              <w:rPr>
                <w:rStyle w:val="StrongEmphasis"/>
                <w:rFonts w:ascii="Times New Roman" w:hAnsi="Times New Roman"/>
                <w:sz w:val="20"/>
              </w:rPr>
              <w:t>Average Grant</w:t>
            </w:r>
          </w:p>
          <w:p>
            <w:pPr>
              <w:pStyle w:val="TableContents"/>
              <w:bidi w:val="0"/>
              <w:spacing w:before="0" w:after="0"/>
              <w:ind w:left="0" w:right="0" w:hanging="0"/>
              <w:jc w:val="center"/>
              <w:rPr/>
            </w:pPr>
            <w:r>
              <w:rPr>
                <w:rStyle w:val="StrongEmphasis"/>
                <w:rFonts w:ascii="Times New Roman" w:hAnsi="Times New Roman"/>
                <w:sz w:val="20"/>
              </w:rPr>
              <w:t>Date Fair Value</w:t>
            </w:r>
          </w:p>
        </w:tc>
        <w:tc>
          <w:tcPr>
            <w:tcW w:w="120" w:type="dxa"/>
            <w:tcBorders/>
            <w:vAlign w:val="bottom"/>
          </w:tcPr>
          <w:p>
            <w:pPr>
              <w:pStyle w:val="TableContents"/>
              <w:bidi w:val="0"/>
              <w:spacing w:before="0" w:after="283"/>
              <w:jc w:val="left"/>
              <w:rPr/>
            </w:pPr>
            <w:r>
              <w:rPr/>
              <w:t> </w:t>
            </w:r>
          </w:p>
        </w:tc>
      </w:tr>
      <w:tr>
        <w:trPr/>
        <w:tc>
          <w:tcPr>
            <w:tcW w:w="3035" w:type="dxa"/>
            <w:tcBorders/>
            <w:shd w:fill="CCEEFF" w:val="clear"/>
            <w:vAlign w:val="bottom"/>
          </w:tcPr>
          <w:p>
            <w:pPr>
              <w:pStyle w:val="TableContents"/>
              <w:bidi w:val="0"/>
              <w:spacing w:before="0" w:after="0"/>
              <w:ind w:left="360" w:right="0" w:hanging="360"/>
              <w:jc w:val="left"/>
              <w:rPr/>
            </w:pPr>
            <w:r>
              <w:rPr/>
              <w:t xml:space="preserve">Balance at December 31, 2020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326,000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7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2.81</w:t>
            </w:r>
          </w:p>
        </w:tc>
        <w:tc>
          <w:tcPr>
            <w:tcW w:w="120" w:type="dxa"/>
            <w:tcBorders/>
            <w:shd w:fill="CCEEFF" w:val="clear"/>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0"/>
              <w:ind w:left="360" w:right="0" w:hanging="360"/>
              <w:jc w:val="left"/>
              <w:rPr/>
            </w:pPr>
            <w:r>
              <w:rPr/>
              <w:t xml:space="preserve">Granted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rFonts w:ascii="Times New Roman" w:hAnsi="Times New Roman"/>
              </w:rPr>
            </w:pPr>
            <w:r>
              <w:rPr>
                <w:rFonts w:ascii="Times New Roman" w:hAnsi="Times New Roman"/>
              </w:rPr>
              <w:t>4,384,744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71"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vAlign w:val="bottom"/>
          </w:tcPr>
          <w:p>
            <w:pPr>
              <w:pStyle w:val="TableContents"/>
              <w:bidi w:val="0"/>
              <w:spacing w:before="0" w:after="283"/>
              <w:jc w:val="right"/>
              <w:rPr>
                <w:rFonts w:ascii="Times New Roman" w:hAnsi="Times New Roman"/>
              </w:rPr>
            </w:pPr>
            <w:r>
              <w:rPr>
                <w:rFonts w:ascii="Times New Roman" w:hAnsi="Times New Roman"/>
              </w:rPr>
              <w:t>1.30</w:t>
            </w:r>
          </w:p>
        </w:tc>
        <w:tc>
          <w:tcPr>
            <w:tcW w:w="120" w:type="dxa"/>
            <w:tcBorders/>
            <w:vAlign w:val="bottom"/>
          </w:tcPr>
          <w:p>
            <w:pPr>
              <w:pStyle w:val="TableContents"/>
              <w:bidi w:val="0"/>
              <w:spacing w:before="0" w:after="283"/>
              <w:jc w:val="left"/>
              <w:rPr/>
            </w:pPr>
            <w:r>
              <w:rPr/>
              <w:t> </w:t>
            </w:r>
          </w:p>
        </w:tc>
      </w:tr>
      <w:tr>
        <w:trPr/>
        <w:tc>
          <w:tcPr>
            <w:tcW w:w="3035" w:type="dxa"/>
            <w:tcBorders/>
            <w:shd w:fill="CCEEFF" w:val="clear"/>
            <w:vAlign w:val="bottom"/>
          </w:tcPr>
          <w:p>
            <w:pPr>
              <w:pStyle w:val="TableContents"/>
              <w:bidi w:val="0"/>
              <w:spacing w:before="0" w:after="0"/>
              <w:ind w:left="360" w:right="0" w:hanging="360"/>
              <w:jc w:val="left"/>
              <w:rPr/>
            </w:pPr>
            <w:r>
              <w:rPr/>
              <w:t xml:space="preserve">Vested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(92,750</w:t>
            </w:r>
          </w:p>
        </w:tc>
        <w:tc>
          <w:tcPr>
            <w:tcW w:w="12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right"/>
              <w:rPr/>
            </w:pPr>
            <w:r>
              <w:rPr/>
              <w:t> </w:t>
            </w:r>
          </w:p>
        </w:tc>
        <w:tc>
          <w:tcPr>
            <w:tcW w:w="37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2.82</w:t>
            </w:r>
          </w:p>
        </w:tc>
        <w:tc>
          <w:tcPr>
            <w:tcW w:w="120" w:type="dxa"/>
            <w:tcBorders/>
            <w:shd w:fill="CCEEFF" w:val="clear"/>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0"/>
              <w:ind w:left="360" w:right="0" w:hanging="360"/>
              <w:jc w:val="left"/>
              <w:rPr/>
            </w:pPr>
            <w:r>
              <w:rPr/>
              <w:t xml:space="preserve">Forfeited </w:t>
            </w:r>
          </w:p>
        </w:tc>
        <w:tc>
          <w:tcPr>
            <w:tcW w:w="90" w:type="dxa"/>
            <w:tcBorders/>
            <w:vAlign w:val="bottom"/>
          </w:tcPr>
          <w:p>
            <w:pPr>
              <w:pStyle w:val="TableContents"/>
              <w:bidi w:val="0"/>
              <w:spacing w:before="0" w:after="283"/>
              <w:jc w:val="righ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(132,861</w:t>
            </w:r>
          </w:p>
        </w:tc>
        <w:tc>
          <w:tcPr>
            <w:tcW w:w="125"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right"/>
              <w:rPr/>
            </w:pPr>
            <w:r>
              <w:rPr/>
              <w:t> </w:t>
            </w:r>
          </w:p>
        </w:tc>
        <w:tc>
          <w:tcPr>
            <w:tcW w:w="371"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vAlign w:val="bottom"/>
          </w:tcPr>
          <w:p>
            <w:pPr>
              <w:pStyle w:val="TableContents"/>
              <w:bidi w:val="0"/>
              <w:spacing w:before="0" w:after="283"/>
              <w:jc w:val="right"/>
              <w:rPr>
                <w:rFonts w:ascii="Times New Roman" w:hAnsi="Times New Roman"/>
              </w:rPr>
            </w:pPr>
            <w:r>
              <w:rPr>
                <w:rFonts w:ascii="Times New Roman" w:hAnsi="Times New Roman"/>
              </w:rPr>
              <w:t>2.51</w:t>
            </w:r>
          </w:p>
        </w:tc>
        <w:tc>
          <w:tcPr>
            <w:tcW w:w="120" w:type="dxa"/>
            <w:tcBorders/>
            <w:vAlign w:val="bottom"/>
          </w:tcPr>
          <w:p>
            <w:pPr>
              <w:pStyle w:val="TableContents"/>
              <w:bidi w:val="0"/>
              <w:spacing w:before="0" w:after="283"/>
              <w:jc w:val="left"/>
              <w:rPr/>
            </w:pPr>
            <w:r>
              <w:rPr/>
              <w:t> </w:t>
            </w:r>
          </w:p>
        </w:tc>
      </w:tr>
      <w:tr>
        <w:trPr/>
        <w:tc>
          <w:tcPr>
            <w:tcW w:w="303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December 31, 2021</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4,485,133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7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1.34</w:t>
            </w:r>
          </w:p>
        </w:tc>
        <w:tc>
          <w:tcPr>
            <w:tcW w:w="120" w:type="dxa"/>
            <w:tcBorders/>
            <w:shd w:fill="CCEEFF" w:val="clear"/>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rFonts w:ascii="Times New Roman" w:hAnsi="Times New Roman"/>
              </w:rPr>
            </w:pPr>
            <w:r>
              <w:rPr>
                <w:rFonts w:ascii="Times New Roman" w:hAnsi="Times New Roman"/>
              </w:rPr>
              <w:t>1,174,266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71"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vAlign w:val="bottom"/>
          </w:tcPr>
          <w:p>
            <w:pPr>
              <w:pStyle w:val="TableContents"/>
              <w:bidi w:val="0"/>
              <w:spacing w:before="0" w:after="283"/>
              <w:jc w:val="right"/>
              <w:rPr>
                <w:rFonts w:ascii="Times New Roman" w:hAnsi="Times New Roman"/>
              </w:rPr>
            </w:pPr>
            <w:r>
              <w:rPr>
                <w:rFonts w:ascii="Times New Roman" w:hAnsi="Times New Roman"/>
              </w:rPr>
              <w:t>1.74</w:t>
            </w:r>
          </w:p>
        </w:tc>
        <w:tc>
          <w:tcPr>
            <w:tcW w:w="120" w:type="dxa"/>
            <w:tcBorders/>
            <w:vAlign w:val="bottom"/>
          </w:tcPr>
          <w:p>
            <w:pPr>
              <w:pStyle w:val="TableContents"/>
              <w:bidi w:val="0"/>
              <w:spacing w:before="0" w:after="283"/>
              <w:jc w:val="left"/>
              <w:rPr/>
            </w:pPr>
            <w:r>
              <w:rPr/>
              <w:t> </w:t>
            </w:r>
          </w:p>
        </w:tc>
      </w:tr>
      <w:tr>
        <w:trPr/>
        <w:tc>
          <w:tcPr>
            <w:tcW w:w="303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(2,727,412</w:t>
            </w:r>
          </w:p>
        </w:tc>
        <w:tc>
          <w:tcPr>
            <w:tcW w:w="12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right"/>
              <w:rPr/>
            </w:pPr>
            <w:r>
              <w:rPr/>
              <w:t> </w:t>
            </w:r>
          </w:p>
        </w:tc>
        <w:tc>
          <w:tcPr>
            <w:tcW w:w="37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1.25</w:t>
            </w:r>
          </w:p>
        </w:tc>
        <w:tc>
          <w:tcPr>
            <w:tcW w:w="120" w:type="dxa"/>
            <w:tcBorders/>
            <w:shd w:fill="CCEEFF" w:val="clear"/>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90" w:type="dxa"/>
            <w:tcBorders/>
            <w:vAlign w:val="bottom"/>
          </w:tcPr>
          <w:p>
            <w:pPr>
              <w:pStyle w:val="TableContents"/>
              <w:bidi w:val="0"/>
              <w:spacing w:before="0" w:after="283"/>
              <w:jc w:val="righ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(65,000</w:t>
            </w:r>
          </w:p>
        </w:tc>
        <w:tc>
          <w:tcPr>
            <w:tcW w:w="125"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right"/>
              <w:rPr/>
            </w:pPr>
            <w:r>
              <w:rPr/>
              <w:t> </w:t>
            </w:r>
          </w:p>
        </w:tc>
        <w:tc>
          <w:tcPr>
            <w:tcW w:w="371"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vAlign w:val="bottom"/>
          </w:tcPr>
          <w:p>
            <w:pPr>
              <w:pStyle w:val="TableContents"/>
              <w:bidi w:val="0"/>
              <w:spacing w:before="0" w:after="283"/>
              <w:jc w:val="right"/>
              <w:rPr>
                <w:rFonts w:ascii="Times New Roman" w:hAnsi="Times New Roman"/>
              </w:rPr>
            </w:pPr>
            <w:r>
              <w:rPr>
                <w:rFonts w:ascii="Times New Roman" w:hAnsi="Times New Roman"/>
              </w:rPr>
              <w:t>1.40</w:t>
            </w:r>
          </w:p>
        </w:tc>
        <w:tc>
          <w:tcPr>
            <w:tcW w:w="120" w:type="dxa"/>
            <w:tcBorders/>
            <w:vAlign w:val="bottom"/>
          </w:tcPr>
          <w:p>
            <w:pPr>
              <w:pStyle w:val="TableContents"/>
              <w:bidi w:val="0"/>
              <w:spacing w:before="0" w:after="283"/>
              <w:jc w:val="left"/>
              <w:rPr/>
            </w:pPr>
            <w:r>
              <w:rPr/>
              <w:t> </w:t>
            </w:r>
          </w:p>
        </w:tc>
      </w:tr>
      <w:tr>
        <w:trPr/>
        <w:tc>
          <w:tcPr>
            <w:tcW w:w="303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Balance at December 31, 2022</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2,866,987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7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1.59</w:t>
            </w:r>
          </w:p>
        </w:tc>
        <w:tc>
          <w:tcPr>
            <w:tcW w:w="120" w:type="dxa"/>
            <w:tcBorders/>
            <w:shd w:fill="CCEEFF" w:val="clear"/>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283"/>
              <w:jc w:val="left"/>
              <w:rPr>
                <w:rFonts w:ascii="Times New Roman" w:hAnsi="Times New Roman"/>
              </w:rPr>
            </w:pPr>
            <w:r>
              <w:rPr>
                <w:rFonts w:ascii="Times New Roman" w:hAnsi="Times New Roman"/>
              </w:rPr>
              <w:t>Granted</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rFonts w:ascii="Times New Roman" w:hAnsi="Times New Roman"/>
              </w:rPr>
            </w:pPr>
            <w:r>
              <w:rPr>
                <w:rFonts w:ascii="Times New Roman" w:hAnsi="Times New Roman"/>
              </w:rPr>
              <w:t>3,389,760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71"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vAlign w:val="bottom"/>
          </w:tcPr>
          <w:p>
            <w:pPr>
              <w:pStyle w:val="TableContents"/>
              <w:bidi w:val="0"/>
              <w:spacing w:before="0" w:after="283"/>
              <w:jc w:val="right"/>
              <w:rPr>
                <w:rFonts w:ascii="Times New Roman" w:hAnsi="Times New Roman"/>
              </w:rPr>
            </w:pPr>
            <w:r>
              <w:rPr>
                <w:rFonts w:ascii="Times New Roman" w:hAnsi="Times New Roman"/>
              </w:rPr>
              <w:t>3.42</w:t>
            </w:r>
          </w:p>
        </w:tc>
        <w:tc>
          <w:tcPr>
            <w:tcW w:w="120" w:type="dxa"/>
            <w:tcBorders/>
            <w:vAlign w:val="bottom"/>
          </w:tcPr>
          <w:p>
            <w:pPr>
              <w:pStyle w:val="TableContents"/>
              <w:bidi w:val="0"/>
              <w:spacing w:before="0" w:after="283"/>
              <w:jc w:val="left"/>
              <w:rPr/>
            </w:pPr>
            <w:r>
              <w:rPr/>
              <w:t> </w:t>
            </w:r>
          </w:p>
        </w:tc>
      </w:tr>
      <w:tr>
        <w:trPr/>
        <w:tc>
          <w:tcPr>
            <w:tcW w:w="303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Vested</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(1,199,445</w:t>
            </w:r>
          </w:p>
        </w:tc>
        <w:tc>
          <w:tcPr>
            <w:tcW w:w="12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right"/>
              <w:rPr/>
            </w:pPr>
            <w:r>
              <w:rPr/>
              <w:t> </w:t>
            </w:r>
          </w:p>
        </w:tc>
        <w:tc>
          <w:tcPr>
            <w:tcW w:w="37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1.63</w:t>
            </w:r>
          </w:p>
        </w:tc>
        <w:tc>
          <w:tcPr>
            <w:tcW w:w="120" w:type="dxa"/>
            <w:tcBorders/>
            <w:shd w:fill="CCEEFF" w:val="clear"/>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283"/>
              <w:jc w:val="left"/>
              <w:rPr>
                <w:rFonts w:ascii="Times New Roman" w:hAnsi="Times New Roman"/>
              </w:rPr>
            </w:pPr>
            <w:r>
              <w:rPr>
                <w:rFonts w:ascii="Times New Roman" w:hAnsi="Times New Roman"/>
              </w:rPr>
              <w:t>Forfeited</w:t>
            </w:r>
          </w:p>
        </w:tc>
        <w:tc>
          <w:tcPr>
            <w:tcW w:w="90" w:type="dxa"/>
            <w:tcBorders/>
            <w:vAlign w:val="bottom"/>
          </w:tcPr>
          <w:p>
            <w:pPr>
              <w:pStyle w:val="TableContents"/>
              <w:bidi w:val="0"/>
              <w:spacing w:before="0" w:after="283"/>
              <w:jc w:val="righ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(400,005</w:t>
            </w:r>
          </w:p>
        </w:tc>
        <w:tc>
          <w:tcPr>
            <w:tcW w:w="125"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right"/>
              <w:rPr/>
            </w:pPr>
            <w:r>
              <w:rPr/>
              <w:t> </w:t>
            </w:r>
          </w:p>
        </w:tc>
        <w:tc>
          <w:tcPr>
            <w:tcW w:w="371"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vAlign w:val="bottom"/>
          </w:tcPr>
          <w:p>
            <w:pPr>
              <w:pStyle w:val="TableContents"/>
              <w:bidi w:val="0"/>
              <w:spacing w:before="0" w:after="283"/>
              <w:jc w:val="right"/>
              <w:rPr>
                <w:rFonts w:ascii="Times New Roman" w:hAnsi="Times New Roman"/>
              </w:rPr>
            </w:pPr>
            <w:r>
              <w:rPr>
                <w:rFonts w:ascii="Times New Roman" w:hAnsi="Times New Roman"/>
              </w:rPr>
              <w:t>2.71</w:t>
            </w:r>
          </w:p>
        </w:tc>
        <w:tc>
          <w:tcPr>
            <w:tcW w:w="120" w:type="dxa"/>
            <w:tcBorders/>
            <w:vAlign w:val="bottom"/>
          </w:tcPr>
          <w:p>
            <w:pPr>
              <w:pStyle w:val="TableContents"/>
              <w:bidi w:val="0"/>
              <w:spacing w:before="0" w:after="283"/>
              <w:jc w:val="left"/>
              <w:rPr/>
            </w:pPr>
            <w:r>
              <w:rPr/>
              <w:t> </w:t>
            </w:r>
          </w:p>
        </w:tc>
      </w:tr>
      <w:tr>
        <w:trPr/>
        <w:tc>
          <w:tcPr>
            <w:tcW w:w="303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December 31, 2023</w:t>
            </w:r>
          </w:p>
        </w:tc>
        <w:tc>
          <w:tcPr>
            <w:tcW w:w="9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90" w:type="dxa"/>
            <w:tcBorders>
              <w:bottom w:val="double" w:sz="6" w:space="0" w:color="000000"/>
            </w:tcBorders>
            <w:shd w:fill="CCEEFF" w:val="clear"/>
            <w:tcMar>
              <w:bottom w:w="45"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85" w:type="dxa"/>
            <w:tcBorders>
              <w:bottom w:val="double" w:sz="6" w:space="0" w:color="000000"/>
            </w:tcBorders>
            <w:shd w:fill="CCEEFF" w:val="clear"/>
            <w:tcMar>
              <w:bottom w:w="45"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4,657,297</w:t>
            </w:r>
          </w:p>
        </w:tc>
        <w:tc>
          <w:tcPr>
            <w:tcW w:w="12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0" w:type="dxa"/>
            <w:tcBorders/>
            <w:shd w:fill="CCEEFF" w:val="clear"/>
            <w:vAlign w:val="bottom"/>
          </w:tcPr>
          <w:p>
            <w:pPr>
              <w:pStyle w:val="TableContents"/>
              <w:bidi w:val="0"/>
              <w:spacing w:before="0" w:after="283"/>
              <w:jc w:val="right"/>
              <w:rPr/>
            </w:pPr>
            <w:r>
              <w:rPr/>
              <w:t> </w:t>
            </w:r>
          </w:p>
        </w:tc>
        <w:tc>
          <w:tcPr>
            <w:tcW w:w="37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0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2.81</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F-19</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December 31, 2023, the Company had $10.4 million of unrecognized compensation expense related to unvested RSUs granted under the Company’s equity incentive plans, which is expected to be recognized over a weighted-average period of 2.9 years.</w:t>
      </w:r>
    </w:p>
    <w:p>
      <w:pPr>
        <w:pStyle w:val="TextBody"/>
        <w:shd w:fill="FFFFFF" w:val="clear"/>
        <w:bidi w:val="0"/>
        <w:spacing w:before="0" w:after="0"/>
        <w:ind w:left="0" w:right="0" w:firstLine="720"/>
        <w:jc w:val="left"/>
        <w:rPr>
          <w:rFonts w:ascii="Times New Roman" w:hAnsi="Times New Roman"/>
        </w:rPr>
      </w:pPr>
      <w:r>
        <w:rPr>
          <w:rFonts w:ascii="Times New Roman" w:hAnsi="Times New Roman"/>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Total stock-based compensation expense for all awards granted under the Company’s equity incentive plans for the years ended December 31, 2023, 2022 and 2021 was as follows (in thousands):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6420" w:type="dxa"/>
        <w:jc w:val="left"/>
        <w:tblInd w:w="0" w:type="dxa"/>
        <w:tblLayout w:type="fixed"/>
        <w:tblCellMar>
          <w:top w:w="0" w:type="dxa"/>
          <w:left w:w="0" w:type="dxa"/>
          <w:bottom w:w="0" w:type="dxa"/>
          <w:right w:w="0" w:type="dxa"/>
        </w:tblCellMar>
      </w:tblPr>
      <w:tblGrid>
        <w:gridCol w:w="3570"/>
        <w:gridCol w:w="90"/>
        <w:gridCol w:w="170"/>
        <w:gridCol w:w="590"/>
        <w:gridCol w:w="90"/>
        <w:gridCol w:w="90"/>
        <w:gridCol w:w="170"/>
        <w:gridCol w:w="590"/>
        <w:gridCol w:w="90"/>
        <w:gridCol w:w="90"/>
        <w:gridCol w:w="170"/>
        <w:gridCol w:w="590"/>
        <w:gridCol w:w="120"/>
      </w:tblGrid>
      <w:tr>
        <w:trPr/>
        <w:tc>
          <w:tcPr>
            <w:tcW w:w="35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760"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760"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pPr>
            <w:r>
              <w:rPr/>
              <w:t> </w:t>
            </w:r>
            <w:r>
              <w:rPr>
                <w:rStyle w:val="StrongEmphasis"/>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760"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283"/>
              <w:jc w:val="center"/>
              <w:rPr/>
            </w:pPr>
            <w:r>
              <w:rPr/>
              <w:t> </w:t>
            </w:r>
            <w:r>
              <w:rPr>
                <w:rFonts w:ascii="Times New Roman" w:hAnsi="Times New Roman"/>
                <w:b/>
              </w:rPr>
              <w:t>2021</w:t>
            </w:r>
          </w:p>
        </w:tc>
        <w:tc>
          <w:tcPr>
            <w:tcW w:w="120" w:type="dxa"/>
            <w:tcBorders/>
            <w:vAlign w:val="bottom"/>
          </w:tcPr>
          <w:p>
            <w:pPr>
              <w:pStyle w:val="TableContents"/>
              <w:bidi w:val="0"/>
              <w:spacing w:before="0" w:after="283"/>
              <w:jc w:val="left"/>
              <w:rPr/>
            </w:pPr>
            <w:r>
              <w:rPr/>
              <w:t> </w:t>
            </w:r>
          </w:p>
        </w:tc>
      </w:tr>
      <w:tr>
        <w:trPr/>
        <w:tc>
          <w:tcPr>
            <w:tcW w:w="357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59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59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59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154</w:t>
            </w:r>
          </w:p>
        </w:tc>
        <w:tc>
          <w:tcPr>
            <w:tcW w:w="120" w:type="dxa"/>
            <w:tcBorders/>
            <w:shd w:fill="CCEEFF" w:val="clear"/>
            <w:vAlign w:val="bottom"/>
          </w:tcPr>
          <w:p>
            <w:pPr>
              <w:pStyle w:val="TableContents"/>
              <w:bidi w:val="0"/>
              <w:spacing w:before="0" w:after="283"/>
              <w:jc w:val="left"/>
              <w:rPr/>
            </w:pPr>
            <w:r>
              <w:rPr/>
              <w:t> </w:t>
            </w:r>
          </w:p>
        </w:tc>
      </w:tr>
      <w:tr>
        <w:trPr/>
        <w:tc>
          <w:tcPr>
            <w:tcW w:w="357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Plasma center operating expenses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rFonts w:ascii="Times New Roman" w:hAnsi="Times New Roman"/>
              </w:rPr>
            </w:pPr>
            <w:r>
              <w:rPr>
                <w:rFonts w:ascii="Times New Roman" w:hAnsi="Times New Roman"/>
              </w:rPr>
              <w:t>146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rFonts w:ascii="Times New Roman" w:hAnsi="Times New Roman"/>
              </w:rPr>
            </w:pPr>
            <w:r>
              <w:rPr>
                <w:rFonts w:ascii="Times New Roman" w:hAnsi="Times New Roman"/>
              </w:rPr>
              <w:t>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rFonts w:ascii="Times New Roman" w:hAnsi="Times New Roman"/>
              </w:rPr>
            </w:pPr>
            <w:r>
              <w:rPr>
                <w:rFonts w:ascii="Times New Roman" w:hAnsi="Times New Roman"/>
              </w:rPr>
              <w:t>60</w:t>
            </w:r>
          </w:p>
        </w:tc>
        <w:tc>
          <w:tcPr>
            <w:tcW w:w="120" w:type="dxa"/>
            <w:tcBorders/>
            <w:vAlign w:val="bottom"/>
          </w:tcPr>
          <w:p>
            <w:pPr>
              <w:pStyle w:val="TableContents"/>
              <w:bidi w:val="0"/>
              <w:spacing w:before="0" w:after="283"/>
              <w:jc w:val="left"/>
              <w:rPr/>
            </w:pPr>
            <w:r>
              <w:rPr/>
              <w:t> </w:t>
            </w:r>
          </w:p>
        </w:tc>
      </w:tr>
      <w:tr>
        <w:trPr/>
        <w:tc>
          <w:tcPr>
            <w:tcW w:w="357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5,331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4,717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2,958</w:t>
            </w:r>
          </w:p>
        </w:tc>
        <w:tc>
          <w:tcPr>
            <w:tcW w:w="120" w:type="dxa"/>
            <w:tcBorders/>
            <w:shd w:fill="CCEEFF" w:val="clear"/>
            <w:vAlign w:val="bottom"/>
          </w:tcPr>
          <w:p>
            <w:pPr>
              <w:pStyle w:val="TableContents"/>
              <w:bidi w:val="0"/>
              <w:spacing w:before="0" w:after="283"/>
              <w:jc w:val="left"/>
              <w:rPr/>
            </w:pPr>
            <w:r>
              <w:rPr/>
              <w:t> </w:t>
            </w:r>
          </w:p>
        </w:tc>
      </w:tr>
      <w:tr>
        <w:trPr/>
        <w:tc>
          <w:tcPr>
            <w:tcW w:w="357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product revenue</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670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397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316</w:t>
            </w:r>
          </w:p>
        </w:tc>
        <w:tc>
          <w:tcPr>
            <w:tcW w:w="120" w:type="dxa"/>
            <w:tcBorders/>
            <w:vAlign w:val="bottom"/>
          </w:tcPr>
          <w:p>
            <w:pPr>
              <w:pStyle w:val="TableContents"/>
              <w:bidi w:val="0"/>
              <w:spacing w:before="0" w:after="283"/>
              <w:jc w:val="left"/>
              <w:rPr/>
            </w:pPr>
            <w:r>
              <w:rPr/>
              <w:t> </w:t>
            </w:r>
          </w:p>
        </w:tc>
      </w:tr>
      <w:tr>
        <w:trPr/>
        <w:tc>
          <w:tcPr>
            <w:tcW w:w="3570" w:type="dxa"/>
            <w:tcBorders/>
            <w:shd w:fill="CCEEFF" w:val="clear"/>
            <w:vAlign w:val="bottom"/>
          </w:tcPr>
          <w:p>
            <w:pPr>
              <w:pStyle w:val="TableContents"/>
              <w:bidi w:val="0"/>
              <w:spacing w:before="0" w:after="0"/>
              <w:ind w:left="0" w:right="0" w:firstLine="190"/>
              <w:jc w:val="left"/>
              <w:rPr>
                <w:rFonts w:ascii="Times New Roman" w:hAnsi="Times New Roman"/>
                <w:sz w:val="20"/>
              </w:rPr>
            </w:pPr>
            <w:r>
              <w:rPr>
                <w:rFonts w:ascii="Times New Roman" w:hAnsi="Times New Roman"/>
                <w:sz w:val="20"/>
              </w:rPr>
              <w:t>Total stock-based compensation expense</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6" w:space="0" w:color="000000"/>
            </w:tcBorders>
            <w:shd w:fill="CCEEFF" w:val="clear"/>
            <w:tcMar>
              <w:bottom w:w="45"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590" w:type="dxa"/>
            <w:tcBorders>
              <w:bottom w:val="double" w:sz="6" w:space="0" w:color="000000"/>
            </w:tcBorders>
            <w:shd w:fill="CCEEFF" w:val="clear"/>
            <w:tcMar>
              <w:bottom w:w="45" w:type="dxa"/>
            </w:tcMar>
            <w:vAlign w:val="bottom"/>
          </w:tcPr>
          <w:p>
            <w:pPr>
              <w:pStyle w:val="TableContents"/>
              <w:bidi w:val="0"/>
              <w:spacing w:before="0" w:after="283"/>
              <w:jc w:val="right"/>
              <w:rPr>
                <w:rFonts w:ascii="Times New Roman" w:hAnsi="Times New Roman"/>
              </w:rPr>
            </w:pPr>
            <w:r>
              <w:rPr>
                <w:rFonts w:ascii="Times New Roman" w:hAnsi="Times New Roman"/>
              </w:rPr>
              <w:t>6,187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6" w:space="0" w:color="000000"/>
            </w:tcBorders>
            <w:shd w:fill="CCEEFF" w:val="clear"/>
            <w:tcMar>
              <w:bottom w:w="45"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590" w:type="dxa"/>
            <w:tcBorders>
              <w:bottom w:val="double" w:sz="6" w:space="0" w:color="000000"/>
            </w:tcBorders>
            <w:shd w:fill="CCEEFF" w:val="clear"/>
            <w:tcMar>
              <w:bottom w:w="45" w:type="dxa"/>
            </w:tcMar>
            <w:vAlign w:val="bottom"/>
          </w:tcPr>
          <w:p>
            <w:pPr>
              <w:pStyle w:val="TableContents"/>
              <w:bidi w:val="0"/>
              <w:spacing w:before="0" w:after="283"/>
              <w:jc w:val="right"/>
              <w:rPr>
                <w:rFonts w:ascii="Times New Roman" w:hAnsi="Times New Roman"/>
              </w:rPr>
            </w:pPr>
            <w:r>
              <w:rPr>
                <w:rFonts w:ascii="Times New Roman" w:hAnsi="Times New Roman"/>
              </w:rPr>
              <w:t>5,215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6" w:space="0" w:color="000000"/>
            </w:tcBorders>
            <w:shd w:fill="CCEEFF" w:val="clear"/>
            <w:tcMar>
              <w:bottom w:w="45"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590" w:type="dxa"/>
            <w:tcBorders>
              <w:bottom w:val="double" w:sz="6" w:space="0" w:color="000000"/>
            </w:tcBorders>
            <w:shd w:fill="CCEEFF" w:val="clear"/>
            <w:tcMar>
              <w:bottom w:w="45" w:type="dxa"/>
            </w:tcMar>
            <w:vAlign w:val="bottom"/>
          </w:tcPr>
          <w:p>
            <w:pPr>
              <w:pStyle w:val="TableContents"/>
              <w:bidi w:val="0"/>
              <w:spacing w:before="0" w:after="283"/>
              <w:jc w:val="right"/>
              <w:rPr>
                <w:rFonts w:ascii="Times New Roman" w:hAnsi="Times New Roman"/>
              </w:rPr>
            </w:pPr>
            <w:r>
              <w:rPr>
                <w:rFonts w:ascii="Times New Roman" w:hAnsi="Times New Roman"/>
              </w:rPr>
              <w:t>3,488</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3430" w:type="dxa"/>
        <w:jc w:val="left"/>
        <w:tblInd w:w="0" w:type="dxa"/>
        <w:tblLayout w:type="fixed"/>
        <w:tblCellMar>
          <w:top w:w="0" w:type="dxa"/>
          <w:left w:w="0" w:type="dxa"/>
          <w:bottom w:w="0" w:type="dxa"/>
          <w:right w:w="0" w:type="dxa"/>
        </w:tblCellMar>
      </w:tblPr>
      <w:tblGrid>
        <w:gridCol w:w="185"/>
        <w:gridCol w:w="3245"/>
      </w:tblGrid>
      <w:tr>
        <w:trPr/>
        <w:tc>
          <w:tcPr>
            <w:tcW w:w="185" w:type="dxa"/>
            <w:tcBorders/>
            <w:vAlign w:val="center"/>
          </w:tcPr>
          <w:p>
            <w:pPr>
              <w:pStyle w:val="TableContents"/>
              <w:bidi w:val="0"/>
              <w:spacing w:before="0" w:after="0"/>
              <w:ind w:left="0" w:right="0" w:hanging="0"/>
              <w:jc w:val="left"/>
              <w:rPr/>
            </w:pPr>
            <w:r>
              <w:rPr>
                <w:rStyle w:val="StrongEmphasis"/>
                <w:rFonts w:ascii="Times New Roman" w:hAnsi="Times New Roman"/>
                <w:sz w:val="20"/>
              </w:rPr>
              <w:t>9.</w:t>
            </w:r>
          </w:p>
        </w:tc>
        <w:tc>
          <w:tcPr>
            <w:tcW w:w="3245" w:type="dxa"/>
            <w:tcBorders/>
            <w:vAlign w:val="center"/>
          </w:tcPr>
          <w:p>
            <w:pPr>
              <w:pStyle w:val="TableContents"/>
              <w:bidi w:val="0"/>
              <w:spacing w:before="0" w:after="0"/>
              <w:ind w:left="0" w:right="0" w:hanging="0"/>
              <w:jc w:val="left"/>
              <w:rPr/>
            </w:pPr>
            <w:r>
              <w:rPr>
                <w:rStyle w:val="StrongEmphasis"/>
                <w:rFonts w:ascii="Times New Roman" w:hAnsi="Times New Roman"/>
                <w:b/>
                <w:i w:val="false"/>
                <w:caps w:val="false"/>
                <w:smallCaps w:val="false"/>
                <w:color w:val="000000"/>
                <w:sz w:val="20"/>
                <w:u w:val="single"/>
                <w:shd w:fill="FFFFFF" w:val="clear"/>
              </w:rPr>
              <w:t>RELATED PARTY TRANSACTIONS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leases an office building and equipment from Areth, LLC (“Areth”) pursuant to an agreement for services effective as of January 1, 2016, as amended from time to time</w:t>
      </w:r>
      <w:r>
        <w:rPr>
          <w:rFonts w:ascii="Times New Roman" w:hAnsi="Times New Roman"/>
          <w:b w:val="false"/>
          <w:i w:val="false"/>
          <w:caps w:val="false"/>
          <w:smallCaps w:val="false"/>
          <w:color w:val="000000"/>
          <w:spacing w:val="0"/>
          <w:sz w:val="20"/>
          <w:shd w:fill="FFFFFF" w:val="clear"/>
        </w:rPr>
        <w:t>, and pays</w:t>
      </w:r>
      <w:r>
        <w:rPr>
          <w:rFonts w:ascii="Times New Roman" w:hAnsi="Times New Roman"/>
          <w:b w:val="false"/>
          <w:i w:val="false"/>
          <w:caps w:val="false"/>
          <w:smallCaps w:val="false"/>
          <w:color w:val="000000"/>
          <w:sz w:val="20"/>
          <w:shd w:fill="FFFFFF" w:val="clear"/>
        </w:rPr>
        <w:t xml:space="preserve"> monthly rent on this facility in the amount of $10,000. On </w:t>
      </w:r>
      <w:r>
        <w:rPr>
          <w:rFonts w:ascii="Times New Roman" w:hAnsi="Times New Roman"/>
          <w:b w:val="false"/>
          <w:i w:val="false"/>
          <w:caps w:val="false"/>
          <w:smallCaps w:val="false"/>
          <w:color w:val="000000"/>
          <w:spacing w:val="0"/>
          <w:sz w:val="20"/>
          <w:shd w:fill="FFFFFF" w:val="clear"/>
        </w:rPr>
        <w:t xml:space="preserve"> October 18, 2022</w:t>
      </w:r>
      <w:r>
        <w:rPr>
          <w:rFonts w:ascii="Times New Roman" w:hAnsi="Times New Roman"/>
          <w:b w:val="false"/>
          <w:i w:val="false"/>
          <w:caps w:val="false"/>
          <w:smallCaps w:val="false"/>
          <w:color w:val="000000"/>
          <w:sz w:val="20"/>
          <w:shd w:fill="FFFFFF" w:val="clear"/>
        </w:rPr>
        <w:t xml:space="preserve">, the </w:t>
      </w:r>
      <w:r>
        <w:rPr>
          <w:rFonts w:ascii="Times New Roman" w:hAnsi="Times New Roman"/>
          <w:b w:val="false"/>
          <w:i w:val="false"/>
          <w:caps w:val="false"/>
          <w:smallCaps w:val="false"/>
          <w:color w:val="000000"/>
          <w:spacing w:val="0"/>
          <w:sz w:val="20"/>
          <w:shd w:fill="FFFFFF" w:val="clear"/>
        </w:rPr>
        <w:t>Company</w:t>
      </w:r>
      <w:r>
        <w:rPr>
          <w:rFonts w:ascii="Times New Roman" w:hAnsi="Times New Roman"/>
          <w:b w:val="false"/>
          <w:i w:val="false"/>
          <w:caps w:val="false"/>
          <w:smallCaps w:val="false"/>
          <w:color w:val="000000"/>
          <w:sz w:val="20"/>
          <w:shd w:fill="FFFFFF" w:val="clear"/>
        </w:rPr>
        <w:t xml:space="preserve"> </w:t>
      </w:r>
      <w:r>
        <w:rPr>
          <w:rFonts w:ascii="Times New Roman" w:hAnsi="Times New Roman"/>
          <w:b w:val="false"/>
          <w:i w:val="false"/>
          <w:caps w:val="false"/>
          <w:smallCaps w:val="false"/>
          <w:color w:val="000000"/>
          <w:spacing w:val="0"/>
          <w:sz w:val="20"/>
          <w:shd w:fill="FFFFFF" w:val="clear"/>
        </w:rPr>
        <w:t>amended the agreement to extend its term to December 31, 2026, with automatic successive one-year renewals thereafter. Either party may terminate the agreement by providing the other party with</w:t>
      </w:r>
      <w:r>
        <w:rPr>
          <w:rFonts w:ascii="Times New Roman" w:hAnsi="Times New Roman"/>
          <w:b w:val="false"/>
          <w:i w:val="false"/>
          <w:caps w:val="false"/>
          <w:smallCaps w:val="false"/>
          <w:color w:val="000000"/>
          <w:sz w:val="20"/>
          <w:shd w:fill="FFFFFF" w:val="clear"/>
        </w:rPr>
        <w:t xml:space="preserve"> one year</w:t>
      </w:r>
      <w:r>
        <w:rPr>
          <w:rFonts w:ascii="Times New Roman" w:hAnsi="Times New Roman"/>
          <w:b w:val="false"/>
          <w:i w:val="false"/>
          <w:caps w:val="false"/>
          <w:smallCaps w:val="false"/>
          <w:color w:val="000000"/>
          <w:spacing w:val="0"/>
          <w:sz w:val="20"/>
          <w:shd w:fill="FFFFFF" w:val="clear"/>
        </w:rPr>
        <w:t>’s prior written notice</w:t>
      </w:r>
      <w:r>
        <w:rPr>
          <w:rFonts w:ascii="Times New Roman" w:hAnsi="Times New Roman"/>
          <w:b w:val="false"/>
          <w:i w:val="false"/>
          <w:caps w:val="false"/>
          <w:smallCaps w:val="false"/>
          <w:color w:val="000000"/>
          <w:sz w:val="20"/>
          <w:shd w:fill="FFFFFF" w:val="clear"/>
        </w:rPr>
        <w:t xml:space="preserve">. Rent expense for the years ended December 31, 2023, 2022 and 2021 amounted to $0.1 million. Areth is a company controlled by Dr. Jerrold B. Grossman, the Vice Chairman of the Board, and Adam S. Grossman, the Company’s President and Chief Executive Officer. The Company also reimburses Areth for office, warehousing and building related (common area) expenses, equipment and certain other operational expenses, which were not material to the consolidated financial statements for the years ended December 31, 2023, 2022 and 2021.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years ended December 31, 2023, 2022 and 2021, the Company purchased certain specialized medical equipment and services related to the Company’s plasma collection centers, as well as personal protective equipment, from GenesisBPS and its affiliates (“Genesis”) in the amount of $0.4 million, $0.2 million and $0.2 million, respectively. Genesis is owned by Dr. Grossman and Adam Grossman.</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On August 15, 2023, two of the Company’s executive officers exercised options to purchase 2,909,721 shares of the Company’s common stock on a cashless basis, and 688,657 shares of common stock were issued to these executive officers, net of 257,867 shares of common stock to cover a portion of their tax liabilities (see Note 8)</w:t>
      </w:r>
      <w:r>
        <w:rPr>
          <w:rFonts w:ascii="Times New Roman" w:hAnsi="Times New Roman"/>
          <w:b w:val="false"/>
          <w:i w:val="false"/>
          <w:caps w:val="false"/>
          <w:smallCaps w:val="false"/>
          <w:color w:val="000000"/>
          <w:sz w:val="20"/>
          <w:shd w:fill="FFFFFF" w:val="clear"/>
        </w:rPr>
        <w:t>.</w:t>
      </w:r>
    </w:p>
    <w:p>
      <w:pPr>
        <w:pStyle w:val="TextBody"/>
        <w:bidi w:val="0"/>
        <w:spacing w:before="0" w:after="0"/>
        <w:ind w:left="0" w:right="0" w:firstLine="675"/>
        <w:jc w:val="left"/>
        <w:rPr/>
      </w:pPr>
      <w:r>
        <w:rPr/>
      </w:r>
    </w:p>
    <w:p>
      <w:pPr>
        <w:pStyle w:val="TextBody"/>
        <w:bidi w:val="0"/>
        <w:spacing w:before="0" w:after="0"/>
        <w:jc w:val="left"/>
        <w:rPr/>
      </w:pPr>
      <w:r>
        <w:rPr/>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See Note 7 for a discussion of the Company’s prior credit facility and related transactions with Perceptive, a holder of more than 5% of the Company’s common stock during the year ended December 31, 2022.In connection with the 2022 public offering of the Company’s common stock (see Note 8) on December 9, 2022: (i) Mr. Grossman purchased 14,983 shares of common stock directly and 14,982 shares of common stock indirectly through an entity he controls, and (ii) Brian Lenz, the Company’s Executive Vice President and Chief Financial Officer, purchased 6,993 shares of common stock, all at the public offering price of $2.86 per share.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year ended December 31, 2021, in connection with the resignation of Dr. James Mond, the Company’s former Chief Scientific and Medical Officer, the Company recognized an expense and corresponding liability in the amount of $0.8 million for payments to be made under a separation and transition agreement with Dr. Mond. These payments were made in scheduled installments over a period of 10 months.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widowControl/>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connection with the 2021 public offering of the Company’s common stock (see Note 8) on October 25, 2021: (i) Mr. Grossman purchased 100,000 shares of common stock directly and 250,000 shares </w:t>
      </w:r>
      <w:r>
        <w:rPr>
          <w:rFonts w:ascii="Times New Roman" w:hAnsi="Times New Roman"/>
          <w:b w:val="false"/>
          <w:i w:val="false"/>
          <w:caps w:val="false"/>
          <w:smallCaps w:val="false"/>
          <w:color w:val="000000"/>
          <w:spacing w:val="0"/>
          <w:sz w:val="20"/>
          <w:shd w:fill="FFFFFF" w:val="clear"/>
        </w:rPr>
        <w:t xml:space="preserve">of common stock </w:t>
      </w:r>
      <w:r>
        <w:rPr>
          <w:rFonts w:ascii="Times New Roman" w:hAnsi="Times New Roman"/>
          <w:b w:val="false"/>
          <w:i w:val="false"/>
          <w:caps w:val="false"/>
          <w:smallCaps w:val="false"/>
          <w:color w:val="000000"/>
          <w:sz w:val="20"/>
          <w:shd w:fill="FFFFFF" w:val="clear"/>
        </w:rPr>
        <w:t xml:space="preserve">indirectly through an entity he controls,  (ii) Dr. Grossman purchased 100,000 shares of common stock,  (iii) </w:t>
      </w:r>
      <w:r>
        <w:rPr>
          <w:rFonts w:ascii="Times New Roman" w:hAnsi="Times New Roman"/>
          <w:b w:val="false"/>
          <w:i w:val="false"/>
          <w:caps w:val="false"/>
          <w:smallCaps w:val="false"/>
          <w:color w:val="000000"/>
          <w:spacing w:val="0"/>
          <w:sz w:val="20"/>
          <w:shd w:fill="FFFFFF" w:val="clear"/>
        </w:rPr>
        <w:t>Dr. Young Kwon, a member of the Board,</w:t>
      </w:r>
      <w:r>
        <w:rPr>
          <w:rFonts w:ascii="Times New Roman" w:hAnsi="Times New Roman"/>
          <w:b w:val="false"/>
          <w:i w:val="false"/>
          <w:caps w:val="false"/>
          <w:smallCaps w:val="false"/>
          <w:color w:val="000000"/>
          <w:sz w:val="20"/>
          <w:shd w:fill="FFFFFF" w:val="clear"/>
        </w:rPr>
        <w:t xml:space="preserve"> purchased 100,000 shares of common stock, and (iv) </w:t>
      </w:r>
      <w:r>
        <w:rPr>
          <w:rFonts w:ascii="Times New Roman" w:hAnsi="Times New Roman"/>
          <w:b w:val="false"/>
          <w:i w:val="false"/>
          <w:caps w:val="false"/>
          <w:smallCaps w:val="false"/>
          <w:color w:val="000000"/>
          <w:spacing w:val="0"/>
          <w:sz w:val="20"/>
          <w:shd w:fill="FFFFFF" w:val="clear"/>
        </w:rPr>
        <w:t>Brian Lenz, the Company’s Executive Vice President and Chief Financial Officer,</w:t>
      </w:r>
      <w:r>
        <w:rPr>
          <w:rFonts w:ascii="Times New Roman" w:hAnsi="Times New Roman"/>
          <w:b w:val="false"/>
          <w:i w:val="false"/>
          <w:caps w:val="false"/>
          <w:smallCaps w:val="false"/>
          <w:color w:val="000000"/>
          <w:sz w:val="20"/>
          <w:shd w:fill="FFFFFF" w:val="clear"/>
        </w:rPr>
        <w:t xml:space="preserve"> purchased 30,000 shares of common stock, all at the public offering price of $1.00 per share.</w:t>
      </w:r>
    </w:p>
    <w:p>
      <w:pPr>
        <w:pStyle w:val="TextBody"/>
        <w:bidi w:val="0"/>
        <w:spacing w:before="0" w:after="16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F-20</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0"/>
              <w:ind w:left="0" w:right="0" w:hanging="0"/>
              <w:jc w:val="left"/>
              <w:rPr/>
            </w:pPr>
            <w:r>
              <w:rPr>
                <w:rStyle w:val="StrongEmphasis"/>
                <w:rFonts w:ascii="Times New Roman" w:hAnsi="Times New Roman"/>
                <w:sz w:val="20"/>
              </w:rPr>
              <w:t>10.</w:t>
            </w:r>
          </w:p>
        </w:tc>
        <w:tc>
          <w:tcPr>
            <w:tcW w:w="3710" w:type="dxa"/>
            <w:tcBorders/>
            <w:vAlign w:val="center"/>
          </w:tcPr>
          <w:p>
            <w:pPr>
              <w:pStyle w:val="TableContents"/>
              <w:bidi w:val="0"/>
              <w:spacing w:before="0" w:after="0"/>
              <w:ind w:left="0" w:right="0" w:hanging="0"/>
              <w:jc w:val="left"/>
              <w:rPr/>
            </w:pPr>
            <w:r>
              <w:rPr>
                <w:rStyle w:val="StrongEmphasis"/>
                <w:rFonts w:ascii="Times New Roman" w:hAnsi="Times New Roman"/>
                <w:b/>
                <w:i w:val="false"/>
                <w:caps w:val="false"/>
                <w:smallCaps w:val="false"/>
                <w:color w:val="000000"/>
                <w:sz w:val="20"/>
                <w:u w:val="single"/>
                <w:shd w:fill="FFFFFF" w:val="clear"/>
              </w:rPr>
              <w:t>COMMITMENTS AND CONTINGENCIES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General Legal Matters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z w:val="20"/>
          <w:u w:val="single"/>
          <w:shd w:fill="FFFFFF" w:val="clear"/>
        </w:rPr>
      </w:pPr>
      <w:r>
        <w:rPr>
          <w:rFonts w:ascii="Times New Roman" w:hAnsi="Times New Roman"/>
          <w:b w:val="false"/>
          <w:i w:val="false"/>
          <w:caps w:val="false"/>
          <w:smallCaps w:val="false"/>
          <w:color w:val="000000"/>
          <w:sz w:val="20"/>
          <w:u w:val="single"/>
          <w:shd w:fill="FFFFFF" w:val="clear"/>
        </w:rPr>
        <w:t>IT Systems Disruption</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June 19, 2023, the Company experienced an IT systems disruption, which rendered certain of the Company’s IT technology systems inaccessible for less than one week. The Company’s investigation of the disruption has essentially been completed with the assistance of third-party consultants, and no definitive root cause was identified. At the time of the disruption, the Company was in production of two batches of BIVIGAM, and after a prolonged hold time, it was deemed to be a prudent GMP quality decision to discard these two in-process production batches as these batches were no longer viable for further production or had any alternative use. As a result, the Company recorded a one-time, non-recurring charge of $2.1 million in the second quarter of 2023 for this inventory, which is reflected in Cost of product revenue in the accompanying consolidated statements of operations for the year ending December 31, 2023. In addition, the Company’s Plasma center operating expenses were adversely impacted by approximately $0.7 million due to the temporary closing of the Company’s plasma collection centers while their IT systems were restored.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carries appropriate insurance for these types of instances, and while there can be no assurances ADMA will be reimbursed for the insurance claims made pertaining to these charges, the Company is actively working with its insurance broker and carriers.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F-21</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hanging="0"/>
        <w:jc w:val="left"/>
        <w:rPr>
          <w:rFonts w:ascii="Times New Roman" w:hAnsi="Times New Roman"/>
          <w:b w:val="false"/>
          <w:i/>
          <w:caps w:val="false"/>
          <w:smallCaps w:val="false"/>
          <w:color w:val="000000"/>
          <w:sz w:val="20"/>
          <w:u w:val="single"/>
          <w:shd w:fill="FFFFFF" w:val="clear"/>
        </w:rPr>
      </w:pPr>
      <w:r>
        <w:rPr>
          <w:rFonts w:ascii="Times New Roman" w:hAnsi="Times New Roman"/>
          <w:b w:val="false"/>
          <w:i/>
          <w:caps w:val="false"/>
          <w:smallCaps w:val="false"/>
          <w:color w:val="000000"/>
          <w:sz w:val="20"/>
          <w:u w:val="single"/>
          <w:shd w:fill="FFFFFF" w:val="clear"/>
        </w:rPr>
        <w:t>Vendor Commitments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Pursuant to the terms of a plasma purchase agreement dated as of November 17,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RSV plasma from up to five wholly-owned ADMA plasma collection facilities. During 2015, the Company amended the 2011 Plasma Purchase Agreement to (i) allow the Company to collect its raw material RSV high-titer plasma from any number of wholly-owned ADMA plasma collection facilities and (ii) allow the Company to purchase its raw material RSV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Unless terminated earlier, the 2011 Plasma Purchase Agreement expires in June 2027, after which it may be renewed for two additional five-year periods if agreed to by the parties. On December 10, 2018, the Company’s former contract manufacturer assigned its rights and obligations under the 2011 Plasma Purchase Agreement to Grifols Worldwide Operations Limited (“Grifols”) as its successor-in-interest, effective January 1, 2019.</w:t>
      </w:r>
    </w:p>
    <w:p>
      <w:pPr>
        <w:pStyle w:val="TextBody"/>
        <w:bidi w:val="0"/>
        <w:jc w:val="left"/>
        <w:rPr/>
      </w:pPr>
      <w:r>
        <w:rPr/>
      </w:r>
    </w:p>
    <w:p>
      <w:pPr>
        <w:pStyle w:val="TextBody"/>
        <w:widowControl/>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On June 6, 2017, the Company entered into a Plasma Supply Agreement with its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On July 19, 2018, </w:t>
      </w:r>
      <w:r>
        <w:rPr>
          <w:rFonts w:ascii="Times New Roman" w:hAnsi="Times New Roman"/>
          <w:b w:val="false"/>
          <w:i w:val="false"/>
          <w:caps w:val="false"/>
          <w:smallCaps w:val="false"/>
          <w:color w:val="000000"/>
          <w:spacing w:val="0"/>
          <w:sz w:val="20"/>
          <w:shd w:fill="FFFFFF" w:val="clear"/>
        </w:rPr>
        <w:t>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On December 10, 2018, the Company’s former contract manufacturer assigned its rights and obligations under the Plasma Supply Agreement to Grifols, effective January 1, 201</w:t>
      </w:r>
      <w:r>
        <w:rPr>
          <w:rFonts w:ascii="Times New Roman" w:hAnsi="Times New Roman"/>
          <w:b w:val="false"/>
          <w:i w:val="false"/>
          <w:caps w:val="false"/>
          <w:smallCaps w:val="false"/>
          <w:color w:val="000000"/>
          <w:sz w:val="20"/>
          <w:shd w:fill="FFFFFF" w:val="clear"/>
        </w:rPr>
        <w:t>9.</w:t>
      </w:r>
    </w:p>
    <w:p>
      <w:pPr>
        <w:pStyle w:val="TextBody"/>
        <w:bidi w:val="0"/>
        <w:spacing w:before="0" w:after="0"/>
        <w:ind w:left="0" w:right="0" w:firstLine="675"/>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F-22</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hanging="0"/>
        <w:jc w:val="left"/>
        <w:rPr>
          <w:rFonts w:ascii="Times New Roman" w:hAnsi="Times New Roman"/>
          <w:b w:val="false"/>
          <w:i/>
          <w:caps w:val="false"/>
          <w:smallCaps w:val="false"/>
          <w:color w:val="000000"/>
          <w:sz w:val="20"/>
          <w:u w:val="single"/>
          <w:shd w:fill="FFFFFF" w:val="clear"/>
        </w:rPr>
      </w:pPr>
      <w:r>
        <w:rPr>
          <w:rFonts w:ascii="Times New Roman" w:hAnsi="Times New Roman"/>
          <w:b w:val="false"/>
          <w:i/>
          <w:caps w:val="false"/>
          <w:smallCaps w:val="false"/>
          <w:color w:val="000000"/>
          <w:sz w:val="20"/>
          <w:u w:val="single"/>
          <w:shd w:fill="FFFFFF" w:val="clear"/>
        </w:rPr>
        <w:t>Post-Marketing Commitments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connection with the FDA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were required to be completed by June 30, 2023. Both studies have been completed and the study reports have been submitted to the FDA. ADMA had assumed the remaining obligations, and the costs of the studies were expensed as incurred as research and development expenses. For the years ended December 31, 2023, 2022 and 2021, the Company incurred expenses related to these studies of $1.7 million, $2.2 million and $1.7 million, respectively.</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connection with the FDA approval of ASCENIV on April 1, 2019, the Company is required to perform a pediatric study to evaluate the safety and efficacy of ASCENIV in children and adolescents. For the years ended December 31, 2023, 2022 and 2021, the Company incurred expenses related to this study in the amount of $1.0 million, $0.5 million and $0.6 million, respectively. The Company expects to incur expenses of approximately $1.5 million to complete this study, which is required to be completed by June of 2026.</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rFonts w:ascii="Times New Roman" w:hAnsi="Times New Roman"/>
          <w:b w:val="false"/>
          <w:i/>
          <w:caps w:val="false"/>
          <w:smallCaps w:val="false"/>
          <w:color w:val="000000"/>
          <w:sz w:val="20"/>
          <w:u w:val="single"/>
          <w:shd w:fill="FFFFFF" w:val="clear"/>
        </w:rPr>
      </w:pPr>
      <w:r>
        <w:rPr>
          <w:rFonts w:ascii="Times New Roman" w:hAnsi="Times New Roman"/>
          <w:b w:val="false"/>
          <w:i/>
          <w:caps w:val="false"/>
          <w:smallCaps w:val="false"/>
          <w:color w:val="000000"/>
          <w:sz w:val="20"/>
          <w:u w:val="single"/>
          <w:shd w:fill="FFFFFF" w:val="clear"/>
        </w:rPr>
        <w:t>Employment Contracts</w:t>
      </w:r>
    </w:p>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has entered into employment agreements with Mr. Grossman and Mr. Lenz.</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val="false"/>
          <w:i/>
          <w:caps w:val="false"/>
          <w:smallCaps w:val="false"/>
          <w:color w:val="000000"/>
          <w:sz w:val="20"/>
          <w:u w:val="single"/>
          <w:shd w:fill="FFFFFF" w:val="clear"/>
        </w:rPr>
      </w:pPr>
      <w:r>
        <w:rPr>
          <w:rFonts w:ascii="Times New Roman" w:hAnsi="Times New Roman"/>
          <w:b w:val="false"/>
          <w:i/>
          <w:caps w:val="false"/>
          <w:smallCaps w:val="false"/>
          <w:color w:val="000000"/>
          <w:sz w:val="20"/>
          <w:u w:val="single"/>
          <w:shd w:fill="FFFFFF" w:val="clear"/>
        </w:rPr>
        <w:t>Other Commitments</w:t>
      </w:r>
    </w:p>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September 28, 2021, following the approval of the Board upon recommendation of the Compensation Committee of the Board, and in consultation with an independent compensation consultant, the Company implemented a retention incentive program, consisting of cash payments and awards of RSUs (see Note 8), to the Company’s management, including Mr. Grossman and Mr. Lenz, and to certain other employees. The purpose of the retention program was to promote and ensure business continuity and provide an incentive to the Company’s executive management and certain other employees, considering the operational challenges presented by the COVID-19 pandemic and the competitive work environment in which the Company operates as an FDA regulated manufacturer of specialized biologic therapies. The retention awards were granted considering the nationwide labor shortages and the increased employee turnover rates that the Company, its pharmaceutical peers and other companies outside of the Company’s industry have reported experiencing.</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The cash portion of the retention program consisted of two tranches. The first tranche was paid to employees on September 30, 2021 in the amount of $1.3 million, and the second tranche aggregating to approximately $1.3 million was paid on June 15, 2022. Based on the terms of the retention agreements the Company entered into with each applicable executive and employee, approximately $0.8 million of each tranche was recognized over the retention service period, which began on October 1, 2021 and ended on December 31, 2022, with the remainder having been recognized as expense when paid.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December 31, 2023. The Company does not anticipate recognizing any significant losses relating to these arrangements.</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F-23</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tbl>
      <w:tblPr>
        <w:tblW w:w="1825" w:type="dxa"/>
        <w:jc w:val="left"/>
        <w:tblInd w:w="0" w:type="dxa"/>
        <w:tblLayout w:type="fixed"/>
        <w:tblCellMar>
          <w:top w:w="0" w:type="dxa"/>
          <w:left w:w="0" w:type="dxa"/>
          <w:bottom w:w="0" w:type="dxa"/>
          <w:right w:w="0" w:type="dxa"/>
        </w:tblCellMar>
      </w:tblPr>
      <w:tblGrid>
        <w:gridCol w:w="290"/>
        <w:gridCol w:w="1535"/>
      </w:tblGrid>
      <w:tr>
        <w:trPr/>
        <w:tc>
          <w:tcPr>
            <w:tcW w:w="290" w:type="dxa"/>
            <w:tcBorders/>
            <w:vAlign w:val="center"/>
          </w:tcPr>
          <w:p>
            <w:pPr>
              <w:pStyle w:val="TableContents"/>
              <w:bidi w:val="0"/>
              <w:spacing w:before="0" w:after="0"/>
              <w:ind w:left="0" w:right="0" w:hanging="0"/>
              <w:jc w:val="left"/>
              <w:rPr/>
            </w:pPr>
            <w:r>
              <w:rPr>
                <w:rStyle w:val="StrongEmphasis"/>
                <w:rFonts w:ascii="Times New Roman" w:hAnsi="Times New Roman"/>
                <w:sz w:val="20"/>
              </w:rPr>
              <w:t>11.</w:t>
            </w:r>
          </w:p>
        </w:tc>
        <w:tc>
          <w:tcPr>
            <w:tcW w:w="1535" w:type="dxa"/>
            <w:tcBorders/>
            <w:vAlign w:val="center"/>
          </w:tcPr>
          <w:p>
            <w:pPr>
              <w:pStyle w:val="TableContents"/>
              <w:bidi w:val="0"/>
              <w:spacing w:before="0" w:after="0"/>
              <w:ind w:left="0" w:right="0" w:hanging="0"/>
              <w:jc w:val="left"/>
              <w:rPr/>
            </w:pPr>
            <w:r>
              <w:rPr>
                <w:rStyle w:val="StrongEmphasis"/>
                <w:rFonts w:ascii="Times New Roman" w:hAnsi="Times New Roman"/>
                <w:b/>
                <w:i w:val="false"/>
                <w:caps w:val="false"/>
                <w:smallCaps w:val="false"/>
                <w:color w:val="000000"/>
                <w:sz w:val="20"/>
                <w:u w:val="single"/>
                <w:shd w:fill="FFFFFF" w:val="clear"/>
              </w:rPr>
              <w:t>INCOME TAXES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reconciliation of income taxes at the U.S. federal statutory rate to the benefit for income taxes is as follows: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6995" w:type="dxa"/>
        <w:jc w:val="left"/>
        <w:tblInd w:w="0" w:type="dxa"/>
        <w:tblLayout w:type="fixed"/>
        <w:tblCellMar>
          <w:top w:w="0" w:type="dxa"/>
          <w:left w:w="0" w:type="dxa"/>
          <w:bottom w:w="0" w:type="dxa"/>
          <w:right w:w="0" w:type="dxa"/>
        </w:tblCellMar>
      </w:tblPr>
      <w:tblGrid>
        <w:gridCol w:w="3575"/>
        <w:gridCol w:w="90"/>
        <w:gridCol w:w="170"/>
        <w:gridCol w:w="665"/>
        <w:gridCol w:w="125"/>
        <w:gridCol w:w="90"/>
        <w:gridCol w:w="170"/>
        <w:gridCol w:w="785"/>
        <w:gridCol w:w="125"/>
        <w:gridCol w:w="90"/>
        <w:gridCol w:w="170"/>
        <w:gridCol w:w="785"/>
        <w:gridCol w:w="155"/>
      </w:tblGrid>
      <w:tr>
        <w:trPr/>
        <w:tc>
          <w:tcPr>
            <w:tcW w:w="357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3175" w:type="dxa"/>
            <w:gridSpan w:val="10"/>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Years Ended December 31,</w:t>
            </w:r>
          </w:p>
        </w:tc>
        <w:tc>
          <w:tcPr>
            <w:tcW w:w="155" w:type="dxa"/>
            <w:tcBorders/>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3175" w:type="dxa"/>
            <w:gridSpan w:val="10"/>
            <w:tcBorders>
              <w:bottom w:val="single" w:sz="12" w:space="0" w:color="000000"/>
            </w:tcBorders>
            <w:tcMar>
              <w:bottom w:w="28" w:type="dxa"/>
            </w:tcMar>
            <w:vAlign w:val="bottom"/>
          </w:tcPr>
          <w:p>
            <w:pPr>
              <w:pStyle w:val="TableContents"/>
              <w:bidi w:val="0"/>
              <w:spacing w:before="0" w:after="283"/>
              <w:jc w:val="center"/>
              <w:rPr>
                <w:i/>
              </w:rPr>
            </w:pPr>
            <w:r>
              <w:rPr>
                <w:i/>
              </w:rPr>
              <w:t xml:space="preserve">(In thousands) </w:t>
            </w:r>
          </w:p>
        </w:tc>
        <w:tc>
          <w:tcPr>
            <w:tcW w:w="155" w:type="dxa"/>
            <w:tcBorders/>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Benefit at U.S. federal statutory rate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665" w:type="dxa"/>
            <w:tcBorders/>
            <w:shd w:fill="CCEEFF" w:val="clear"/>
            <w:vAlign w:val="bottom"/>
          </w:tcPr>
          <w:p>
            <w:pPr>
              <w:pStyle w:val="TableContents"/>
              <w:bidi w:val="0"/>
              <w:spacing w:before="0" w:after="283"/>
              <w:jc w:val="right"/>
              <w:rPr/>
            </w:pPr>
            <w:r>
              <w:rPr/>
              <w:t>(5,930</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(13,840</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(15,046</w:t>
            </w:r>
          </w:p>
        </w:tc>
        <w:tc>
          <w:tcPr>
            <w:tcW w:w="155" w:type="dxa"/>
            <w:tcBorders/>
            <w:shd w:fill="CCEEFF" w:val="clear"/>
            <w:vAlign w:val="bottom"/>
          </w:tcPr>
          <w:p>
            <w:pPr>
              <w:pStyle w:val="TableContents"/>
              <w:bidi w:val="0"/>
              <w:spacing w:before="0" w:after="283"/>
              <w:jc w:val="left"/>
              <w:rPr/>
            </w:pPr>
            <w:r>
              <w:rPr/>
              <w:t>)</w:t>
            </w:r>
          </w:p>
        </w:tc>
      </w:tr>
      <w:tr>
        <w:trPr/>
        <w:tc>
          <w:tcPr>
            <w:tcW w:w="35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State taxes - deferred</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(763</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(1,773</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(252</w:t>
            </w:r>
          </w:p>
        </w:tc>
        <w:tc>
          <w:tcPr>
            <w:tcW w:w="155" w:type="dxa"/>
            <w:tcBorders/>
            <w:vAlign w:val="bottom"/>
          </w:tcPr>
          <w:p>
            <w:pPr>
              <w:pStyle w:val="TableContents"/>
              <w:bidi w:val="0"/>
              <w:spacing w:before="0" w:after="283"/>
              <w:jc w:val="left"/>
              <w:rPr/>
            </w:pPr>
            <w:r>
              <w:rPr/>
              <w:t>)</w:t>
            </w:r>
          </w:p>
        </w:tc>
      </w:tr>
      <w:tr>
        <w:trPr/>
        <w:tc>
          <w:tcPr>
            <w:tcW w:w="357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Increase in valuation allowance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4,696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15,117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14,619</w:t>
            </w:r>
          </w:p>
        </w:tc>
        <w:tc>
          <w:tcPr>
            <w:tcW w:w="155"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credits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(211</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(240</w:t>
            </w:r>
          </w:p>
        </w:tc>
        <w:tc>
          <w:tcPr>
            <w:tcW w:w="155" w:type="dxa"/>
            <w:tcBorders/>
            <w:vAlign w:val="bottom"/>
          </w:tcPr>
          <w:p>
            <w:pPr>
              <w:pStyle w:val="TableContents"/>
              <w:bidi w:val="0"/>
              <w:spacing w:before="0" w:after="283"/>
              <w:jc w:val="left"/>
              <w:rPr/>
            </w:pPr>
            <w:r>
              <w:rPr/>
              <w:t>)</w:t>
            </w:r>
          </w:p>
        </w:tc>
      </w:tr>
      <w:tr>
        <w:trPr/>
        <w:tc>
          <w:tcPr>
            <w:tcW w:w="3575" w:type="dxa"/>
            <w:tcBorders/>
            <w:shd w:fill="CCEEFF" w:val="clear"/>
            <w:vAlign w:val="bottom"/>
          </w:tcPr>
          <w:p>
            <w:pPr>
              <w:pStyle w:val="TableContents"/>
              <w:bidi w:val="0"/>
              <w:spacing w:before="0" w:after="283"/>
              <w:jc w:val="left"/>
              <w:rPr/>
            </w:pPr>
            <w:r>
              <w:rPr/>
              <w:t>Decrease in federal net operating loss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624</w:t>
            </w:r>
          </w:p>
        </w:tc>
        <w:tc>
          <w:tcPr>
            <w:tcW w:w="155"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283"/>
              <w:jc w:val="left"/>
              <w:rPr/>
            </w:pPr>
            <w:r>
              <w:rPr/>
              <w:t>162(m) disallowance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1,183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862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283"/>
              <w:jc w:val="right"/>
              <w:rPr/>
            </w:pPr>
            <w:r>
              <w:rPr/>
              <w:t>814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283"/>
              <w:jc w:val="right"/>
              <w:rPr/>
            </w:pPr>
            <w:r>
              <w:rPr/>
              <w:t>(155</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283"/>
              <w:jc w:val="right"/>
              <w:rPr/>
            </w:pPr>
            <w:r>
              <w:rPr/>
              <w:t>231</w:t>
            </w:r>
          </w:p>
        </w:tc>
        <w:tc>
          <w:tcPr>
            <w:tcW w:w="155"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Benefit for income taxes</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665" w:type="dxa"/>
            <w:tcBorders>
              <w:bottom w:val="double" w:sz="8" w:space="0" w:color="000000"/>
            </w:tcBorders>
            <w:tcMar>
              <w:bottom w:w="28" w:type="dxa"/>
            </w:tcMar>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785" w:type="dxa"/>
            <w:tcBorders>
              <w:bottom w:val="double" w:sz="8" w:space="0" w:color="000000"/>
            </w:tcBorders>
            <w:tcMar>
              <w:bottom w:w="28" w:type="dxa"/>
            </w:tcMar>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785" w:type="dxa"/>
            <w:tcBorders>
              <w:bottom w:val="double" w:sz="8" w:space="0" w:color="000000"/>
            </w:tcBorders>
            <w:tcMar>
              <w:bottom w:w="28" w:type="dxa"/>
            </w:tcMar>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summary of the Company’s deferred tax assets is as follows: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6537" w:type="dxa"/>
        <w:jc w:val="left"/>
        <w:tblInd w:w="0" w:type="dxa"/>
        <w:tblLayout w:type="fixed"/>
        <w:tblCellMar>
          <w:top w:w="0" w:type="dxa"/>
          <w:left w:w="0" w:type="dxa"/>
          <w:bottom w:w="0" w:type="dxa"/>
          <w:right w:w="0" w:type="dxa"/>
        </w:tblCellMar>
      </w:tblPr>
      <w:tblGrid>
        <w:gridCol w:w="4040"/>
        <w:gridCol w:w="90"/>
        <w:gridCol w:w="170"/>
        <w:gridCol w:w="909"/>
        <w:gridCol w:w="125"/>
        <w:gridCol w:w="90"/>
        <w:gridCol w:w="170"/>
        <w:gridCol w:w="788"/>
        <w:gridCol w:w="155"/>
      </w:tblGrid>
      <w:tr>
        <w:trPr/>
        <w:tc>
          <w:tcPr>
            <w:tcW w:w="404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2252" w:type="dxa"/>
            <w:gridSpan w:val="6"/>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Year Ended December 31,</w:t>
            </w:r>
          </w:p>
        </w:tc>
        <w:tc>
          <w:tcPr>
            <w:tcW w:w="15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1079"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2023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958"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2022</w:t>
            </w:r>
          </w:p>
        </w:tc>
        <w:tc>
          <w:tcPr>
            <w:tcW w:w="15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Federal and state net operating loss carryforwards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909" w:type="dxa"/>
            <w:tcBorders/>
            <w:shd w:fill="CCEEFF" w:val="clear"/>
            <w:vAlign w:val="bottom"/>
          </w:tcPr>
          <w:p>
            <w:pPr>
              <w:pStyle w:val="TableContents"/>
              <w:bidi w:val="0"/>
              <w:spacing w:before="0" w:after="283"/>
              <w:jc w:val="right"/>
              <w:rPr/>
            </w:pPr>
            <w:r>
              <w:rPr/>
              <w:t>77,757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81,526</w:t>
            </w:r>
          </w:p>
        </w:tc>
        <w:tc>
          <w:tcPr>
            <w:tcW w:w="15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Federal and state research credits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140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407</w:t>
            </w:r>
          </w:p>
        </w:tc>
        <w:tc>
          <w:tcPr>
            <w:tcW w:w="15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 limitation carryforwards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21,165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12,194</w:t>
            </w:r>
          </w:p>
        </w:tc>
        <w:tc>
          <w:tcPr>
            <w:tcW w:w="15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costs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778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882</w:t>
            </w:r>
          </w:p>
        </w:tc>
        <w:tc>
          <w:tcPr>
            <w:tcW w:w="15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revenue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434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480</w:t>
            </w:r>
          </w:p>
        </w:tc>
        <w:tc>
          <w:tcPr>
            <w:tcW w:w="15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 and other</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283"/>
              <w:jc w:val="right"/>
              <w:rPr/>
            </w:pPr>
            <w:r>
              <w:rPr/>
              <w:t>1,148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tcMar>
              <w:bottom w:w="28" w:type="dxa"/>
            </w:tcMar>
            <w:vAlign w:val="bottom"/>
          </w:tcPr>
          <w:p>
            <w:pPr>
              <w:pStyle w:val="TableContents"/>
              <w:bidi w:val="0"/>
              <w:spacing w:before="0" w:after="283"/>
              <w:jc w:val="right"/>
              <w:rPr/>
            </w:pPr>
            <w:r>
              <w:rPr/>
              <w:t>1,236</w:t>
            </w:r>
          </w:p>
        </w:tc>
        <w:tc>
          <w:tcPr>
            <w:tcW w:w="15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Total gross deferred tax assets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101,422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96,725</w:t>
            </w:r>
          </w:p>
        </w:tc>
        <w:tc>
          <w:tcPr>
            <w:tcW w:w="15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valuation allowance for deferred tax assets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283"/>
              <w:jc w:val="right"/>
              <w:rPr/>
            </w:pPr>
            <w:r>
              <w:rPr/>
              <w:t>(101,422</w:t>
            </w:r>
          </w:p>
        </w:tc>
        <w:tc>
          <w:tcPr>
            <w:tcW w:w="125"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tcMar>
              <w:bottom w:w="28" w:type="dxa"/>
            </w:tcMar>
            <w:vAlign w:val="bottom"/>
          </w:tcPr>
          <w:p>
            <w:pPr>
              <w:pStyle w:val="TableContents"/>
              <w:bidi w:val="0"/>
              <w:spacing w:before="0" w:after="283"/>
              <w:jc w:val="right"/>
              <w:rPr/>
            </w:pPr>
            <w:r>
              <w:rPr/>
              <w:t>(96,725</w:t>
            </w:r>
          </w:p>
        </w:tc>
        <w:tc>
          <w:tcPr>
            <w:tcW w:w="155" w:type="dxa"/>
            <w:tcBorders/>
            <w:vAlign w:val="bottom"/>
          </w:tcPr>
          <w:p>
            <w:pPr>
              <w:pStyle w:val="TableContents"/>
              <w:bidi w:val="0"/>
              <w:spacing w:before="0" w:after="283"/>
              <w:jc w:val="left"/>
              <w:rPr/>
            </w:pPr>
            <w:r>
              <w:rPr/>
              <w:t>)</w:t>
            </w:r>
          </w:p>
        </w:tc>
      </w:tr>
      <w:tr>
        <w:trPr/>
        <w:tc>
          <w:tcPr>
            <w:tcW w:w="404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deferred tax assets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09"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88"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 xml:space="preserve">As of December 31, 2023, the Company had federal and state (post-apportioned basis) net operating losses (“NOLs”) of $315.6 million and $216.4 million, respectively, as well as federal research and development tax credit carryforwards of approximately $0.1 million. Approximately $35.6 million and $95.1 million of the foregoing Federal and state NOLs, respectively, will expire at various dates from 2028 through 2043, if not limited by triggering events prior to such time. </w:t>
      </w:r>
      <w:r>
        <w:rPr>
          <w:rFonts w:ascii="Times New Roman" w:hAnsi="Times New Roman"/>
          <w:b w:val="false"/>
          <w:i w:val="false"/>
          <w:caps w:val="false"/>
          <w:smallCaps w:val="false"/>
          <w:color w:val="000000"/>
          <w:sz w:val="20"/>
          <w:shd w:fill="FFFFFF" w:val="clear"/>
        </w:rPr>
        <w:t>Under the provisions of the Internal Revenue Code, changes in ownership of the Company, in certain circumstances, would limit the amount of federal NOLs that can be utilized annually in the future to offset taxable income. In particular, Section 382 of the Internal Revenue Code (“Section 382”) imposes limitations on an entity’s ability to use NOLs upon certain changes in ownership. If the Company is limited in its ability to use its NOLs in future years in which it has taxable income, then the Company will pay more taxes than if it were otherwise able to fully utilize its NOLs. The Company may experience ownership changes in the future as a result of subsequent shifts in ownership of the Company’s capital stock that the Company cannot predict or control that could result in further limitations being placed on the Company’s ability to utilize its Federal NOLs. As of December 31, 2023, the Company performed a substantive analysis of limitations imposed by Section 382 on historical information and concluded that no ownership changes occurred as of December 31, 2023 and 2022. As part of the substantive analysis, the Company did determine that an additional $14.2 million of state NOLs were not subject to limitation of prior ownership changes and are therefore available to offset future taxable income.</w:t>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As such, it is generally difficult for positive evidence regarding projected future taxable income, exclusive of reversing taxable temporary differences, to outweigh objective negative evidence of recent financial reporting losses. Based on these criteria and the relative weighting of both the positive and negative evidence available, management continues to maintain a full valuation allowance against its net deferred tax assets.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F-24</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The amount of the liability for which an exposure exists is measured as the largest amount of benefit determined on a cumulative probability basis that the Company believes is more likely than not to be realized upon ultimate settlement of the position. Components of the liability are classified as either a current or a long-term liability in the accompanying consolidated balance sheets based on when the Company expects each of the items to be settled. The Company does not have any unrecognized tax benefits as of December 31, 2023 and 2022 and does not anticipate a significant change in unrecognized tax benefits during the next 12 months. </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0"/>
              <w:ind w:left="0" w:right="0" w:hanging="0"/>
              <w:jc w:val="left"/>
              <w:rPr/>
            </w:pPr>
            <w:r>
              <w:rPr>
                <w:rStyle w:val="StrongEmphasis"/>
                <w:rFonts w:ascii="Times New Roman" w:hAnsi="Times New Roman"/>
                <w:sz w:val="20"/>
              </w:rPr>
              <w:t>12.</w:t>
            </w:r>
          </w:p>
        </w:tc>
        <w:tc>
          <w:tcPr>
            <w:tcW w:w="2105" w:type="dxa"/>
            <w:tcBorders/>
            <w:vAlign w:val="center"/>
          </w:tcPr>
          <w:p>
            <w:pPr>
              <w:pStyle w:val="TableContents"/>
              <w:bidi w:val="0"/>
              <w:spacing w:before="0" w:after="0"/>
              <w:ind w:left="0" w:right="0" w:hanging="0"/>
              <w:jc w:val="left"/>
              <w:rPr/>
            </w:pPr>
            <w:r>
              <w:rPr>
                <w:rStyle w:val="StrongEmphasis"/>
                <w:rFonts w:ascii="Times New Roman" w:hAnsi="Times New Roman"/>
                <w:b/>
                <w:i w:val="false"/>
                <w:caps w:val="false"/>
                <w:smallCaps w:val="false"/>
                <w:color w:val="000000"/>
                <w:sz w:val="20"/>
                <w:u w:val="single"/>
                <w:shd w:fill="FFFFFF" w:val="clear"/>
              </w:rPr>
              <w:t>LEASE OBLIGATIONS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The Company determines if an arrangement is an operating lease at inception. Leases with an initial term of 12 months or less are not recorded on the balance sheet and lease expense for such leases are recognized on a straight-line basis over the lease term.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as of the lease commencement date.  For the lease liabilities recognized during the years ended December 31, 2023 and 2022, the Company used discount rates of 13% to 16%  to determine the present value of its lease obligations. The Company’s operating lease expense is recognized on a straight-line basis over the lease term and is reflected in Plasma center operating expenses and Selling, general and administrative expenses in the accompanying consolidated statements of operations. Aggregate lease expense for the Company’s operating leases for the years ended December 31, 2023, 2022 and 2021 was $2.4 million, $2.1 million and $1.4 million, respectively. Aggregate cash paid on these leases for the years ended December 31, 2023, 2022 and 2021 was $2.4 million, $1.8 million and $1.4 million, respectively.</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F-25</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p>
      <w:pPr>
        <w:pStyle w:val="TextBody"/>
        <w:widowControl/>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During the year ended December 31, 2023, the Company recognized one additional right-to-use asset and corresponding lease liability in the amount of $0.1 million for office equipment leased for the Boca Facility.</w:t>
      </w:r>
      <w:r>
        <w:rPr>
          <w:rFonts w:ascii="Times New Roman" w:hAnsi="Times New Roman"/>
          <w:b w:val="false"/>
          <w:i w:val="false"/>
          <w:caps w:val="false"/>
          <w:smallCaps w:val="false"/>
          <w:color w:val="000000"/>
          <w:spacing w:val="0"/>
          <w:sz w:val="20"/>
          <w:shd w:fill="FFFFFF" w:val="clear"/>
        </w:rPr>
        <w:t xml:space="preserve"> During the year ended December 31, 2022, the Company recognized additional right-to-use assets and corresponding lease liabilities aggregating to approximately $4.0 million in connection with two new property leases where the Company has opened additional plasma collection facilities, a property lease for the storage of raw materials inventory and a property lease for the building that the Company utilizes as its corporate headquarters (see Note 9). Including a finance lease the Company entered into in June 2018, the Company has aggregate lease liabilities of $10.8 million and $11.6 million as of December 31, 2023 and 2022, respectively, which are comprised primarily of the leases for the Company’s plasma collection centers.  The Company’s operating leases have a weighted average remaining term of 7.6 years. Scheduled payments under the Company’s lease obligations are as follows</w:t>
      </w:r>
      <w:r>
        <w:rPr>
          <w:rFonts w:ascii="Times New Roman" w:hAnsi="Times New Roman"/>
          <w:b w:val="false"/>
          <w:i w:val="false"/>
          <w:caps w:val="false"/>
          <w:smallCaps w:val="false"/>
          <w:color w:val="000000"/>
          <w:sz w:val="20"/>
          <w:shd w:fill="FFFFFF" w:val="clear"/>
        </w:rPr>
        <w:t xml:space="preserve"> (in thousands)</w:t>
      </w:r>
      <w:r>
        <w:rPr>
          <w:rFonts w:ascii="Times New Roman" w:hAnsi="Times New Roman"/>
          <w:b w:val="false"/>
          <w:i w:val="false"/>
          <w:caps w:val="false"/>
          <w:smallCaps w:val="false"/>
          <w:color w:val="000000"/>
          <w:spacing w:val="0"/>
          <w:sz w:val="20"/>
          <w:shd w:fill="FFFFFF" w:val="clear"/>
        </w:rPr>
        <w:t>:</w:t>
      </w:r>
    </w:p>
    <w:p>
      <w:pPr>
        <w:pStyle w:val="TextBody"/>
        <w:widowControl/>
        <w:bidi w:val="0"/>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3710" w:type="dxa"/>
        <w:jc w:val="left"/>
        <w:tblInd w:w="0" w:type="dxa"/>
        <w:tblLayout w:type="fixed"/>
        <w:tblCellMar>
          <w:top w:w="0" w:type="dxa"/>
          <w:left w:w="0" w:type="dxa"/>
          <w:bottom w:w="0" w:type="dxa"/>
          <w:right w:w="0" w:type="dxa"/>
        </w:tblCellMar>
      </w:tblPr>
      <w:tblGrid>
        <w:gridCol w:w="2585"/>
        <w:gridCol w:w="90"/>
        <w:gridCol w:w="170"/>
        <w:gridCol w:w="710"/>
        <w:gridCol w:w="155"/>
      </w:tblGrid>
      <w:tr>
        <w:trPr/>
        <w:tc>
          <w:tcPr>
            <w:tcW w:w="258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Year ended December 31, 2024</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2,397</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2,420</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2026</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2,157</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2,041</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2,088</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Thereafter</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283"/>
              <w:jc w:val="right"/>
              <w:rPr/>
            </w:pPr>
            <w:r>
              <w:rPr/>
              <w:t>6,151</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payments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17,254</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imputed interest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(6,430</w:t>
            </w:r>
          </w:p>
        </w:tc>
        <w:tc>
          <w:tcPr>
            <w:tcW w:w="155" w:type="dxa"/>
            <w:tcBorders/>
            <w:vAlign w:val="bottom"/>
          </w:tcPr>
          <w:p>
            <w:pPr>
              <w:pStyle w:val="TableContents"/>
              <w:bidi w:val="0"/>
              <w:spacing w:before="0" w:after="283"/>
              <w:jc w:val="left"/>
              <w:rPr/>
            </w:pPr>
            <w:r>
              <w:rPr/>
              <w:t>)</w:t>
            </w:r>
          </w:p>
        </w:tc>
      </w:tr>
      <w:tr>
        <w:trPr/>
        <w:tc>
          <w:tcPr>
            <w:tcW w:w="258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portion</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283"/>
              <w:jc w:val="right"/>
              <w:rPr/>
            </w:pPr>
            <w:r>
              <w:rPr/>
              <w:t>(1,045</w:t>
            </w:r>
          </w:p>
        </w:tc>
        <w:tc>
          <w:tcPr>
            <w:tcW w:w="155" w:type="dxa"/>
            <w:tcBorders/>
            <w:shd w:fill="CCEEFF" w:val="clear"/>
            <w:vAlign w:val="bottom"/>
          </w:tcPr>
          <w:p>
            <w:pPr>
              <w:pStyle w:val="TableContents"/>
              <w:bidi w:val="0"/>
              <w:spacing w:before="0" w:after="283"/>
              <w:jc w:val="left"/>
              <w:rPr/>
            </w:pPr>
            <w:r>
              <w:rPr/>
              <w:t>)</w:t>
            </w:r>
          </w:p>
        </w:tc>
      </w:tr>
      <w:tr>
        <w:trPr/>
        <w:tc>
          <w:tcPr>
            <w:tcW w:w="258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December 31, 2023</w:t>
            </w:r>
          </w:p>
        </w:tc>
        <w:tc>
          <w:tcPr>
            <w:tcW w:w="90" w:type="dxa"/>
            <w:tcBorders/>
            <w:vAlign w:val="bottom"/>
          </w:tcPr>
          <w:p>
            <w:pPr>
              <w:pStyle w:val="TableContents"/>
              <w:bidi w:val="0"/>
              <w:spacing w:before="0" w:after="283"/>
              <w:jc w:val="right"/>
              <w:rPr/>
            </w:pPr>
            <w:r>
              <w:rPr/>
              <w:t> </w:t>
            </w:r>
          </w:p>
        </w:tc>
        <w:tc>
          <w:tcPr>
            <w:tcW w:w="170" w:type="dxa"/>
            <w:tcBorders>
              <w:bottom w:val="double" w:sz="6" w:space="0" w:color="000000"/>
            </w:tcBorders>
            <w:tcMar>
              <w:bottom w:w="45" w:type="dxa"/>
            </w:tcMar>
            <w:vAlign w:val="bottom"/>
          </w:tcPr>
          <w:p>
            <w:pPr>
              <w:pStyle w:val="TableContents"/>
              <w:bidi w:val="0"/>
              <w:spacing w:before="0" w:after="283"/>
              <w:jc w:val="left"/>
              <w:rPr/>
            </w:pPr>
            <w:r>
              <w:rPr/>
              <w:t>$</w:t>
            </w:r>
          </w:p>
        </w:tc>
        <w:tc>
          <w:tcPr>
            <w:tcW w:w="710" w:type="dxa"/>
            <w:tcBorders>
              <w:bottom w:val="double" w:sz="6" w:space="0" w:color="000000"/>
            </w:tcBorders>
            <w:tcMar>
              <w:bottom w:w="45" w:type="dxa"/>
            </w:tcMar>
            <w:vAlign w:val="bottom"/>
          </w:tcPr>
          <w:p>
            <w:pPr>
              <w:pStyle w:val="TableContents"/>
              <w:bidi w:val="0"/>
              <w:spacing w:before="0" w:after="283"/>
              <w:jc w:val="right"/>
              <w:rPr/>
            </w:pPr>
            <w:r>
              <w:rPr/>
              <w:t>9,779</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0"/>
              <w:ind w:left="0" w:right="0" w:hanging="0"/>
              <w:jc w:val="left"/>
              <w:rPr/>
            </w:pPr>
            <w:r>
              <w:rPr>
                <w:rStyle w:val="StrongEmphasis"/>
                <w:rFonts w:ascii="Times New Roman" w:hAnsi="Times New Roman"/>
                <w:sz w:val="20"/>
              </w:rPr>
              <w:t>13.</w:t>
            </w:r>
          </w:p>
        </w:tc>
        <w:tc>
          <w:tcPr>
            <w:tcW w:w="1115" w:type="dxa"/>
            <w:tcBorders/>
            <w:vAlign w:val="center"/>
          </w:tcPr>
          <w:p>
            <w:pPr>
              <w:pStyle w:val="TableContents"/>
              <w:bidi w:val="0"/>
              <w:spacing w:before="0" w:after="0"/>
              <w:ind w:left="0" w:right="0" w:hanging="0"/>
              <w:jc w:val="left"/>
              <w:rPr/>
            </w:pPr>
            <w:r>
              <w:rPr>
                <w:rStyle w:val="StrongEmphasis"/>
                <w:rFonts w:ascii="Times New Roman" w:hAnsi="Times New Roman"/>
                <w:b/>
                <w:i w:val="false"/>
                <w:caps w:val="false"/>
                <w:smallCaps w:val="false"/>
                <w:color w:val="000000"/>
                <w:sz w:val="20"/>
                <w:u w:val="single"/>
                <w:shd w:fill="FFFFFF" w:val="clear"/>
              </w:rPr>
              <w:t>SEGMENTS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is dedicated to manufacturing, marketing and developing specialty plasma-derived biologics. The Company’s ADMA BioManufacturing segment reflects the Company’s immune globulin manufacturing and development operations in Florida, acquired on June 6, 2017. The Plasma Collection Centers segment consists of ten plasma collection facilities as of December 31, 2023, all of which were operational,collecting plasma, and hold an approved license with the FDA (and of which three facilities have received approvals from the Korean Ministry of Food and Drug Safety as well as FDA approval to implement a Hepatitis B immunization program).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F-26</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tbl>
      <w:tblPr>
        <w:tblW w:w="9454" w:type="dxa"/>
        <w:jc w:val="left"/>
        <w:tblInd w:w="0" w:type="dxa"/>
        <w:tblLayout w:type="fixed"/>
        <w:tblCellMar>
          <w:top w:w="0" w:type="dxa"/>
          <w:left w:w="0" w:type="dxa"/>
          <w:bottom w:w="28" w:type="dxa"/>
          <w:right w:w="0" w:type="dxa"/>
        </w:tblCellMar>
      </w:tblPr>
      <w:tblGrid>
        <w:gridCol w:w="3230"/>
        <w:gridCol w:w="90"/>
        <w:gridCol w:w="276"/>
        <w:gridCol w:w="1349"/>
        <w:gridCol w:w="125"/>
        <w:gridCol w:w="90"/>
        <w:gridCol w:w="306"/>
        <w:gridCol w:w="1288"/>
        <w:gridCol w:w="125"/>
        <w:gridCol w:w="90"/>
        <w:gridCol w:w="170"/>
        <w:gridCol w:w="785"/>
        <w:gridCol w:w="125"/>
        <w:gridCol w:w="90"/>
        <w:gridCol w:w="197"/>
        <w:gridCol w:w="963"/>
        <w:gridCol w:w="155"/>
      </w:tblGrid>
      <w:tr>
        <w:trPr/>
        <w:tc>
          <w:tcPr>
            <w:tcW w:w="9299" w:type="dxa"/>
            <w:gridSpan w:val="16"/>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Year Ended December 31, 2023</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center"/>
              <w:rPr/>
            </w:pPr>
            <w:r>
              <w:rPr/>
              <w:t> </w:t>
            </w:r>
            <w:r>
              <w:rPr>
                <w:rFonts w:ascii="Times New Roman" w:hAnsi="Times New Roman"/>
                <w:i/>
                <w:sz w:val="20"/>
              </w:rPr>
              <w:t>(in thousands)</w:t>
            </w:r>
          </w:p>
        </w:tc>
        <w:tc>
          <w:tcPr>
            <w:tcW w:w="90" w:type="dxa"/>
            <w:tcBorders/>
            <w:tcMar>
              <w:bottom w:w="0" w:type="dxa"/>
            </w:tcMar>
            <w:vAlign w:val="bottom"/>
          </w:tcPr>
          <w:p>
            <w:pPr>
              <w:pStyle w:val="TableContents"/>
              <w:bidi w:val="0"/>
              <w:spacing w:before="0" w:after="283"/>
              <w:jc w:val="center"/>
              <w:rPr/>
            </w:pPr>
            <w:r>
              <w:rPr/>
              <w:t> </w:t>
            </w:r>
          </w:p>
        </w:tc>
        <w:tc>
          <w:tcPr>
            <w:tcW w:w="1625"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ADMA</w:t>
            </w:r>
          </w:p>
          <w:p>
            <w:pPr>
              <w:pStyle w:val="TableContents"/>
              <w:bidi w:val="0"/>
              <w:spacing w:before="0" w:after="0"/>
              <w:ind w:left="0" w:right="0" w:hanging="0"/>
              <w:jc w:val="center"/>
              <w:rPr/>
            </w:pPr>
            <w:r>
              <w:rPr>
                <w:rStyle w:val="StrongEmphasis"/>
                <w:rFonts w:ascii="Times New Roman" w:hAnsi="Times New Roman"/>
                <w:sz w:val="20"/>
              </w:rPr>
              <w:t>BioManufacturing</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center"/>
              <w:rPr/>
            </w:pPr>
            <w:r>
              <w:rPr/>
              <w:t> </w:t>
            </w:r>
          </w:p>
        </w:tc>
        <w:tc>
          <w:tcPr>
            <w:tcW w:w="1594"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Plasma Collection</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Centers</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center"/>
              <w:rPr/>
            </w:pPr>
            <w:r>
              <w:rPr/>
              <w:t> </w:t>
            </w:r>
          </w:p>
        </w:tc>
        <w:tc>
          <w:tcPr>
            <w:tcW w:w="955"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Corporate</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center"/>
              <w:rPr/>
            </w:pPr>
            <w:r>
              <w:rPr/>
              <w:t> </w:t>
            </w:r>
          </w:p>
        </w:tc>
        <w:tc>
          <w:tcPr>
            <w:tcW w:w="1160"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Consolidated</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25" w:type="dxa"/>
            <w:gridSpan w:val="2"/>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4" w:type="dxa"/>
            <w:gridSpan w:val="2"/>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55" w:type="dxa"/>
            <w:gridSpan w:val="2"/>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60" w:type="dxa"/>
            <w:gridSpan w:val="2"/>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w:t>
            </w:r>
          </w:p>
        </w:tc>
        <w:tc>
          <w:tcPr>
            <w:tcW w:w="1349" w:type="dxa"/>
            <w:tcBorders/>
            <w:shd w:fill="CCEEFF" w:val="clear"/>
            <w:tcMar>
              <w:bottom w:w="0" w:type="dxa"/>
            </w:tcMar>
            <w:vAlign w:val="bottom"/>
          </w:tcPr>
          <w:p>
            <w:pPr>
              <w:pStyle w:val="TableContents"/>
              <w:bidi w:val="0"/>
              <w:spacing w:before="0" w:after="283"/>
              <w:jc w:val="right"/>
              <w:rPr/>
            </w:pPr>
            <w:r>
              <w:rPr/>
              <w:t>249,738</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06" w:type="dxa"/>
            <w:tcBorders/>
            <w:shd w:fill="CCEEFF" w:val="clear"/>
            <w:tcMar>
              <w:bottom w:w="0" w:type="dxa"/>
            </w:tcMar>
            <w:vAlign w:val="bottom"/>
          </w:tcPr>
          <w:p>
            <w:pPr>
              <w:pStyle w:val="TableContents"/>
              <w:bidi w:val="0"/>
              <w:spacing w:before="0" w:after="283"/>
              <w:jc w:val="left"/>
              <w:rPr/>
            </w:pPr>
            <w:r>
              <w:rPr/>
              <w:t>$</w:t>
            </w:r>
          </w:p>
        </w:tc>
        <w:tc>
          <w:tcPr>
            <w:tcW w:w="1288" w:type="dxa"/>
            <w:tcBorders/>
            <w:shd w:fill="CCEEFF" w:val="clear"/>
            <w:tcMar>
              <w:bottom w:w="0" w:type="dxa"/>
            </w:tcMar>
            <w:vAlign w:val="bottom"/>
          </w:tcPr>
          <w:p>
            <w:pPr>
              <w:pStyle w:val="TableContents"/>
              <w:bidi w:val="0"/>
              <w:spacing w:before="0" w:after="283"/>
              <w:jc w:val="right"/>
              <w:rPr/>
            </w:pPr>
            <w:r>
              <w:rPr/>
              <w:t>8,334</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w:t>
            </w:r>
          </w:p>
        </w:tc>
        <w:tc>
          <w:tcPr>
            <w:tcW w:w="785" w:type="dxa"/>
            <w:tcBorders/>
            <w:shd w:fill="CCEEFF" w:val="clear"/>
            <w:tcMar>
              <w:bottom w:w="0" w:type="dxa"/>
            </w:tcMar>
            <w:vAlign w:val="bottom"/>
          </w:tcPr>
          <w:p>
            <w:pPr>
              <w:pStyle w:val="TableContents"/>
              <w:bidi w:val="0"/>
              <w:spacing w:before="0" w:after="283"/>
              <w:jc w:val="right"/>
              <w:rPr/>
            </w:pPr>
            <w:r>
              <w:rPr/>
              <w:t>143</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w:t>
            </w:r>
          </w:p>
        </w:tc>
        <w:tc>
          <w:tcPr>
            <w:tcW w:w="963" w:type="dxa"/>
            <w:tcBorders/>
            <w:shd w:fill="CCEEFF" w:val="clear"/>
            <w:tcMar>
              <w:bottom w:w="0" w:type="dxa"/>
            </w:tcMar>
            <w:vAlign w:val="bottom"/>
          </w:tcPr>
          <w:p>
            <w:pPr>
              <w:pStyle w:val="TableContents"/>
              <w:bidi w:val="0"/>
              <w:spacing w:before="0" w:after="283"/>
              <w:jc w:val="right"/>
              <w:rPr/>
            </w:pPr>
            <w:r>
              <w:rPr/>
              <w:t>258,215</w:t>
            </w:r>
          </w:p>
        </w:tc>
        <w:tc>
          <w:tcPr>
            <w:tcW w:w="155" w:type="dxa"/>
            <w:tcBorders/>
            <w:shd w:fill="CCEEFF" w:val="clear"/>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06"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product revenue</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161,157</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06"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283"/>
              <w:jc w:val="right"/>
              <w:rPr/>
            </w:pPr>
            <w:r>
              <w:rPr/>
              <w:t>8,116</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169,273</w:t>
            </w:r>
          </w:p>
        </w:tc>
        <w:tc>
          <w:tcPr>
            <w:tcW w:w="155" w:type="dxa"/>
            <w:tcBorders/>
            <w:shd w:fill="CCEEFF" w:val="clear"/>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06"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(loss) from operations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47,525</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06"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283"/>
              <w:jc w:val="right"/>
              <w:rPr/>
            </w:pPr>
            <w:r>
              <w:rPr/>
              <w:t>(4,048</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(21,845</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21,632</w:t>
            </w:r>
          </w:p>
        </w:tc>
        <w:tc>
          <w:tcPr>
            <w:tcW w:w="155" w:type="dxa"/>
            <w:tcBorders/>
            <w:shd w:fill="CCEEFF" w:val="clear"/>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06"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expense, net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(258</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06"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283"/>
              <w:jc w:val="right"/>
              <w:rPr/>
            </w:pPr>
            <w:r>
              <w:rPr/>
              <w:t>(1</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(23,438</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(23,697</w:t>
            </w:r>
          </w:p>
        </w:tc>
        <w:tc>
          <w:tcPr>
            <w:tcW w:w="155" w:type="dxa"/>
            <w:tcBorders/>
            <w:shd w:fill="CCEEFF" w:val="clear"/>
            <w:tcMar>
              <w:bottom w:w="0" w:type="dxa"/>
            </w:tcMar>
            <w:vAlign w:val="bottom"/>
          </w:tcPr>
          <w:p>
            <w:pPr>
              <w:pStyle w:val="TableContents"/>
              <w:bidi w:val="0"/>
              <w:spacing w:before="0" w:after="283"/>
              <w:jc w:val="left"/>
              <w:rPr/>
            </w:pPr>
            <w:r>
              <w:rPr/>
              <w:t>)</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06"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283"/>
              <w:jc w:val="left"/>
              <w:rPr/>
            </w:pPr>
            <w:r>
              <w:rPr/>
              <w:t>Loss on extinguishment of debt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06"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283"/>
              <w:jc w:val="right"/>
              <w:rPr/>
            </w:pPr>
            <w:r>
              <w:rPr/>
              <w:t>-</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(26,174</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(26,174</w:t>
            </w:r>
          </w:p>
        </w:tc>
        <w:tc>
          <w:tcPr>
            <w:tcW w:w="155" w:type="dxa"/>
            <w:tcBorders/>
            <w:shd w:fill="CCEEFF" w:val="clear"/>
            <w:tcMar>
              <w:bottom w:w="0" w:type="dxa"/>
            </w:tcMar>
            <w:vAlign w:val="bottom"/>
          </w:tcPr>
          <w:p>
            <w:pPr>
              <w:pStyle w:val="TableContents"/>
              <w:bidi w:val="0"/>
              <w:spacing w:before="0" w:after="283"/>
              <w:jc w:val="left"/>
              <w:rPr/>
            </w:pPr>
            <w:r>
              <w:rPr/>
              <w:t>)</w:t>
            </w:r>
          </w:p>
        </w:tc>
      </w:tr>
      <w:tr>
        <w:trPr/>
        <w:tc>
          <w:tcPr>
            <w:tcW w:w="323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06"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47,267</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06"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283"/>
              <w:jc w:val="right"/>
              <w:rPr/>
            </w:pPr>
            <w:r>
              <w:rPr/>
              <w:t>(4,049</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(71,457</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(28,239</w:t>
            </w:r>
          </w:p>
        </w:tc>
        <w:tc>
          <w:tcPr>
            <w:tcW w:w="155" w:type="dxa"/>
            <w:tcBorders/>
            <w:shd w:fill="CCEEFF" w:val="clear"/>
            <w:tcMar>
              <w:bottom w:w="0" w:type="dxa"/>
            </w:tcMar>
            <w:vAlign w:val="bottom"/>
          </w:tcPr>
          <w:p>
            <w:pPr>
              <w:pStyle w:val="TableContents"/>
              <w:bidi w:val="0"/>
              <w:spacing w:before="0" w:after="283"/>
              <w:jc w:val="left"/>
              <w:rPr/>
            </w:pPr>
            <w:r>
              <w:rPr/>
              <w:t>)</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06"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Capital expenditures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2,952</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06"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283"/>
              <w:jc w:val="right"/>
              <w:rPr/>
            </w:pPr>
            <w:r>
              <w:rPr/>
              <w:t>1,819</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4,771</w:t>
            </w:r>
          </w:p>
        </w:tc>
        <w:tc>
          <w:tcPr>
            <w:tcW w:w="155" w:type="dxa"/>
            <w:tcBorders/>
            <w:shd w:fill="CCEEFF" w:val="clear"/>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and amortization expense</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5,156</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06" w:type="dxa"/>
            <w:tcBorders/>
            <w:tcMar>
              <w:bottom w:w="0" w:type="dxa"/>
            </w:tcMar>
            <w:vAlign w:val="bottom"/>
          </w:tcPr>
          <w:p>
            <w:pPr>
              <w:pStyle w:val="TableContents"/>
              <w:bidi w:val="0"/>
              <w:spacing w:before="0" w:after="283"/>
              <w:jc w:val="left"/>
              <w:rPr/>
            </w:pPr>
            <w:r>
              <w:rPr/>
              <w:t> </w:t>
            </w:r>
          </w:p>
        </w:tc>
        <w:tc>
          <w:tcPr>
            <w:tcW w:w="1288" w:type="dxa"/>
            <w:tcBorders/>
            <w:tcMar>
              <w:bottom w:w="0" w:type="dxa"/>
            </w:tcMar>
            <w:vAlign w:val="bottom"/>
          </w:tcPr>
          <w:p>
            <w:pPr>
              <w:pStyle w:val="TableContents"/>
              <w:bidi w:val="0"/>
              <w:spacing w:before="0" w:after="283"/>
              <w:jc w:val="right"/>
              <w:rPr/>
            </w:pPr>
            <w:r>
              <w:rPr/>
              <w:t>3,176</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8,332</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246,719</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06" w:type="dxa"/>
            <w:tcBorders/>
            <w:shd w:fill="CCEEFF" w:val="clear"/>
            <w:tcMar>
              <w:bottom w:w="0" w:type="dxa"/>
            </w:tcMar>
            <w:vAlign w:val="bottom"/>
          </w:tcPr>
          <w:p>
            <w:pPr>
              <w:pStyle w:val="TableContents"/>
              <w:bidi w:val="0"/>
              <w:spacing w:before="0" w:after="283"/>
              <w:jc w:val="left"/>
              <w:rPr/>
            </w:pPr>
            <w:r>
              <w:rPr/>
              <w:t> </w:t>
            </w:r>
          </w:p>
        </w:tc>
        <w:tc>
          <w:tcPr>
            <w:tcW w:w="1288" w:type="dxa"/>
            <w:tcBorders/>
            <w:shd w:fill="CCEEFF" w:val="clear"/>
            <w:tcMar>
              <w:bottom w:w="0" w:type="dxa"/>
            </w:tcMar>
            <w:vAlign w:val="bottom"/>
          </w:tcPr>
          <w:p>
            <w:pPr>
              <w:pStyle w:val="TableContents"/>
              <w:bidi w:val="0"/>
              <w:spacing w:before="0" w:after="283"/>
              <w:jc w:val="right"/>
              <w:rPr/>
            </w:pPr>
            <w:r>
              <w:rPr/>
              <w:t>34,733</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47,730</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329,182</w:t>
            </w:r>
          </w:p>
        </w:tc>
        <w:tc>
          <w:tcPr>
            <w:tcW w:w="15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9724" w:type="dxa"/>
        <w:jc w:val="left"/>
        <w:tblInd w:w="0" w:type="dxa"/>
        <w:tblLayout w:type="fixed"/>
        <w:tblCellMar>
          <w:top w:w="0" w:type="dxa"/>
          <w:left w:w="0" w:type="dxa"/>
          <w:bottom w:w="28" w:type="dxa"/>
          <w:right w:w="0" w:type="dxa"/>
        </w:tblCellMar>
      </w:tblPr>
      <w:tblGrid>
        <w:gridCol w:w="3230"/>
        <w:gridCol w:w="90"/>
        <w:gridCol w:w="276"/>
        <w:gridCol w:w="1349"/>
        <w:gridCol w:w="125"/>
        <w:gridCol w:w="90"/>
        <w:gridCol w:w="331"/>
        <w:gridCol w:w="1533"/>
        <w:gridCol w:w="125"/>
        <w:gridCol w:w="90"/>
        <w:gridCol w:w="170"/>
        <w:gridCol w:w="785"/>
        <w:gridCol w:w="125"/>
        <w:gridCol w:w="90"/>
        <w:gridCol w:w="197"/>
        <w:gridCol w:w="963"/>
        <w:gridCol w:w="155"/>
      </w:tblGrid>
      <w:tr>
        <w:trPr/>
        <w:tc>
          <w:tcPr>
            <w:tcW w:w="9569" w:type="dxa"/>
            <w:gridSpan w:val="16"/>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Year Ended December 31, 2022</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center"/>
              <w:rPr/>
            </w:pPr>
            <w:r>
              <w:rPr/>
              <w:t xml:space="preserve">  </w:t>
            </w:r>
            <w:r>
              <w:rPr>
                <w:rFonts w:ascii="Times New Roman" w:hAnsi="Times New Roman"/>
                <w:i/>
                <w:sz w:val="20"/>
              </w:rPr>
              <w:t>(in thousands)</w:t>
            </w:r>
          </w:p>
        </w:tc>
        <w:tc>
          <w:tcPr>
            <w:tcW w:w="90" w:type="dxa"/>
            <w:tcBorders/>
            <w:tcMar>
              <w:bottom w:w="0" w:type="dxa"/>
            </w:tcMar>
            <w:vAlign w:val="bottom"/>
          </w:tcPr>
          <w:p>
            <w:pPr>
              <w:pStyle w:val="TableContents"/>
              <w:bidi w:val="0"/>
              <w:spacing w:before="0" w:after="283"/>
              <w:jc w:val="center"/>
              <w:rPr/>
            </w:pPr>
            <w:r>
              <w:rPr/>
              <w:t> </w:t>
            </w:r>
          </w:p>
        </w:tc>
        <w:tc>
          <w:tcPr>
            <w:tcW w:w="1625"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ADMA</w:t>
            </w:r>
          </w:p>
          <w:p>
            <w:pPr>
              <w:pStyle w:val="TableContents"/>
              <w:bidi w:val="0"/>
              <w:spacing w:before="0" w:after="0"/>
              <w:ind w:left="0" w:right="0" w:hanging="0"/>
              <w:jc w:val="center"/>
              <w:rPr/>
            </w:pPr>
            <w:r>
              <w:rPr>
                <w:rStyle w:val="StrongEmphasis"/>
                <w:rFonts w:ascii="Times New Roman" w:hAnsi="Times New Roman"/>
                <w:sz w:val="20"/>
              </w:rPr>
              <w:t>BioManufacturing</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center"/>
              <w:rPr/>
            </w:pPr>
            <w:r>
              <w:rPr/>
              <w:t> </w:t>
            </w:r>
          </w:p>
        </w:tc>
        <w:tc>
          <w:tcPr>
            <w:tcW w:w="1864" w:type="dxa"/>
            <w:gridSpan w:val="2"/>
            <w:tcBorders>
              <w:bottom w:val="single" w:sz="12" w:space="0" w:color="000000"/>
            </w:tcBorders>
            <w:vAlign w:val="bottom"/>
          </w:tcPr>
          <w:p>
            <w:pPr>
              <w:pStyle w:val="TableContents"/>
              <w:bidi w:val="0"/>
              <w:spacing w:before="0" w:after="0"/>
              <w:jc w:val="center"/>
              <w:rPr/>
            </w:pPr>
            <w:r>
              <w:rPr>
                <w:rStyle w:val="StrongEmphasis"/>
              </w:rPr>
              <w:t>Plasma Collection</w:t>
            </w:r>
          </w:p>
          <w:p>
            <w:pPr>
              <w:pStyle w:val="TableContents"/>
              <w:bidi w:val="0"/>
              <w:spacing w:before="0" w:after="0"/>
              <w:jc w:val="center"/>
              <w:rPr>
                <w:b/>
              </w:rPr>
            </w:pPr>
            <w:r>
              <w:rPr>
                <w:b/>
              </w:rPr>
              <w:t>Centers</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center"/>
              <w:rPr/>
            </w:pPr>
            <w:r>
              <w:rPr/>
              <w:t> </w:t>
            </w:r>
          </w:p>
        </w:tc>
        <w:tc>
          <w:tcPr>
            <w:tcW w:w="955"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Corporate</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center"/>
              <w:rPr/>
            </w:pPr>
            <w:r>
              <w:rPr/>
              <w:t> </w:t>
            </w:r>
          </w:p>
        </w:tc>
        <w:tc>
          <w:tcPr>
            <w:tcW w:w="1160"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Consolidated</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25" w:type="dxa"/>
            <w:gridSpan w:val="2"/>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64" w:type="dxa"/>
            <w:gridSpan w:val="2"/>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55" w:type="dxa"/>
            <w:gridSpan w:val="2"/>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60" w:type="dxa"/>
            <w:gridSpan w:val="2"/>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w:t>
            </w:r>
          </w:p>
        </w:tc>
        <w:tc>
          <w:tcPr>
            <w:tcW w:w="1349" w:type="dxa"/>
            <w:tcBorders/>
            <w:shd w:fill="CCEEFF" w:val="clear"/>
            <w:tcMar>
              <w:bottom w:w="0" w:type="dxa"/>
            </w:tcMar>
            <w:vAlign w:val="bottom"/>
          </w:tcPr>
          <w:p>
            <w:pPr>
              <w:pStyle w:val="TableContents"/>
              <w:bidi w:val="0"/>
              <w:spacing w:before="0" w:after="283"/>
              <w:jc w:val="right"/>
              <w:rPr/>
            </w:pPr>
            <w:r>
              <w:rPr/>
              <w:t>144,070</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31" w:type="dxa"/>
            <w:tcBorders/>
            <w:shd w:fill="CCEEFF" w:val="clear"/>
            <w:tcMar>
              <w:bottom w:w="0" w:type="dxa"/>
            </w:tcMar>
            <w:vAlign w:val="bottom"/>
          </w:tcPr>
          <w:p>
            <w:pPr>
              <w:pStyle w:val="TableContents"/>
              <w:bidi w:val="0"/>
              <w:spacing w:before="0" w:after="283"/>
              <w:jc w:val="left"/>
              <w:rPr/>
            </w:pPr>
            <w:r>
              <w:rPr/>
              <w:t>$</w:t>
            </w:r>
          </w:p>
        </w:tc>
        <w:tc>
          <w:tcPr>
            <w:tcW w:w="1533" w:type="dxa"/>
            <w:tcBorders/>
            <w:shd w:fill="CCEEFF" w:val="clear"/>
            <w:tcMar>
              <w:bottom w:w="0" w:type="dxa"/>
            </w:tcMar>
            <w:vAlign w:val="bottom"/>
          </w:tcPr>
          <w:p>
            <w:pPr>
              <w:pStyle w:val="TableContents"/>
              <w:bidi w:val="0"/>
              <w:spacing w:before="0" w:after="283"/>
              <w:jc w:val="right"/>
              <w:rPr/>
            </w:pPr>
            <w:r>
              <w:rPr/>
              <w:t>9,867</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w:t>
            </w:r>
          </w:p>
        </w:tc>
        <w:tc>
          <w:tcPr>
            <w:tcW w:w="785" w:type="dxa"/>
            <w:tcBorders/>
            <w:shd w:fill="CCEEFF" w:val="clear"/>
            <w:tcMar>
              <w:bottom w:w="0" w:type="dxa"/>
            </w:tcMar>
            <w:vAlign w:val="bottom"/>
          </w:tcPr>
          <w:p>
            <w:pPr>
              <w:pStyle w:val="TableContents"/>
              <w:bidi w:val="0"/>
              <w:spacing w:before="0" w:after="283"/>
              <w:jc w:val="right"/>
              <w:rPr/>
            </w:pPr>
            <w:r>
              <w:rPr/>
              <w:t>143</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w:t>
            </w:r>
          </w:p>
        </w:tc>
        <w:tc>
          <w:tcPr>
            <w:tcW w:w="963" w:type="dxa"/>
            <w:tcBorders/>
            <w:shd w:fill="CCEEFF" w:val="clear"/>
            <w:tcMar>
              <w:bottom w:w="0" w:type="dxa"/>
            </w:tcMar>
            <w:vAlign w:val="bottom"/>
          </w:tcPr>
          <w:p>
            <w:pPr>
              <w:pStyle w:val="TableContents"/>
              <w:bidi w:val="0"/>
              <w:spacing w:before="0" w:after="283"/>
              <w:jc w:val="right"/>
              <w:rPr/>
            </w:pPr>
            <w:r>
              <w:rPr/>
              <w:t>154,080</w:t>
            </w:r>
          </w:p>
        </w:tc>
        <w:tc>
          <w:tcPr>
            <w:tcW w:w="155" w:type="dxa"/>
            <w:tcBorders/>
            <w:shd w:fill="CCEEFF" w:val="clear"/>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31" w:type="dxa"/>
            <w:tcBorders/>
            <w:tcMar>
              <w:bottom w:w="0" w:type="dxa"/>
            </w:tcMar>
            <w:vAlign w:val="bottom"/>
          </w:tcPr>
          <w:p>
            <w:pPr>
              <w:pStyle w:val="TableContents"/>
              <w:bidi w:val="0"/>
              <w:spacing w:before="0" w:after="283"/>
              <w:jc w:val="left"/>
              <w:rPr/>
            </w:pPr>
            <w:r>
              <w:rPr/>
              <w:t> </w:t>
            </w:r>
          </w:p>
        </w:tc>
        <w:tc>
          <w:tcPr>
            <w:tcW w:w="1533"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product revenue</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108,882</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31" w:type="dxa"/>
            <w:tcBorders/>
            <w:shd w:fill="CCEEFF" w:val="clear"/>
            <w:tcMar>
              <w:bottom w:w="0" w:type="dxa"/>
            </w:tcMar>
            <w:vAlign w:val="bottom"/>
          </w:tcPr>
          <w:p>
            <w:pPr>
              <w:pStyle w:val="TableContents"/>
              <w:bidi w:val="0"/>
              <w:spacing w:before="0" w:after="283"/>
              <w:jc w:val="left"/>
              <w:rPr/>
            </w:pPr>
            <w:r>
              <w:rPr/>
              <w:t> </w:t>
            </w:r>
          </w:p>
        </w:tc>
        <w:tc>
          <w:tcPr>
            <w:tcW w:w="1533" w:type="dxa"/>
            <w:tcBorders/>
            <w:shd w:fill="CCEEFF" w:val="clear"/>
            <w:tcMar>
              <w:bottom w:w="0" w:type="dxa"/>
            </w:tcMar>
            <w:vAlign w:val="bottom"/>
          </w:tcPr>
          <w:p>
            <w:pPr>
              <w:pStyle w:val="TableContents"/>
              <w:bidi w:val="0"/>
              <w:spacing w:before="0" w:after="283"/>
              <w:jc w:val="right"/>
              <w:rPr/>
            </w:pPr>
            <w:r>
              <w:rPr/>
              <w:t>9,933</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118,815</w:t>
            </w:r>
          </w:p>
        </w:tc>
        <w:tc>
          <w:tcPr>
            <w:tcW w:w="155" w:type="dxa"/>
            <w:tcBorders/>
            <w:shd w:fill="CCEEFF" w:val="clear"/>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31" w:type="dxa"/>
            <w:tcBorders/>
            <w:tcMar>
              <w:bottom w:w="0" w:type="dxa"/>
            </w:tcMar>
            <w:vAlign w:val="bottom"/>
          </w:tcPr>
          <w:p>
            <w:pPr>
              <w:pStyle w:val="TableContents"/>
              <w:bidi w:val="0"/>
              <w:spacing w:before="0" w:after="283"/>
              <w:jc w:val="left"/>
              <w:rPr/>
            </w:pPr>
            <w:r>
              <w:rPr/>
              <w:t> </w:t>
            </w:r>
          </w:p>
        </w:tc>
        <w:tc>
          <w:tcPr>
            <w:tcW w:w="1533"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(loss) from operations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879</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31" w:type="dxa"/>
            <w:tcBorders/>
            <w:shd w:fill="CCEEFF" w:val="clear"/>
            <w:tcMar>
              <w:bottom w:w="0" w:type="dxa"/>
            </w:tcMar>
            <w:vAlign w:val="bottom"/>
          </w:tcPr>
          <w:p>
            <w:pPr>
              <w:pStyle w:val="TableContents"/>
              <w:bidi w:val="0"/>
              <w:spacing w:before="0" w:after="283"/>
              <w:jc w:val="left"/>
              <w:rPr/>
            </w:pPr>
            <w:r>
              <w:rPr/>
              <w:t> </w:t>
            </w:r>
          </w:p>
        </w:tc>
        <w:tc>
          <w:tcPr>
            <w:tcW w:w="1533" w:type="dxa"/>
            <w:tcBorders/>
            <w:shd w:fill="CCEEFF" w:val="clear"/>
            <w:tcMar>
              <w:bottom w:w="0" w:type="dxa"/>
            </w:tcMar>
            <w:vAlign w:val="bottom"/>
          </w:tcPr>
          <w:p>
            <w:pPr>
              <w:pStyle w:val="TableContents"/>
              <w:bidi w:val="0"/>
              <w:spacing w:before="0" w:after="283"/>
              <w:jc w:val="right"/>
              <w:rPr/>
            </w:pPr>
            <w:r>
              <w:rPr/>
              <w:t>(17,908</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(22,336</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(39,365</w:t>
            </w:r>
          </w:p>
        </w:tc>
        <w:tc>
          <w:tcPr>
            <w:tcW w:w="155" w:type="dxa"/>
            <w:tcBorders/>
            <w:shd w:fill="CCEEFF" w:val="clear"/>
            <w:tcMar>
              <w:bottom w:w="0" w:type="dxa"/>
            </w:tcMar>
            <w:vAlign w:val="bottom"/>
          </w:tcPr>
          <w:p>
            <w:pPr>
              <w:pStyle w:val="TableContents"/>
              <w:bidi w:val="0"/>
              <w:spacing w:before="0" w:after="283"/>
              <w:jc w:val="left"/>
              <w:rPr/>
            </w:pPr>
            <w:r>
              <w:rPr/>
              <w:t>)</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31" w:type="dxa"/>
            <w:tcBorders/>
            <w:tcMar>
              <w:bottom w:w="0" w:type="dxa"/>
            </w:tcMar>
            <w:vAlign w:val="bottom"/>
          </w:tcPr>
          <w:p>
            <w:pPr>
              <w:pStyle w:val="TableContents"/>
              <w:bidi w:val="0"/>
              <w:spacing w:before="0" w:after="283"/>
              <w:jc w:val="left"/>
              <w:rPr/>
            </w:pPr>
            <w:r>
              <w:rPr/>
              <w:t> </w:t>
            </w:r>
          </w:p>
        </w:tc>
        <w:tc>
          <w:tcPr>
            <w:tcW w:w="1533"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expense, net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(505</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31" w:type="dxa"/>
            <w:tcBorders/>
            <w:shd w:fill="CCEEFF" w:val="clear"/>
            <w:tcMar>
              <w:bottom w:w="0" w:type="dxa"/>
            </w:tcMar>
            <w:vAlign w:val="bottom"/>
          </w:tcPr>
          <w:p>
            <w:pPr>
              <w:pStyle w:val="TableContents"/>
              <w:bidi w:val="0"/>
              <w:spacing w:before="0" w:after="283"/>
              <w:jc w:val="left"/>
              <w:rPr/>
            </w:pPr>
            <w:r>
              <w:rPr/>
              <w:t> </w:t>
            </w:r>
          </w:p>
        </w:tc>
        <w:tc>
          <w:tcPr>
            <w:tcW w:w="1533" w:type="dxa"/>
            <w:tcBorders/>
            <w:shd w:fill="CCEEFF" w:val="clear"/>
            <w:tcMar>
              <w:bottom w:w="0" w:type="dxa"/>
            </w:tcMar>
            <w:vAlign w:val="bottom"/>
          </w:tcPr>
          <w:p>
            <w:pPr>
              <w:pStyle w:val="TableContents"/>
              <w:bidi w:val="0"/>
              <w:spacing w:before="0" w:after="283"/>
              <w:jc w:val="right"/>
              <w:rPr/>
            </w:pPr>
            <w:r>
              <w:rPr/>
              <w:t>(3</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(19,361</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(19,869</w:t>
            </w:r>
          </w:p>
        </w:tc>
        <w:tc>
          <w:tcPr>
            <w:tcW w:w="155" w:type="dxa"/>
            <w:tcBorders/>
            <w:shd w:fill="CCEEFF" w:val="clear"/>
            <w:tcMar>
              <w:bottom w:w="0" w:type="dxa"/>
            </w:tcMar>
            <w:vAlign w:val="bottom"/>
          </w:tcPr>
          <w:p>
            <w:pPr>
              <w:pStyle w:val="TableContents"/>
              <w:bidi w:val="0"/>
              <w:spacing w:before="0" w:after="283"/>
              <w:jc w:val="left"/>
              <w:rPr/>
            </w:pPr>
            <w:r>
              <w:rPr/>
              <w:t>)</w:t>
            </w:r>
          </w:p>
        </w:tc>
      </w:tr>
      <w:tr>
        <w:trPr/>
        <w:tc>
          <w:tcPr>
            <w:tcW w:w="323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31" w:type="dxa"/>
            <w:tcBorders/>
            <w:tcMar>
              <w:bottom w:w="0" w:type="dxa"/>
            </w:tcMar>
            <w:vAlign w:val="bottom"/>
          </w:tcPr>
          <w:p>
            <w:pPr>
              <w:pStyle w:val="TableContents"/>
              <w:bidi w:val="0"/>
              <w:spacing w:before="0" w:after="283"/>
              <w:jc w:val="left"/>
              <w:rPr/>
            </w:pPr>
            <w:r>
              <w:rPr/>
              <w:t> </w:t>
            </w:r>
          </w:p>
        </w:tc>
        <w:tc>
          <w:tcPr>
            <w:tcW w:w="1533"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283"/>
              <w:jc w:val="left"/>
              <w:rPr/>
            </w:pPr>
            <w:r>
              <w:rPr/>
              <w:t>Loss on extinguishment of debt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31" w:type="dxa"/>
            <w:tcBorders/>
            <w:shd w:fill="CCEEFF" w:val="clear"/>
            <w:tcMar>
              <w:bottom w:w="0" w:type="dxa"/>
            </w:tcMar>
            <w:vAlign w:val="bottom"/>
          </w:tcPr>
          <w:p>
            <w:pPr>
              <w:pStyle w:val="TableContents"/>
              <w:bidi w:val="0"/>
              <w:spacing w:before="0" w:after="283"/>
              <w:jc w:val="left"/>
              <w:rPr/>
            </w:pPr>
            <w:r>
              <w:rPr/>
              <w:t> </w:t>
            </w:r>
          </w:p>
        </w:tc>
        <w:tc>
          <w:tcPr>
            <w:tcW w:w="1533" w:type="dxa"/>
            <w:tcBorders/>
            <w:shd w:fill="CCEEFF" w:val="clear"/>
            <w:tcMar>
              <w:bottom w:w="0" w:type="dxa"/>
            </w:tcMar>
            <w:vAlign w:val="bottom"/>
          </w:tcPr>
          <w:p>
            <w:pPr>
              <w:pStyle w:val="TableContents"/>
              <w:bidi w:val="0"/>
              <w:spacing w:before="0" w:after="283"/>
              <w:jc w:val="right"/>
              <w:rPr/>
            </w:pPr>
            <w:r>
              <w:rPr/>
              <w:t>-</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(6,670</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(6,670</w:t>
            </w:r>
          </w:p>
        </w:tc>
        <w:tc>
          <w:tcPr>
            <w:tcW w:w="155" w:type="dxa"/>
            <w:tcBorders/>
            <w:shd w:fill="CCEEFF" w:val="clear"/>
            <w:tcMar>
              <w:bottom w:w="0" w:type="dxa"/>
            </w:tcMar>
            <w:vAlign w:val="bottom"/>
          </w:tcPr>
          <w:p>
            <w:pPr>
              <w:pStyle w:val="TableContents"/>
              <w:bidi w:val="0"/>
              <w:spacing w:before="0" w:after="283"/>
              <w:jc w:val="left"/>
              <w:rPr/>
            </w:pPr>
            <w:r>
              <w:rPr/>
              <w:t>)</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31" w:type="dxa"/>
            <w:tcBorders/>
            <w:tcMar>
              <w:bottom w:w="0" w:type="dxa"/>
            </w:tcMar>
            <w:vAlign w:val="bottom"/>
          </w:tcPr>
          <w:p>
            <w:pPr>
              <w:pStyle w:val="TableContents"/>
              <w:bidi w:val="0"/>
              <w:spacing w:before="0" w:after="283"/>
              <w:jc w:val="left"/>
              <w:rPr/>
            </w:pPr>
            <w:r>
              <w:rPr/>
              <w:t> </w:t>
            </w:r>
          </w:p>
        </w:tc>
        <w:tc>
          <w:tcPr>
            <w:tcW w:w="1533"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374</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31" w:type="dxa"/>
            <w:tcBorders/>
            <w:shd w:fill="CCEEFF" w:val="clear"/>
            <w:tcMar>
              <w:bottom w:w="0" w:type="dxa"/>
            </w:tcMar>
            <w:vAlign w:val="bottom"/>
          </w:tcPr>
          <w:p>
            <w:pPr>
              <w:pStyle w:val="TableContents"/>
              <w:bidi w:val="0"/>
              <w:spacing w:before="0" w:after="283"/>
              <w:jc w:val="left"/>
              <w:rPr/>
            </w:pPr>
            <w:r>
              <w:rPr/>
              <w:t> </w:t>
            </w:r>
          </w:p>
        </w:tc>
        <w:tc>
          <w:tcPr>
            <w:tcW w:w="1533" w:type="dxa"/>
            <w:tcBorders/>
            <w:shd w:fill="CCEEFF" w:val="clear"/>
            <w:tcMar>
              <w:bottom w:w="0" w:type="dxa"/>
            </w:tcMar>
            <w:vAlign w:val="bottom"/>
          </w:tcPr>
          <w:p>
            <w:pPr>
              <w:pStyle w:val="TableContents"/>
              <w:bidi w:val="0"/>
              <w:spacing w:before="0" w:after="283"/>
              <w:jc w:val="right"/>
              <w:rPr/>
            </w:pPr>
            <w:r>
              <w:rPr/>
              <w:t>(17,911</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(48,367</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(65,904</w:t>
            </w:r>
          </w:p>
        </w:tc>
        <w:tc>
          <w:tcPr>
            <w:tcW w:w="155" w:type="dxa"/>
            <w:tcBorders/>
            <w:shd w:fill="CCEEFF" w:val="clear"/>
            <w:tcMar>
              <w:bottom w:w="0" w:type="dxa"/>
            </w:tcMar>
            <w:vAlign w:val="bottom"/>
          </w:tcPr>
          <w:p>
            <w:pPr>
              <w:pStyle w:val="TableContents"/>
              <w:bidi w:val="0"/>
              <w:spacing w:before="0" w:after="283"/>
              <w:jc w:val="left"/>
              <w:rPr/>
            </w:pPr>
            <w:r>
              <w:rPr/>
              <w:t>)</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31" w:type="dxa"/>
            <w:tcBorders/>
            <w:tcMar>
              <w:bottom w:w="0" w:type="dxa"/>
            </w:tcMar>
            <w:vAlign w:val="bottom"/>
          </w:tcPr>
          <w:p>
            <w:pPr>
              <w:pStyle w:val="TableContents"/>
              <w:bidi w:val="0"/>
              <w:spacing w:before="0" w:after="283"/>
              <w:jc w:val="left"/>
              <w:rPr/>
            </w:pPr>
            <w:r>
              <w:rPr/>
              <w:t> </w:t>
            </w:r>
          </w:p>
        </w:tc>
        <w:tc>
          <w:tcPr>
            <w:tcW w:w="1533"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Capital expenditures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5,247</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31" w:type="dxa"/>
            <w:tcBorders/>
            <w:shd w:fill="CCEEFF" w:val="clear"/>
            <w:tcMar>
              <w:bottom w:w="0" w:type="dxa"/>
            </w:tcMar>
            <w:vAlign w:val="bottom"/>
          </w:tcPr>
          <w:p>
            <w:pPr>
              <w:pStyle w:val="TableContents"/>
              <w:bidi w:val="0"/>
              <w:spacing w:before="0" w:after="283"/>
              <w:jc w:val="left"/>
              <w:rPr/>
            </w:pPr>
            <w:r>
              <w:rPr/>
              <w:t> </w:t>
            </w:r>
          </w:p>
        </w:tc>
        <w:tc>
          <w:tcPr>
            <w:tcW w:w="1533" w:type="dxa"/>
            <w:tcBorders/>
            <w:shd w:fill="CCEEFF" w:val="clear"/>
            <w:tcMar>
              <w:bottom w:w="0" w:type="dxa"/>
            </w:tcMar>
            <w:vAlign w:val="bottom"/>
          </w:tcPr>
          <w:p>
            <w:pPr>
              <w:pStyle w:val="TableContents"/>
              <w:bidi w:val="0"/>
              <w:spacing w:before="0" w:after="283"/>
              <w:jc w:val="right"/>
              <w:rPr/>
            </w:pPr>
            <w:r>
              <w:rPr/>
              <w:t>8,664</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13,911</w:t>
            </w:r>
          </w:p>
        </w:tc>
        <w:tc>
          <w:tcPr>
            <w:tcW w:w="155" w:type="dxa"/>
            <w:tcBorders/>
            <w:shd w:fill="CCEEFF" w:val="clear"/>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and amortization expense</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4,709</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331" w:type="dxa"/>
            <w:tcBorders/>
            <w:tcMar>
              <w:bottom w:w="0" w:type="dxa"/>
            </w:tcMar>
            <w:vAlign w:val="bottom"/>
          </w:tcPr>
          <w:p>
            <w:pPr>
              <w:pStyle w:val="TableContents"/>
              <w:bidi w:val="0"/>
              <w:spacing w:before="0" w:after="283"/>
              <w:jc w:val="left"/>
              <w:rPr/>
            </w:pPr>
            <w:r>
              <w:rPr/>
              <w:t> </w:t>
            </w:r>
          </w:p>
        </w:tc>
        <w:tc>
          <w:tcPr>
            <w:tcW w:w="1533" w:type="dxa"/>
            <w:tcBorders/>
            <w:tcMar>
              <w:bottom w:w="0" w:type="dxa"/>
            </w:tcMar>
            <w:vAlign w:val="bottom"/>
          </w:tcPr>
          <w:p>
            <w:pPr>
              <w:pStyle w:val="TableContents"/>
              <w:bidi w:val="0"/>
              <w:spacing w:before="0" w:after="283"/>
              <w:jc w:val="right"/>
              <w:rPr/>
            </w:pPr>
            <w:r>
              <w:rPr/>
              <w:t>2,404</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7,113</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238,159</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331" w:type="dxa"/>
            <w:tcBorders/>
            <w:shd w:fill="CCEEFF" w:val="clear"/>
            <w:tcMar>
              <w:bottom w:w="0" w:type="dxa"/>
            </w:tcMar>
            <w:vAlign w:val="bottom"/>
          </w:tcPr>
          <w:p>
            <w:pPr>
              <w:pStyle w:val="TableContents"/>
              <w:bidi w:val="0"/>
              <w:spacing w:before="0" w:after="283"/>
              <w:jc w:val="left"/>
              <w:rPr/>
            </w:pPr>
            <w:r>
              <w:rPr/>
              <w:t> </w:t>
            </w:r>
          </w:p>
        </w:tc>
        <w:tc>
          <w:tcPr>
            <w:tcW w:w="1533" w:type="dxa"/>
            <w:tcBorders/>
            <w:shd w:fill="CCEEFF" w:val="clear"/>
            <w:tcMar>
              <w:bottom w:w="0" w:type="dxa"/>
            </w:tcMar>
            <w:vAlign w:val="bottom"/>
          </w:tcPr>
          <w:p>
            <w:pPr>
              <w:pStyle w:val="TableContents"/>
              <w:bidi w:val="0"/>
              <w:spacing w:before="0" w:after="283"/>
              <w:jc w:val="right"/>
              <w:rPr/>
            </w:pPr>
            <w:r>
              <w:rPr/>
              <w:t>37,071</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73,231</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348,461</w:t>
            </w:r>
          </w:p>
        </w:tc>
        <w:tc>
          <w:tcPr>
            <w:tcW w:w="15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caps w:val="false"/>
          <w:smallCaps w:val="false"/>
          <w:color w:val="000000"/>
          <w:shd w:fill="FFFFFF" w:val="clear"/>
        </w:rPr>
      </w:pPr>
      <w:r>
        <w:rPr>
          <w:caps w:val="false"/>
          <w:smallCaps w:val="false"/>
          <w:color w:val="000000"/>
          <w:shd w:fill="FFFFFF" w:val="clear"/>
        </w:rPr>
        <w:t xml:space="preserve">  </w:t>
      </w:r>
    </w:p>
    <w:tbl>
      <w:tblPr>
        <w:tblW w:w="9454" w:type="dxa"/>
        <w:jc w:val="left"/>
        <w:tblInd w:w="0" w:type="dxa"/>
        <w:tblLayout w:type="fixed"/>
        <w:tblCellMar>
          <w:top w:w="0" w:type="dxa"/>
          <w:left w:w="0" w:type="dxa"/>
          <w:bottom w:w="28" w:type="dxa"/>
          <w:right w:w="0" w:type="dxa"/>
        </w:tblCellMar>
      </w:tblPr>
      <w:tblGrid>
        <w:gridCol w:w="3230"/>
        <w:gridCol w:w="90"/>
        <w:gridCol w:w="276"/>
        <w:gridCol w:w="1349"/>
        <w:gridCol w:w="125"/>
        <w:gridCol w:w="90"/>
        <w:gridCol w:w="283"/>
        <w:gridCol w:w="1311"/>
        <w:gridCol w:w="125"/>
        <w:gridCol w:w="90"/>
        <w:gridCol w:w="170"/>
        <w:gridCol w:w="785"/>
        <w:gridCol w:w="125"/>
        <w:gridCol w:w="90"/>
        <w:gridCol w:w="197"/>
        <w:gridCol w:w="963"/>
        <w:gridCol w:w="155"/>
      </w:tblGrid>
      <w:tr>
        <w:trPr/>
        <w:tc>
          <w:tcPr>
            <w:tcW w:w="9299" w:type="dxa"/>
            <w:gridSpan w:val="16"/>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Year Ended December 31, 2021</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center"/>
              <w:rPr/>
            </w:pPr>
            <w:r>
              <w:rPr/>
              <w:t xml:space="preserve">  </w:t>
            </w:r>
            <w:r>
              <w:rPr>
                <w:rFonts w:ascii="Times New Roman" w:hAnsi="Times New Roman"/>
                <w:i/>
                <w:sz w:val="20"/>
              </w:rPr>
              <w:t>(in thousands)</w:t>
            </w:r>
          </w:p>
        </w:tc>
        <w:tc>
          <w:tcPr>
            <w:tcW w:w="90" w:type="dxa"/>
            <w:tcBorders/>
            <w:tcMar>
              <w:bottom w:w="0" w:type="dxa"/>
            </w:tcMar>
            <w:vAlign w:val="bottom"/>
          </w:tcPr>
          <w:p>
            <w:pPr>
              <w:pStyle w:val="TableContents"/>
              <w:bidi w:val="0"/>
              <w:spacing w:before="0" w:after="283"/>
              <w:jc w:val="center"/>
              <w:rPr/>
            </w:pPr>
            <w:r>
              <w:rPr/>
              <w:t> </w:t>
            </w:r>
          </w:p>
        </w:tc>
        <w:tc>
          <w:tcPr>
            <w:tcW w:w="1625"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ADMA</w:t>
            </w:r>
          </w:p>
          <w:p>
            <w:pPr>
              <w:pStyle w:val="TableContents"/>
              <w:bidi w:val="0"/>
              <w:spacing w:before="0" w:after="0"/>
              <w:ind w:left="0" w:right="0" w:hanging="0"/>
              <w:jc w:val="center"/>
              <w:rPr/>
            </w:pPr>
            <w:r>
              <w:rPr>
                <w:rStyle w:val="StrongEmphasis"/>
                <w:rFonts w:ascii="Times New Roman" w:hAnsi="Times New Roman"/>
                <w:sz w:val="20"/>
              </w:rPr>
              <w:t>BioManufacturing</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center"/>
              <w:rPr/>
            </w:pPr>
            <w:r>
              <w:rPr/>
              <w:t> </w:t>
            </w:r>
          </w:p>
        </w:tc>
        <w:tc>
          <w:tcPr>
            <w:tcW w:w="1594"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Plasma Collection</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Centers</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center"/>
              <w:rPr/>
            </w:pPr>
            <w:r>
              <w:rPr/>
              <w:t> </w:t>
            </w:r>
          </w:p>
        </w:tc>
        <w:tc>
          <w:tcPr>
            <w:tcW w:w="955"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Corporate</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center"/>
              <w:rPr/>
            </w:pPr>
            <w:r>
              <w:rPr/>
              <w:t> </w:t>
            </w:r>
          </w:p>
        </w:tc>
        <w:tc>
          <w:tcPr>
            <w:tcW w:w="1160" w:type="dxa"/>
            <w:gridSpan w:val="2"/>
            <w:tcBorders>
              <w:bottom w:val="single" w:sz="12" w:space="0" w:color="000000"/>
            </w:tcBorders>
            <w:vAlign w:val="bottom"/>
          </w:tcPr>
          <w:p>
            <w:pPr>
              <w:pStyle w:val="TableContents"/>
              <w:bidi w:val="0"/>
              <w:spacing w:before="0" w:after="0"/>
              <w:ind w:left="0" w:right="0" w:hanging="0"/>
              <w:jc w:val="center"/>
              <w:rPr/>
            </w:pPr>
            <w:r>
              <w:rPr>
                <w:rStyle w:val="StrongEmphasis"/>
                <w:rFonts w:ascii="Times New Roman" w:hAnsi="Times New Roman"/>
                <w:sz w:val="20"/>
              </w:rPr>
              <w:t>Consolidated</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25" w:type="dxa"/>
            <w:gridSpan w:val="2"/>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94" w:type="dxa"/>
            <w:gridSpan w:val="2"/>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55" w:type="dxa"/>
            <w:gridSpan w:val="2"/>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60" w:type="dxa"/>
            <w:gridSpan w:val="2"/>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w:t>
            </w:r>
          </w:p>
        </w:tc>
        <w:tc>
          <w:tcPr>
            <w:tcW w:w="1349" w:type="dxa"/>
            <w:tcBorders/>
            <w:shd w:fill="CCEEFF" w:val="clear"/>
            <w:tcMar>
              <w:bottom w:w="0" w:type="dxa"/>
            </w:tcMar>
            <w:vAlign w:val="bottom"/>
          </w:tcPr>
          <w:p>
            <w:pPr>
              <w:pStyle w:val="TableContents"/>
              <w:bidi w:val="0"/>
              <w:spacing w:before="0" w:after="283"/>
              <w:jc w:val="right"/>
              <w:rPr/>
            </w:pPr>
            <w:r>
              <w:rPr/>
              <w:t>74,936</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83" w:type="dxa"/>
            <w:tcBorders/>
            <w:shd w:fill="CCEEFF" w:val="clear"/>
            <w:tcMar>
              <w:bottom w:w="0" w:type="dxa"/>
            </w:tcMar>
            <w:vAlign w:val="bottom"/>
          </w:tcPr>
          <w:p>
            <w:pPr>
              <w:pStyle w:val="TableContents"/>
              <w:bidi w:val="0"/>
              <w:spacing w:before="0" w:after="283"/>
              <w:jc w:val="left"/>
              <w:rPr/>
            </w:pPr>
            <w:r>
              <w:rPr/>
              <w:t>$</w:t>
            </w:r>
          </w:p>
        </w:tc>
        <w:tc>
          <w:tcPr>
            <w:tcW w:w="1311" w:type="dxa"/>
            <w:tcBorders/>
            <w:shd w:fill="CCEEFF" w:val="clear"/>
            <w:tcMar>
              <w:bottom w:w="0" w:type="dxa"/>
            </w:tcMar>
            <w:vAlign w:val="bottom"/>
          </w:tcPr>
          <w:p>
            <w:pPr>
              <w:pStyle w:val="TableContents"/>
              <w:bidi w:val="0"/>
              <w:spacing w:before="0" w:after="283"/>
              <w:jc w:val="right"/>
              <w:rPr/>
            </w:pPr>
            <w:r>
              <w:rPr/>
              <w:t>5,864</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w:t>
            </w:r>
          </w:p>
        </w:tc>
        <w:tc>
          <w:tcPr>
            <w:tcW w:w="785" w:type="dxa"/>
            <w:tcBorders/>
            <w:shd w:fill="CCEEFF" w:val="clear"/>
            <w:tcMar>
              <w:bottom w:w="0" w:type="dxa"/>
            </w:tcMar>
            <w:vAlign w:val="bottom"/>
          </w:tcPr>
          <w:p>
            <w:pPr>
              <w:pStyle w:val="TableContents"/>
              <w:bidi w:val="0"/>
              <w:spacing w:before="0" w:after="283"/>
              <w:jc w:val="right"/>
              <w:rPr/>
            </w:pPr>
            <w:r>
              <w:rPr/>
              <w:t>143</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w:t>
            </w:r>
          </w:p>
        </w:tc>
        <w:tc>
          <w:tcPr>
            <w:tcW w:w="963" w:type="dxa"/>
            <w:tcBorders/>
            <w:shd w:fill="CCEEFF" w:val="clear"/>
            <w:tcMar>
              <w:bottom w:w="0" w:type="dxa"/>
            </w:tcMar>
            <w:vAlign w:val="bottom"/>
          </w:tcPr>
          <w:p>
            <w:pPr>
              <w:pStyle w:val="TableContents"/>
              <w:bidi w:val="0"/>
              <w:spacing w:before="0" w:after="283"/>
              <w:jc w:val="right"/>
              <w:rPr/>
            </w:pPr>
            <w:r>
              <w:rPr/>
              <w:t>80,943</w:t>
            </w:r>
          </w:p>
        </w:tc>
        <w:tc>
          <w:tcPr>
            <w:tcW w:w="155" w:type="dxa"/>
            <w:tcBorders/>
            <w:shd w:fill="CCEEFF" w:val="clear"/>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83" w:type="dxa"/>
            <w:tcBorders/>
            <w:tcMar>
              <w:bottom w:w="0" w:type="dxa"/>
            </w:tcMar>
            <w:vAlign w:val="bottom"/>
          </w:tcPr>
          <w:p>
            <w:pPr>
              <w:pStyle w:val="TableContents"/>
              <w:bidi w:val="0"/>
              <w:spacing w:before="0" w:after="283"/>
              <w:jc w:val="left"/>
              <w:rPr/>
            </w:pPr>
            <w:r>
              <w:rPr/>
              <w:t> </w:t>
            </w:r>
          </w:p>
        </w:tc>
        <w:tc>
          <w:tcPr>
            <w:tcW w:w="1311"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product revenue</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74,126</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83" w:type="dxa"/>
            <w:tcBorders/>
            <w:shd w:fill="CCEEFF" w:val="clear"/>
            <w:tcMar>
              <w:bottom w:w="0" w:type="dxa"/>
            </w:tcMar>
            <w:vAlign w:val="bottom"/>
          </w:tcPr>
          <w:p>
            <w:pPr>
              <w:pStyle w:val="TableContents"/>
              <w:bidi w:val="0"/>
              <w:spacing w:before="0" w:after="283"/>
              <w:jc w:val="left"/>
              <w:rPr/>
            </w:pPr>
            <w:r>
              <w:rPr/>
              <w:t> </w:t>
            </w:r>
          </w:p>
        </w:tc>
        <w:tc>
          <w:tcPr>
            <w:tcW w:w="1311" w:type="dxa"/>
            <w:tcBorders/>
            <w:shd w:fill="CCEEFF" w:val="clear"/>
            <w:tcMar>
              <w:bottom w:w="0" w:type="dxa"/>
            </w:tcMar>
            <w:vAlign w:val="bottom"/>
          </w:tcPr>
          <w:p>
            <w:pPr>
              <w:pStyle w:val="TableContents"/>
              <w:bidi w:val="0"/>
              <w:spacing w:before="0" w:after="283"/>
              <w:jc w:val="right"/>
              <w:rPr/>
            </w:pPr>
            <w:r>
              <w:rPr/>
              <w:t>5,644</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79,770</w:t>
            </w:r>
          </w:p>
        </w:tc>
        <w:tc>
          <w:tcPr>
            <w:tcW w:w="155" w:type="dxa"/>
            <w:tcBorders/>
            <w:shd w:fill="CCEEFF" w:val="clear"/>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83" w:type="dxa"/>
            <w:tcBorders/>
            <w:tcMar>
              <w:bottom w:w="0" w:type="dxa"/>
            </w:tcMar>
            <w:vAlign w:val="bottom"/>
          </w:tcPr>
          <w:p>
            <w:pPr>
              <w:pStyle w:val="TableContents"/>
              <w:bidi w:val="0"/>
              <w:spacing w:before="0" w:after="283"/>
              <w:jc w:val="left"/>
              <w:rPr/>
            </w:pPr>
            <w:r>
              <w:rPr/>
              <w:t> </w:t>
            </w:r>
          </w:p>
        </w:tc>
        <w:tc>
          <w:tcPr>
            <w:tcW w:w="1311"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(29,294</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83" w:type="dxa"/>
            <w:tcBorders/>
            <w:shd w:fill="CCEEFF" w:val="clear"/>
            <w:tcMar>
              <w:bottom w:w="0" w:type="dxa"/>
            </w:tcMar>
            <w:vAlign w:val="bottom"/>
          </w:tcPr>
          <w:p>
            <w:pPr>
              <w:pStyle w:val="TableContents"/>
              <w:bidi w:val="0"/>
              <w:spacing w:before="0" w:after="283"/>
              <w:jc w:val="left"/>
              <w:rPr/>
            </w:pPr>
            <w:r>
              <w:rPr/>
              <w:t> </w:t>
            </w:r>
          </w:p>
        </w:tc>
        <w:tc>
          <w:tcPr>
            <w:tcW w:w="1311" w:type="dxa"/>
            <w:tcBorders/>
            <w:shd w:fill="CCEEFF" w:val="clear"/>
            <w:tcMar>
              <w:bottom w:w="0" w:type="dxa"/>
            </w:tcMar>
            <w:vAlign w:val="bottom"/>
          </w:tcPr>
          <w:p>
            <w:pPr>
              <w:pStyle w:val="TableContents"/>
              <w:bidi w:val="0"/>
              <w:spacing w:before="0" w:after="283"/>
              <w:jc w:val="right"/>
              <w:rPr/>
            </w:pPr>
            <w:r>
              <w:rPr/>
              <w:t>(12,056</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(17,024</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(58,374</w:t>
            </w:r>
          </w:p>
        </w:tc>
        <w:tc>
          <w:tcPr>
            <w:tcW w:w="155" w:type="dxa"/>
            <w:tcBorders/>
            <w:shd w:fill="CCEEFF" w:val="clear"/>
            <w:tcMar>
              <w:bottom w:w="0" w:type="dxa"/>
            </w:tcMar>
            <w:vAlign w:val="bottom"/>
          </w:tcPr>
          <w:p>
            <w:pPr>
              <w:pStyle w:val="TableContents"/>
              <w:bidi w:val="0"/>
              <w:spacing w:before="0" w:after="283"/>
              <w:jc w:val="left"/>
              <w:rPr/>
            </w:pPr>
            <w:r>
              <w:rPr/>
              <w:t>)</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83" w:type="dxa"/>
            <w:tcBorders/>
            <w:tcMar>
              <w:bottom w:w="0" w:type="dxa"/>
            </w:tcMar>
            <w:vAlign w:val="bottom"/>
          </w:tcPr>
          <w:p>
            <w:pPr>
              <w:pStyle w:val="TableContents"/>
              <w:bidi w:val="0"/>
              <w:spacing w:before="0" w:after="283"/>
              <w:jc w:val="left"/>
              <w:rPr/>
            </w:pPr>
            <w:r>
              <w:rPr/>
              <w:t> </w:t>
            </w:r>
          </w:p>
        </w:tc>
        <w:tc>
          <w:tcPr>
            <w:tcW w:w="1311"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expense, net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(218</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83" w:type="dxa"/>
            <w:tcBorders/>
            <w:shd w:fill="CCEEFF" w:val="clear"/>
            <w:tcMar>
              <w:bottom w:w="0" w:type="dxa"/>
            </w:tcMar>
            <w:vAlign w:val="bottom"/>
          </w:tcPr>
          <w:p>
            <w:pPr>
              <w:pStyle w:val="TableContents"/>
              <w:bidi w:val="0"/>
              <w:spacing w:before="0" w:after="283"/>
              <w:jc w:val="left"/>
              <w:rPr/>
            </w:pPr>
            <w:r>
              <w:rPr/>
              <w:t> </w:t>
            </w:r>
          </w:p>
        </w:tc>
        <w:tc>
          <w:tcPr>
            <w:tcW w:w="1311" w:type="dxa"/>
            <w:tcBorders/>
            <w:shd w:fill="CCEEFF" w:val="clear"/>
            <w:tcMar>
              <w:bottom w:w="0" w:type="dxa"/>
            </w:tcMar>
            <w:vAlign w:val="bottom"/>
          </w:tcPr>
          <w:p>
            <w:pPr>
              <w:pStyle w:val="TableContents"/>
              <w:bidi w:val="0"/>
              <w:spacing w:before="0" w:after="283"/>
              <w:jc w:val="right"/>
              <w:rPr/>
            </w:pPr>
            <w:r>
              <w:rPr/>
              <w:t>(6</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(13,050</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(13,274</w:t>
            </w:r>
          </w:p>
        </w:tc>
        <w:tc>
          <w:tcPr>
            <w:tcW w:w="155" w:type="dxa"/>
            <w:tcBorders/>
            <w:shd w:fill="CCEEFF" w:val="clear"/>
            <w:tcMar>
              <w:bottom w:w="0" w:type="dxa"/>
            </w:tcMar>
            <w:vAlign w:val="bottom"/>
          </w:tcPr>
          <w:p>
            <w:pPr>
              <w:pStyle w:val="TableContents"/>
              <w:bidi w:val="0"/>
              <w:spacing w:before="0" w:after="283"/>
              <w:jc w:val="left"/>
              <w:rPr/>
            </w:pPr>
            <w:r>
              <w:rPr/>
              <w:t>)</w:t>
            </w:r>
          </w:p>
        </w:tc>
      </w:tr>
      <w:tr>
        <w:trPr/>
        <w:tc>
          <w:tcPr>
            <w:tcW w:w="323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83" w:type="dxa"/>
            <w:tcBorders/>
            <w:tcMar>
              <w:bottom w:w="0" w:type="dxa"/>
            </w:tcMar>
            <w:vAlign w:val="bottom"/>
          </w:tcPr>
          <w:p>
            <w:pPr>
              <w:pStyle w:val="TableContents"/>
              <w:bidi w:val="0"/>
              <w:spacing w:before="0" w:after="283"/>
              <w:jc w:val="left"/>
              <w:rPr/>
            </w:pPr>
            <w:r>
              <w:rPr/>
              <w:t> </w:t>
            </w:r>
          </w:p>
        </w:tc>
        <w:tc>
          <w:tcPr>
            <w:tcW w:w="1311"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(29,512</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83" w:type="dxa"/>
            <w:tcBorders/>
            <w:shd w:fill="CCEEFF" w:val="clear"/>
            <w:tcMar>
              <w:bottom w:w="0" w:type="dxa"/>
            </w:tcMar>
            <w:vAlign w:val="bottom"/>
          </w:tcPr>
          <w:p>
            <w:pPr>
              <w:pStyle w:val="TableContents"/>
              <w:bidi w:val="0"/>
              <w:spacing w:before="0" w:after="283"/>
              <w:jc w:val="left"/>
              <w:rPr/>
            </w:pPr>
            <w:r>
              <w:rPr/>
              <w:t> </w:t>
            </w:r>
          </w:p>
        </w:tc>
        <w:tc>
          <w:tcPr>
            <w:tcW w:w="1311" w:type="dxa"/>
            <w:tcBorders/>
            <w:shd w:fill="CCEEFF" w:val="clear"/>
            <w:tcMar>
              <w:bottom w:w="0" w:type="dxa"/>
            </w:tcMar>
            <w:vAlign w:val="bottom"/>
          </w:tcPr>
          <w:p>
            <w:pPr>
              <w:pStyle w:val="TableContents"/>
              <w:bidi w:val="0"/>
              <w:spacing w:before="0" w:after="283"/>
              <w:jc w:val="right"/>
              <w:rPr/>
            </w:pPr>
            <w:r>
              <w:rPr/>
              <w:t>(12,062</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(30,074</w:t>
            </w:r>
          </w:p>
        </w:tc>
        <w:tc>
          <w:tcPr>
            <w:tcW w:w="125" w:type="dxa"/>
            <w:tcBorders/>
            <w:shd w:fill="CCEEFF" w:val="clear"/>
            <w:tcMar>
              <w:bottom w:w="0" w:type="dxa"/>
            </w:tcMar>
            <w:vAlign w:val="bottom"/>
          </w:tcPr>
          <w:p>
            <w:pPr>
              <w:pStyle w:val="TableContents"/>
              <w:bidi w:val="0"/>
              <w:spacing w:before="0" w:after="283"/>
              <w:jc w:val="left"/>
              <w:rPr/>
            </w:pPr>
            <w:r>
              <w:rPr/>
              <w:t>)</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(71,648</w:t>
            </w:r>
          </w:p>
        </w:tc>
        <w:tc>
          <w:tcPr>
            <w:tcW w:w="155" w:type="dxa"/>
            <w:tcBorders/>
            <w:shd w:fill="CCEEFF" w:val="clear"/>
            <w:tcMar>
              <w:bottom w:w="0" w:type="dxa"/>
            </w:tcMar>
            <w:vAlign w:val="bottom"/>
          </w:tcPr>
          <w:p>
            <w:pPr>
              <w:pStyle w:val="TableContents"/>
              <w:bidi w:val="0"/>
              <w:spacing w:before="0" w:after="283"/>
              <w:jc w:val="left"/>
              <w:rPr/>
            </w:pPr>
            <w:r>
              <w:rPr/>
              <w:t>)</w:t>
            </w:r>
          </w:p>
        </w:tc>
      </w:tr>
      <w:tr>
        <w:trPr/>
        <w:tc>
          <w:tcPr>
            <w:tcW w:w="3230" w:type="dxa"/>
            <w:tcBorders/>
            <w:tcMar>
              <w:bottom w:w="0" w:type="dxa"/>
            </w:tcMar>
            <w:vAlign w:val="bottom"/>
          </w:tcPr>
          <w:p>
            <w:pPr>
              <w:pStyle w:val="TableContents"/>
              <w:bidi w:val="0"/>
              <w:spacing w:before="0" w:after="0"/>
              <w:ind w:left="0" w:right="0" w:hanging="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83" w:type="dxa"/>
            <w:tcBorders/>
            <w:tcMar>
              <w:bottom w:w="0" w:type="dxa"/>
            </w:tcMar>
            <w:vAlign w:val="bottom"/>
          </w:tcPr>
          <w:p>
            <w:pPr>
              <w:pStyle w:val="TableContents"/>
              <w:bidi w:val="0"/>
              <w:spacing w:before="0" w:after="283"/>
              <w:jc w:val="left"/>
              <w:rPr/>
            </w:pPr>
            <w:r>
              <w:rPr/>
              <w:t> </w:t>
            </w:r>
          </w:p>
        </w:tc>
        <w:tc>
          <w:tcPr>
            <w:tcW w:w="1311"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Capital expenditures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4,877</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83" w:type="dxa"/>
            <w:tcBorders/>
            <w:shd w:fill="CCEEFF" w:val="clear"/>
            <w:tcMar>
              <w:bottom w:w="0" w:type="dxa"/>
            </w:tcMar>
            <w:vAlign w:val="bottom"/>
          </w:tcPr>
          <w:p>
            <w:pPr>
              <w:pStyle w:val="TableContents"/>
              <w:bidi w:val="0"/>
              <w:spacing w:before="0" w:after="283"/>
              <w:jc w:val="left"/>
              <w:rPr/>
            </w:pPr>
            <w:r>
              <w:rPr/>
              <w:t> </w:t>
            </w:r>
          </w:p>
        </w:tc>
        <w:tc>
          <w:tcPr>
            <w:tcW w:w="1311" w:type="dxa"/>
            <w:tcBorders/>
            <w:shd w:fill="CCEEFF" w:val="clear"/>
            <w:tcMar>
              <w:bottom w:w="0" w:type="dxa"/>
            </w:tcMar>
            <w:vAlign w:val="bottom"/>
          </w:tcPr>
          <w:p>
            <w:pPr>
              <w:pStyle w:val="TableContents"/>
              <w:bidi w:val="0"/>
              <w:spacing w:before="0" w:after="283"/>
              <w:jc w:val="right"/>
              <w:rPr/>
            </w:pPr>
            <w:r>
              <w:rPr/>
              <w:t>8,634</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13,511</w:t>
            </w:r>
          </w:p>
        </w:tc>
        <w:tc>
          <w:tcPr>
            <w:tcW w:w="155" w:type="dxa"/>
            <w:tcBorders/>
            <w:shd w:fill="CCEEFF" w:val="clear"/>
            <w:tcMar>
              <w:bottom w:w="0" w:type="dxa"/>
            </w:tcMar>
            <w:vAlign w:val="bottom"/>
          </w:tcPr>
          <w:p>
            <w:pPr>
              <w:pStyle w:val="TableContents"/>
              <w:bidi w:val="0"/>
              <w:spacing w:before="0" w:after="283"/>
              <w:jc w:val="left"/>
              <w:rPr/>
            </w:pPr>
            <w:r>
              <w:rPr/>
              <w:t> </w:t>
            </w:r>
          </w:p>
        </w:tc>
      </w:tr>
      <w:tr>
        <w:trPr/>
        <w:tc>
          <w:tcPr>
            <w:tcW w:w="3230" w:type="dxa"/>
            <w:tcBorders/>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and amortization expense</w:t>
            </w:r>
          </w:p>
        </w:tc>
        <w:tc>
          <w:tcPr>
            <w:tcW w:w="90" w:type="dxa"/>
            <w:tcBorders/>
            <w:tcMar>
              <w:bottom w:w="0" w:type="dxa"/>
            </w:tcMar>
            <w:vAlign w:val="bottom"/>
          </w:tcPr>
          <w:p>
            <w:pPr>
              <w:pStyle w:val="TableContents"/>
              <w:bidi w:val="0"/>
              <w:spacing w:before="0" w:after="283"/>
              <w:jc w:val="right"/>
              <w:rPr/>
            </w:pPr>
            <w:r>
              <w:rPr/>
              <w:t> </w:t>
            </w:r>
          </w:p>
        </w:tc>
        <w:tc>
          <w:tcPr>
            <w:tcW w:w="276" w:type="dxa"/>
            <w:tcBorders/>
            <w:tcMar>
              <w:bottom w:w="0" w:type="dxa"/>
            </w:tcMar>
            <w:vAlign w:val="bottom"/>
          </w:tcPr>
          <w:p>
            <w:pPr>
              <w:pStyle w:val="TableContents"/>
              <w:bidi w:val="0"/>
              <w:spacing w:before="0" w:after="283"/>
              <w:jc w:val="left"/>
              <w:rPr/>
            </w:pPr>
            <w:r>
              <w:rPr/>
              <w:t> </w:t>
            </w:r>
          </w:p>
        </w:tc>
        <w:tc>
          <w:tcPr>
            <w:tcW w:w="1349" w:type="dxa"/>
            <w:tcBorders/>
            <w:tcMar>
              <w:bottom w:w="0" w:type="dxa"/>
            </w:tcMar>
            <w:vAlign w:val="bottom"/>
          </w:tcPr>
          <w:p>
            <w:pPr>
              <w:pStyle w:val="TableContents"/>
              <w:bidi w:val="0"/>
              <w:spacing w:before="0" w:after="283"/>
              <w:jc w:val="right"/>
              <w:rPr/>
            </w:pPr>
            <w:r>
              <w:rPr/>
              <w:t>4,218</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83" w:type="dxa"/>
            <w:tcBorders/>
            <w:tcMar>
              <w:bottom w:w="0" w:type="dxa"/>
            </w:tcMar>
            <w:vAlign w:val="bottom"/>
          </w:tcPr>
          <w:p>
            <w:pPr>
              <w:pStyle w:val="TableContents"/>
              <w:bidi w:val="0"/>
              <w:spacing w:before="0" w:after="283"/>
              <w:jc w:val="left"/>
              <w:rPr/>
            </w:pPr>
            <w:r>
              <w:rPr/>
              <w:t> </w:t>
            </w:r>
          </w:p>
        </w:tc>
        <w:tc>
          <w:tcPr>
            <w:tcW w:w="1311" w:type="dxa"/>
            <w:tcBorders/>
            <w:tcMar>
              <w:bottom w:w="0" w:type="dxa"/>
            </w:tcMar>
            <w:vAlign w:val="bottom"/>
          </w:tcPr>
          <w:p>
            <w:pPr>
              <w:pStyle w:val="TableContents"/>
              <w:bidi w:val="0"/>
              <w:spacing w:before="0" w:after="283"/>
              <w:jc w:val="right"/>
              <w:rPr/>
            </w:pPr>
            <w:r>
              <w:rPr/>
              <w:t>1,273</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70" w:type="dxa"/>
            <w:tcBorders/>
            <w:tcMar>
              <w:bottom w:w="0" w:type="dxa"/>
            </w:tcMar>
            <w:vAlign w:val="bottom"/>
          </w:tcPr>
          <w:p>
            <w:pPr>
              <w:pStyle w:val="TableContents"/>
              <w:bidi w:val="0"/>
              <w:spacing w:before="0" w:after="283"/>
              <w:jc w:val="left"/>
              <w:rPr/>
            </w:pPr>
            <w:r>
              <w:rPr/>
              <w:t> </w:t>
            </w:r>
          </w:p>
        </w:tc>
        <w:tc>
          <w:tcPr>
            <w:tcW w:w="785" w:type="dxa"/>
            <w:tcBorders/>
            <w:tcMar>
              <w:bottom w:w="0" w:type="dxa"/>
            </w:tcMar>
            <w:vAlign w:val="bottom"/>
          </w:tcPr>
          <w:p>
            <w:pPr>
              <w:pStyle w:val="TableContents"/>
              <w:bidi w:val="0"/>
              <w:spacing w:before="0" w:after="283"/>
              <w:jc w:val="right"/>
              <w:rPr/>
            </w:pPr>
            <w:r>
              <w:rPr/>
              <w:t>5</w:t>
            </w:r>
          </w:p>
        </w:tc>
        <w:tc>
          <w:tcPr>
            <w:tcW w:w="12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197" w:type="dxa"/>
            <w:tcBorders/>
            <w:tcMar>
              <w:bottom w:w="0" w:type="dxa"/>
            </w:tcMar>
            <w:vAlign w:val="bottom"/>
          </w:tcPr>
          <w:p>
            <w:pPr>
              <w:pStyle w:val="TableContents"/>
              <w:bidi w:val="0"/>
              <w:spacing w:before="0" w:after="283"/>
              <w:jc w:val="left"/>
              <w:rPr/>
            </w:pPr>
            <w:r>
              <w:rPr/>
              <w:t> </w:t>
            </w:r>
          </w:p>
        </w:tc>
        <w:tc>
          <w:tcPr>
            <w:tcW w:w="963" w:type="dxa"/>
            <w:tcBorders/>
            <w:tcMar>
              <w:bottom w:w="0" w:type="dxa"/>
            </w:tcMar>
            <w:vAlign w:val="bottom"/>
          </w:tcPr>
          <w:p>
            <w:pPr>
              <w:pStyle w:val="TableContents"/>
              <w:bidi w:val="0"/>
              <w:spacing w:before="0" w:after="283"/>
              <w:jc w:val="right"/>
              <w:rPr/>
            </w:pPr>
            <w:r>
              <w:rPr/>
              <w:t>5,496</w:t>
            </w:r>
          </w:p>
        </w:tc>
        <w:tc>
          <w:tcPr>
            <w:tcW w:w="155" w:type="dxa"/>
            <w:tcBorders/>
            <w:tcMar>
              <w:bottom w:w="0" w:type="dxa"/>
            </w:tcMar>
            <w:vAlign w:val="bottom"/>
          </w:tcPr>
          <w:p>
            <w:pPr>
              <w:pStyle w:val="TableContents"/>
              <w:bidi w:val="0"/>
              <w:spacing w:before="0" w:after="283"/>
              <w:jc w:val="left"/>
              <w:rPr/>
            </w:pPr>
            <w:r>
              <w:rPr/>
              <w:t> </w:t>
            </w:r>
          </w:p>
        </w:tc>
      </w:tr>
      <w:tr>
        <w:trPr/>
        <w:tc>
          <w:tcPr>
            <w:tcW w:w="3230" w:type="dxa"/>
            <w:tcBorders/>
            <w:shd w:fill="CCEEFF" w:val="clear"/>
            <w:tcMar>
              <w:bottom w:w="0"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76" w:type="dxa"/>
            <w:tcBorders/>
            <w:shd w:fill="CCEEFF" w:val="clear"/>
            <w:tcMar>
              <w:bottom w:w="0" w:type="dxa"/>
            </w:tcMar>
            <w:vAlign w:val="bottom"/>
          </w:tcPr>
          <w:p>
            <w:pPr>
              <w:pStyle w:val="TableContents"/>
              <w:bidi w:val="0"/>
              <w:spacing w:before="0" w:after="283"/>
              <w:jc w:val="left"/>
              <w:rPr/>
            </w:pPr>
            <w:r>
              <w:rPr/>
              <w:t> </w:t>
            </w:r>
          </w:p>
        </w:tc>
        <w:tc>
          <w:tcPr>
            <w:tcW w:w="1349" w:type="dxa"/>
            <w:tcBorders/>
            <w:shd w:fill="CCEEFF" w:val="clear"/>
            <w:tcMar>
              <w:bottom w:w="0" w:type="dxa"/>
            </w:tcMar>
            <w:vAlign w:val="bottom"/>
          </w:tcPr>
          <w:p>
            <w:pPr>
              <w:pStyle w:val="TableContents"/>
              <w:bidi w:val="0"/>
              <w:spacing w:before="0" w:after="283"/>
              <w:jc w:val="right"/>
              <w:rPr/>
            </w:pPr>
            <w:r>
              <w:rPr/>
              <w:t>208,391</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83" w:type="dxa"/>
            <w:tcBorders/>
            <w:shd w:fill="CCEEFF" w:val="clear"/>
            <w:tcMar>
              <w:bottom w:w="0" w:type="dxa"/>
            </w:tcMar>
            <w:vAlign w:val="bottom"/>
          </w:tcPr>
          <w:p>
            <w:pPr>
              <w:pStyle w:val="TableContents"/>
              <w:bidi w:val="0"/>
              <w:spacing w:before="0" w:after="283"/>
              <w:jc w:val="left"/>
              <w:rPr/>
            </w:pPr>
            <w:r>
              <w:rPr/>
              <w:t> </w:t>
            </w:r>
          </w:p>
        </w:tc>
        <w:tc>
          <w:tcPr>
            <w:tcW w:w="1311" w:type="dxa"/>
            <w:tcBorders/>
            <w:shd w:fill="CCEEFF" w:val="clear"/>
            <w:tcMar>
              <w:bottom w:w="0" w:type="dxa"/>
            </w:tcMar>
            <w:vAlign w:val="bottom"/>
          </w:tcPr>
          <w:p>
            <w:pPr>
              <w:pStyle w:val="TableContents"/>
              <w:bidi w:val="0"/>
              <w:spacing w:before="0" w:after="283"/>
              <w:jc w:val="right"/>
              <w:rPr/>
            </w:pPr>
            <w:r>
              <w:rPr/>
              <w:t>24,682</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785" w:type="dxa"/>
            <w:tcBorders/>
            <w:shd w:fill="CCEEFF" w:val="clear"/>
            <w:tcMar>
              <w:bottom w:w="0" w:type="dxa"/>
            </w:tcMar>
            <w:vAlign w:val="bottom"/>
          </w:tcPr>
          <w:p>
            <w:pPr>
              <w:pStyle w:val="TableContents"/>
              <w:bidi w:val="0"/>
              <w:spacing w:before="0" w:after="283"/>
              <w:jc w:val="right"/>
              <w:rPr/>
            </w:pPr>
            <w:r>
              <w:rPr/>
              <w:t>43,180</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963" w:type="dxa"/>
            <w:tcBorders/>
            <w:shd w:fill="CCEEFF" w:val="clear"/>
            <w:tcMar>
              <w:bottom w:w="0" w:type="dxa"/>
            </w:tcMar>
            <w:vAlign w:val="bottom"/>
          </w:tcPr>
          <w:p>
            <w:pPr>
              <w:pStyle w:val="TableContents"/>
              <w:bidi w:val="0"/>
              <w:spacing w:before="0" w:after="283"/>
              <w:jc w:val="right"/>
              <w:rPr/>
            </w:pPr>
            <w:r>
              <w:rPr/>
              <w:t>276,253</w:t>
            </w:r>
          </w:p>
        </w:tc>
        <w:tc>
          <w:tcPr>
            <w:tcW w:w="15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3220" w:type="dxa"/>
        <w:jc w:val="left"/>
        <w:tblInd w:w="0" w:type="dxa"/>
        <w:tblLayout w:type="fixed"/>
        <w:tblCellMar>
          <w:top w:w="0" w:type="dxa"/>
          <w:left w:w="0" w:type="dxa"/>
          <w:bottom w:w="0" w:type="dxa"/>
          <w:right w:w="0" w:type="dxa"/>
        </w:tblCellMar>
      </w:tblPr>
      <w:tblGrid>
        <w:gridCol w:w="290"/>
        <w:gridCol w:w="2930"/>
      </w:tblGrid>
      <w:tr>
        <w:trPr/>
        <w:tc>
          <w:tcPr>
            <w:tcW w:w="290" w:type="dxa"/>
            <w:tcBorders/>
            <w:vAlign w:val="center"/>
          </w:tcPr>
          <w:p>
            <w:pPr>
              <w:pStyle w:val="TableContents"/>
              <w:bidi w:val="0"/>
              <w:spacing w:before="0" w:after="0"/>
              <w:ind w:left="0" w:right="0" w:hanging="0"/>
              <w:jc w:val="left"/>
              <w:rPr/>
            </w:pPr>
            <w:r>
              <w:rPr>
                <w:rStyle w:val="StrongEmphasis"/>
                <w:rFonts w:ascii="Times New Roman" w:hAnsi="Times New Roman"/>
                <w:sz w:val="20"/>
              </w:rPr>
              <w:t>14.</w:t>
            </w:r>
          </w:p>
        </w:tc>
        <w:tc>
          <w:tcPr>
            <w:tcW w:w="2930" w:type="dxa"/>
            <w:tcBorders/>
            <w:vAlign w:val="center"/>
          </w:tcPr>
          <w:p>
            <w:pPr>
              <w:pStyle w:val="TableContents"/>
              <w:bidi w:val="0"/>
              <w:spacing w:before="0" w:after="0"/>
              <w:ind w:left="0" w:right="0" w:hanging="0"/>
              <w:jc w:val="left"/>
              <w:rPr/>
            </w:pPr>
            <w:r>
              <w:rPr>
                <w:rStyle w:val="StrongEmphasis"/>
                <w:rFonts w:ascii="Times New Roman" w:hAnsi="Times New Roman"/>
                <w:b/>
                <w:i w:val="false"/>
                <w:caps w:val="false"/>
                <w:smallCaps w:val="false"/>
                <w:color w:val="000000"/>
                <w:sz w:val="20"/>
                <w:u w:val="single"/>
                <w:shd w:fill="FFFFFF" w:val="clear"/>
              </w:rPr>
              <w:t>OTHER EMPLOYEE BENEFITS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sponsors a 401(k) savings plan. Under the plan, employees may make contributions which are eligible for a Company discretionary percentage contribution as defined in the plan and determined by the Board. The Company recognized $1.3 million, $1.3 million and $1.1 million of related compensation expense for the years ended December 31, 2023, 2022 and 2021, respectively.</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F-27</w:t>
      </w:r>
    </w:p>
    <w:p>
      <w:pPr>
        <w:pStyle w:val="HorizontalLine"/>
        <w:bidi w:val="0"/>
        <w:spacing w:before="200" w:after="200"/>
        <w:jc w:val="left"/>
        <w:rPr/>
      </w:pPr>
      <w:r>
        <w:rPr/>
      </w:r>
    </w:p>
    <w:p>
      <w:pPr>
        <w:pStyle w:val="TextBody"/>
        <w:bidi w:val="0"/>
        <w:spacing w:before="200" w:after="200"/>
        <w:jc w:val="left"/>
        <w:rPr/>
      </w:pPr>
      <w:hyperlink w:anchor="ADMABIOLOGICSINC.">
        <w:r>
          <w:rPr>
            <w:rStyle w:val="InternetLink"/>
            <w:rFonts w:ascii="Times New Roman" w:hAnsi="Times New Roman"/>
            <w:b w:val="false"/>
            <w:i/>
            <w:caps w:val="false"/>
            <w:smallCaps w:val="false"/>
            <w:color w:val="000000"/>
            <w:sz w:val="16"/>
            <w:shd w:fill="FFFFFF" w:val="clear"/>
          </w:rPr>
          <w:t>Table of Contents</w:t>
        </w:r>
      </w:hyperlink>
    </w:p>
    <w:tbl>
      <w:tblPr>
        <w:tblW w:w="6220" w:type="dxa"/>
        <w:jc w:val="left"/>
        <w:tblInd w:w="0" w:type="dxa"/>
        <w:tblLayout w:type="fixed"/>
        <w:tblCellMar>
          <w:top w:w="0" w:type="dxa"/>
          <w:left w:w="0" w:type="dxa"/>
          <w:bottom w:w="0" w:type="dxa"/>
          <w:right w:w="0" w:type="dxa"/>
        </w:tblCellMar>
      </w:tblPr>
      <w:tblGrid>
        <w:gridCol w:w="290"/>
        <w:gridCol w:w="5930"/>
      </w:tblGrid>
      <w:tr>
        <w:trPr/>
        <w:tc>
          <w:tcPr>
            <w:tcW w:w="290" w:type="dxa"/>
            <w:tcBorders/>
            <w:vAlign w:val="center"/>
          </w:tcPr>
          <w:p>
            <w:pPr>
              <w:pStyle w:val="TableContents"/>
              <w:bidi w:val="0"/>
              <w:spacing w:before="0" w:after="0"/>
              <w:ind w:left="0" w:right="0" w:hanging="0"/>
              <w:jc w:val="left"/>
              <w:rPr/>
            </w:pPr>
            <w:r>
              <w:rPr>
                <w:rStyle w:val="StrongEmphasis"/>
                <w:rFonts w:ascii="Times New Roman" w:hAnsi="Times New Roman"/>
                <w:sz w:val="20"/>
              </w:rPr>
              <w:t>15.</w:t>
            </w:r>
          </w:p>
        </w:tc>
        <w:tc>
          <w:tcPr>
            <w:tcW w:w="5930" w:type="dxa"/>
            <w:tcBorders/>
            <w:vAlign w:val="center"/>
          </w:tcPr>
          <w:p>
            <w:pPr>
              <w:pStyle w:val="TableContents"/>
              <w:bidi w:val="0"/>
              <w:spacing w:before="0" w:after="0"/>
              <w:ind w:left="0" w:right="0" w:hanging="0"/>
              <w:jc w:val="left"/>
              <w:rPr/>
            </w:pPr>
            <w:r>
              <w:rPr>
                <w:rStyle w:val="StrongEmphasis"/>
                <w:rFonts w:ascii="Times New Roman" w:hAnsi="Times New Roman"/>
                <w:b/>
                <w:i w:val="false"/>
                <w:caps w:val="false"/>
                <w:smallCaps w:val="false"/>
                <w:color w:val="000000"/>
                <w:sz w:val="20"/>
                <w:u w:val="single"/>
                <w:shd w:fill="FFFFFF" w:val="clear"/>
              </w:rPr>
              <w:t>SUPPLEMENTAL DISCLOSURE OF CASH FLOW INFORMATION</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Supplemental cash flow information for the years ended December 31, 2023, 2022 and 2021 is as follows:</w:t>
      </w:r>
    </w:p>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xml:space="preserve">  </w:t>
      </w:r>
    </w:p>
    <w:tbl>
      <w:tblPr>
        <w:tblW w:w="9170" w:type="dxa"/>
        <w:jc w:val="left"/>
        <w:tblInd w:w="0" w:type="dxa"/>
        <w:tblLayout w:type="fixed"/>
        <w:tblCellMar>
          <w:top w:w="0" w:type="dxa"/>
          <w:left w:w="0" w:type="dxa"/>
          <w:bottom w:w="0" w:type="dxa"/>
          <w:right w:w="0" w:type="dxa"/>
        </w:tblCellMar>
      </w:tblPr>
      <w:tblGrid>
        <w:gridCol w:w="5960"/>
        <w:gridCol w:w="90"/>
        <w:gridCol w:w="170"/>
        <w:gridCol w:w="710"/>
        <w:gridCol w:w="90"/>
        <w:gridCol w:w="90"/>
        <w:gridCol w:w="170"/>
        <w:gridCol w:w="710"/>
        <w:gridCol w:w="90"/>
        <w:gridCol w:w="90"/>
        <w:gridCol w:w="170"/>
        <w:gridCol w:w="710"/>
        <w:gridCol w:w="120"/>
      </w:tblGrid>
      <w:tr>
        <w:trPr/>
        <w:tc>
          <w:tcPr>
            <w:tcW w:w="5960" w:type="dxa"/>
            <w:tcBorders/>
            <w:vAlign w:val="bottom"/>
          </w:tcPr>
          <w:p>
            <w:pPr>
              <w:pStyle w:val="TableContents"/>
              <w:bidi w:val="0"/>
              <w:spacing w:before="0" w:after="0"/>
              <w:ind w:left="0" w:right="0" w:hanging="0"/>
              <w:jc w:val="left"/>
              <w:rPr/>
            </w:pPr>
            <w:r>
              <w:rPr/>
              <w:t> </w:t>
            </w:r>
          </w:p>
        </w:tc>
        <w:tc>
          <w:tcPr>
            <w:tcW w:w="90" w:type="dxa"/>
            <w:tcBorders/>
            <w:vAlign w:val="bottom"/>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2021 </w:t>
            </w:r>
          </w:p>
        </w:tc>
        <w:tc>
          <w:tcPr>
            <w:tcW w:w="120" w:type="dxa"/>
            <w:tcBorders/>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00" w:type="dxa"/>
            <w:gridSpan w:val="10"/>
            <w:tcBorders/>
            <w:vAlign w:val="bottom"/>
          </w:tcPr>
          <w:p>
            <w:pPr>
              <w:pStyle w:val="TableContents"/>
              <w:bidi w:val="0"/>
              <w:spacing w:before="0" w:after="283"/>
              <w:jc w:val="center"/>
              <w:rPr>
                <w:i/>
              </w:rPr>
            </w:pPr>
            <w:r>
              <w:rPr>
                <w:i/>
              </w:rPr>
              <w:t>(In thousands)</w:t>
            </w:r>
          </w:p>
        </w:tc>
        <w:tc>
          <w:tcPr>
            <w:tcW w:w="120" w:type="dxa"/>
            <w:tcBorders/>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0"/>
              <w:ind w:left="0" w:right="0" w:hanging="0"/>
              <w:jc w:val="left"/>
              <w:rPr/>
            </w:pPr>
            <w:r>
              <w:rPr>
                <w:rStyle w:val="StrongEmphasis"/>
                <w:rFonts w:ascii="Times New Roman" w:hAnsi="Times New Roman"/>
                <w:sz w:val="20"/>
              </w:rPr>
              <w:t>SUPPLEMENTAL CASH FLOW INFORMATION:</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5960" w:type="dxa"/>
            <w:tcBorders/>
            <w:shd w:fill="CCEEFF" w:val="clear"/>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Cash paid for interest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283"/>
              <w:jc w:val="right"/>
              <w:rPr/>
            </w:pPr>
            <w:r>
              <w:rPr/>
              <w:t>18,051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283"/>
              <w:jc w:val="right"/>
              <w:rPr/>
            </w:pPr>
            <w:r>
              <w:rPr/>
              <w:t>13,880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283"/>
              <w:jc w:val="right"/>
              <w:rPr/>
            </w:pPr>
            <w:r>
              <w:rPr/>
              <w:t>11,159</w:t>
            </w:r>
          </w:p>
        </w:tc>
        <w:tc>
          <w:tcPr>
            <w:tcW w:w="120" w:type="dxa"/>
            <w:tcBorders/>
            <w:shd w:fill="CCEEFF" w:val="clear"/>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0"/>
              <w:ind w:left="0" w:right="0" w:hanging="0"/>
              <w:jc w:val="left"/>
              <w:rPr/>
            </w:pPr>
            <w:r>
              <w:rPr>
                <w:rStyle w:val="StrongEmphasis"/>
                <w:rFonts w:ascii="Times New Roman" w:hAnsi="Times New Roman"/>
                <w:sz w:val="20"/>
              </w:rPr>
              <w:t>Noncash Financing and Investing Activities: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5960" w:type="dxa"/>
            <w:tcBorders/>
            <w:shd w:fill="CCEEFF" w:val="clear"/>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Equipment acquired reflected in accounts payable and accrued liabilities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710" w:type="dxa"/>
            <w:tcBorders>
              <w:bottom w:val="double" w:sz="6" w:space="0" w:color="000000"/>
            </w:tcBorders>
            <w:shd w:fill="CCEEFF" w:val="clear"/>
            <w:tcMar>
              <w:bottom w:w="45" w:type="dxa"/>
            </w:tcMar>
            <w:vAlign w:val="bottom"/>
          </w:tcPr>
          <w:p>
            <w:pPr>
              <w:pStyle w:val="TableContents"/>
              <w:bidi w:val="0"/>
              <w:spacing w:before="0" w:after="283"/>
              <w:jc w:val="right"/>
              <w:rPr/>
            </w:pPr>
            <w:r>
              <w:rPr/>
              <w:t>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710" w:type="dxa"/>
            <w:tcBorders>
              <w:bottom w:val="double" w:sz="6" w:space="0" w:color="000000"/>
            </w:tcBorders>
            <w:shd w:fill="CCEEFF" w:val="clear"/>
            <w:tcMar>
              <w:bottom w:w="45" w:type="dxa"/>
            </w:tcMar>
            <w:vAlign w:val="bottom"/>
          </w:tcPr>
          <w:p>
            <w:pPr>
              <w:pStyle w:val="TableContents"/>
              <w:bidi w:val="0"/>
              <w:spacing w:before="0" w:after="283"/>
              <w:jc w:val="right"/>
              <w:rPr/>
            </w:pPr>
            <w:r>
              <w:rPr/>
              <w:t>1,495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710" w:type="dxa"/>
            <w:tcBorders>
              <w:bottom w:val="double" w:sz="6" w:space="0" w:color="000000"/>
            </w:tcBorders>
            <w:shd w:fill="CCEEFF" w:val="clear"/>
            <w:tcMar>
              <w:bottom w:w="45" w:type="dxa"/>
            </w:tcMar>
            <w:vAlign w:val="bottom"/>
          </w:tcPr>
          <w:p>
            <w:pPr>
              <w:pStyle w:val="TableContents"/>
              <w:bidi w:val="0"/>
              <w:spacing w:before="0" w:after="283"/>
              <w:jc w:val="right"/>
              <w:rPr/>
            </w:pPr>
            <w:r>
              <w:rPr/>
              <w:t>1,353</w:t>
            </w:r>
          </w:p>
        </w:tc>
        <w:tc>
          <w:tcPr>
            <w:tcW w:w="120" w:type="dxa"/>
            <w:tcBorders/>
            <w:shd w:fill="CCEEFF" w:val="clear"/>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Right-to-use assets in exchange for lease obligations</w:t>
            </w:r>
          </w:p>
        </w:tc>
        <w:tc>
          <w:tcPr>
            <w:tcW w:w="90" w:type="dxa"/>
            <w:tcBorders/>
            <w:vAlign w:val="bottom"/>
          </w:tcPr>
          <w:p>
            <w:pPr>
              <w:pStyle w:val="TableContents"/>
              <w:bidi w:val="0"/>
              <w:spacing w:before="0" w:after="283"/>
              <w:jc w:val="right"/>
              <w:rPr/>
            </w:pPr>
            <w:r>
              <w:rPr/>
              <w:t> </w:t>
            </w:r>
          </w:p>
        </w:tc>
        <w:tc>
          <w:tcPr>
            <w:tcW w:w="170" w:type="dxa"/>
            <w:tcBorders>
              <w:bottom w:val="double" w:sz="6" w:space="0" w:color="000000"/>
            </w:tcBorders>
            <w:tcMar>
              <w:bottom w:w="45" w:type="dxa"/>
            </w:tcMar>
            <w:vAlign w:val="bottom"/>
          </w:tcPr>
          <w:p>
            <w:pPr>
              <w:pStyle w:val="TableContents"/>
              <w:bidi w:val="0"/>
              <w:spacing w:before="0" w:after="283"/>
              <w:jc w:val="left"/>
              <w:rPr/>
            </w:pPr>
            <w:r>
              <w:rPr/>
              <w:t>$</w:t>
            </w:r>
          </w:p>
        </w:tc>
        <w:tc>
          <w:tcPr>
            <w:tcW w:w="710" w:type="dxa"/>
            <w:tcBorders>
              <w:bottom w:val="double" w:sz="6" w:space="0" w:color="000000"/>
            </w:tcBorders>
            <w:tcMar>
              <w:bottom w:w="45" w:type="dxa"/>
            </w:tcMar>
            <w:vAlign w:val="bottom"/>
          </w:tcPr>
          <w:p>
            <w:pPr>
              <w:pStyle w:val="TableContents"/>
              <w:bidi w:val="0"/>
              <w:spacing w:before="0" w:after="283"/>
              <w:jc w:val="right"/>
              <w:rPr/>
            </w:pPr>
            <w:r>
              <w:rPr/>
              <w:t>130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6" w:space="0" w:color="000000"/>
            </w:tcBorders>
            <w:tcMar>
              <w:bottom w:w="45" w:type="dxa"/>
            </w:tcMar>
            <w:vAlign w:val="bottom"/>
          </w:tcPr>
          <w:p>
            <w:pPr>
              <w:pStyle w:val="TableContents"/>
              <w:bidi w:val="0"/>
              <w:spacing w:before="0" w:after="283"/>
              <w:jc w:val="left"/>
              <w:rPr/>
            </w:pPr>
            <w:r>
              <w:rPr/>
              <w:t>$</w:t>
            </w:r>
          </w:p>
        </w:tc>
        <w:tc>
          <w:tcPr>
            <w:tcW w:w="710" w:type="dxa"/>
            <w:tcBorders>
              <w:bottom w:val="double" w:sz="6" w:space="0" w:color="000000"/>
            </w:tcBorders>
            <w:tcMar>
              <w:bottom w:w="45" w:type="dxa"/>
            </w:tcMar>
            <w:vAlign w:val="bottom"/>
          </w:tcPr>
          <w:p>
            <w:pPr>
              <w:pStyle w:val="TableContents"/>
              <w:bidi w:val="0"/>
              <w:spacing w:before="0" w:after="283"/>
              <w:jc w:val="right"/>
              <w:rPr/>
            </w:pPr>
            <w:r>
              <w:rPr/>
              <w:t>4,048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6" w:space="0" w:color="000000"/>
            </w:tcBorders>
            <w:tcMar>
              <w:bottom w:w="45" w:type="dxa"/>
            </w:tcMar>
            <w:vAlign w:val="bottom"/>
          </w:tcPr>
          <w:p>
            <w:pPr>
              <w:pStyle w:val="TableContents"/>
              <w:bidi w:val="0"/>
              <w:spacing w:before="0" w:after="283"/>
              <w:jc w:val="left"/>
              <w:rPr/>
            </w:pPr>
            <w:r>
              <w:rPr/>
              <w:t>$</w:t>
            </w:r>
          </w:p>
        </w:tc>
        <w:tc>
          <w:tcPr>
            <w:tcW w:w="710" w:type="dxa"/>
            <w:tcBorders>
              <w:bottom w:val="double" w:sz="6" w:space="0" w:color="000000"/>
            </w:tcBorders>
            <w:tcMar>
              <w:bottom w:w="45" w:type="dxa"/>
            </w:tcMar>
            <w:vAlign w:val="bottom"/>
          </w:tcPr>
          <w:p>
            <w:pPr>
              <w:pStyle w:val="TableContents"/>
              <w:bidi w:val="0"/>
              <w:spacing w:before="0" w:after="283"/>
              <w:jc w:val="right"/>
              <w:rPr/>
            </w:pPr>
            <w:r>
              <w:rPr/>
              <w:t>3,554</w:t>
            </w:r>
          </w:p>
        </w:tc>
        <w:tc>
          <w:tcPr>
            <w:tcW w:w="120" w:type="dxa"/>
            <w:tcBorders/>
            <w:vAlign w:val="bottom"/>
          </w:tcPr>
          <w:p>
            <w:pPr>
              <w:pStyle w:val="TableContents"/>
              <w:bidi w:val="0"/>
              <w:spacing w:before="0" w:after="283"/>
              <w:jc w:val="left"/>
              <w:rPr/>
            </w:pPr>
            <w:r>
              <w:rPr/>
              <w:t> </w:t>
            </w:r>
          </w:p>
        </w:tc>
      </w:tr>
      <w:tr>
        <w:trPr/>
        <w:tc>
          <w:tcPr>
            <w:tcW w:w="5960" w:type="dxa"/>
            <w:tcBorders/>
            <w:shd w:fill="CCEEFF" w:val="clear"/>
            <w:vAlign w:val="bottom"/>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Warrants issued in connection with notes payable</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710" w:type="dxa"/>
            <w:tcBorders>
              <w:bottom w:val="double" w:sz="6" w:space="0" w:color="000000"/>
            </w:tcBorders>
            <w:shd w:fill="CCEEFF" w:val="clear"/>
            <w:tcMar>
              <w:bottom w:w="45" w:type="dxa"/>
            </w:tcMar>
            <w:vAlign w:val="bottom"/>
          </w:tcPr>
          <w:p>
            <w:pPr>
              <w:pStyle w:val="TableContents"/>
              <w:bidi w:val="0"/>
              <w:spacing w:before="0" w:after="283"/>
              <w:jc w:val="right"/>
              <w:rPr/>
            </w:pPr>
            <w:r>
              <w:rPr/>
              <w:t>5,595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710" w:type="dxa"/>
            <w:tcBorders>
              <w:bottom w:val="double" w:sz="6" w:space="0" w:color="000000"/>
            </w:tcBorders>
            <w:shd w:fill="CCEEFF" w:val="clear"/>
            <w:tcMar>
              <w:bottom w:w="45" w:type="dxa"/>
            </w:tcMar>
            <w:vAlign w:val="bottom"/>
          </w:tcPr>
          <w:p>
            <w:pPr>
              <w:pStyle w:val="TableContents"/>
              <w:bidi w:val="0"/>
              <w:spacing w:before="0" w:after="283"/>
              <w:jc w:val="right"/>
              <w:rPr/>
            </w:pPr>
            <w:r>
              <w:rPr/>
              <w:t>9,570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6" w:space="0" w:color="000000"/>
            </w:tcBorders>
            <w:shd w:fill="CCEEFF" w:val="clear"/>
            <w:tcMar>
              <w:bottom w:w="45" w:type="dxa"/>
            </w:tcMar>
            <w:vAlign w:val="bottom"/>
          </w:tcPr>
          <w:p>
            <w:pPr>
              <w:pStyle w:val="TableContents"/>
              <w:bidi w:val="0"/>
              <w:spacing w:before="0" w:after="283"/>
              <w:jc w:val="left"/>
              <w:rPr/>
            </w:pPr>
            <w:r>
              <w:rPr/>
              <w:t>$</w:t>
            </w:r>
          </w:p>
        </w:tc>
        <w:tc>
          <w:tcPr>
            <w:tcW w:w="710" w:type="dxa"/>
            <w:tcBorders>
              <w:bottom w:val="double" w:sz="6" w:space="0" w:color="000000"/>
            </w:tcBorders>
            <w:shd w:fill="CCEEFF" w:val="clear"/>
            <w:tcMar>
              <w:bottom w:w="45" w:type="dxa"/>
            </w:tcMar>
            <w:vAlign w:val="bottom"/>
          </w:tcPr>
          <w:p>
            <w:pPr>
              <w:pStyle w:val="TableContents"/>
              <w:bidi w:val="0"/>
              <w:spacing w:before="0" w:after="283"/>
              <w:jc w:val="right"/>
              <w:rPr/>
            </w:pPr>
            <w:r>
              <w:rPr/>
              <w:t>-</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tbl>
      <w:tblPr>
        <w:tblW w:w="2155" w:type="dxa"/>
        <w:jc w:val="left"/>
        <w:tblInd w:w="0" w:type="dxa"/>
        <w:tblLayout w:type="fixed"/>
        <w:tblCellMar>
          <w:top w:w="0" w:type="dxa"/>
          <w:left w:w="0" w:type="dxa"/>
          <w:bottom w:w="0" w:type="dxa"/>
          <w:right w:w="0" w:type="dxa"/>
        </w:tblCellMar>
      </w:tblPr>
      <w:tblGrid>
        <w:gridCol w:w="290"/>
        <w:gridCol w:w="1865"/>
      </w:tblGrid>
      <w:tr>
        <w:trPr/>
        <w:tc>
          <w:tcPr>
            <w:tcW w:w="290" w:type="dxa"/>
            <w:tcBorders/>
            <w:vAlign w:val="center"/>
          </w:tcPr>
          <w:p>
            <w:pPr>
              <w:pStyle w:val="TableContents"/>
              <w:bidi w:val="0"/>
              <w:spacing w:before="0" w:after="0"/>
              <w:ind w:left="0" w:right="0" w:hanging="0"/>
              <w:jc w:val="left"/>
              <w:rPr/>
            </w:pPr>
            <w:r>
              <w:rPr>
                <w:rStyle w:val="StrongEmphasis"/>
                <w:rFonts w:ascii="Times New Roman" w:hAnsi="Times New Roman"/>
                <w:sz w:val="20"/>
              </w:rPr>
              <w:t>16.</w:t>
            </w:r>
          </w:p>
        </w:tc>
        <w:tc>
          <w:tcPr>
            <w:tcW w:w="1865" w:type="dxa"/>
            <w:tcBorders/>
            <w:vAlign w:val="center"/>
          </w:tcPr>
          <w:p>
            <w:pPr>
              <w:pStyle w:val="TableContents"/>
              <w:bidi w:val="0"/>
              <w:spacing w:before="0" w:after="0"/>
              <w:ind w:left="0" w:right="0" w:hanging="0"/>
              <w:jc w:val="left"/>
              <w:rPr/>
            </w:pPr>
            <w:r>
              <w:rPr>
                <w:rStyle w:val="StrongEmphasis"/>
                <w:rFonts w:ascii="Times New Roman" w:hAnsi="Times New Roman"/>
                <w:b/>
                <w:i w:val="false"/>
                <w:caps w:val="false"/>
                <w:smallCaps w:val="false"/>
                <w:color w:val="000000"/>
                <w:sz w:val="20"/>
                <w:u w:val="single"/>
                <w:shd w:fill="FFFFFF" w:val="clear"/>
              </w:rPr>
              <w:t>CONCENTRATIONS</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Financial instruments that potentially subject the Company to concentrations of credit risk consist of cash and cash equivalents and accounts receivable. At December 31, 2023, five customers accounted for approximately 98% of the Company’s consolidated accounts receivable. At December 31, 2022, two customers accounted for approximately 92% of the Company’s consolidated accounts receivable.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For the year ended December 31, 2023, two customers accounted for approximately 72% of the Company’s consolidated revenues. For the year ended December 31, 2022, two customers accounted for approximately 74% of the Company’s consolidated revenues. For the year ended December 31, 2021, four customers </w:t>
      </w:r>
      <w:r>
        <w:rPr>
          <w:rFonts w:ascii="Times New Roman" w:hAnsi="Times New Roman"/>
          <w:b w:val="false"/>
          <w:i w:val="false"/>
          <w:caps w:val="false"/>
          <w:smallCaps w:val="false"/>
          <w:color w:val="000000"/>
          <w:spacing w:val="0"/>
          <w:sz w:val="20"/>
          <w:shd w:fill="FFFFFF" w:val="clear"/>
        </w:rPr>
        <w:t>accounted for approximately</w:t>
      </w:r>
      <w:r>
        <w:rPr>
          <w:rFonts w:ascii="Times New Roman" w:hAnsi="Times New Roman"/>
          <w:b w:val="false"/>
          <w:i w:val="false"/>
          <w:caps w:val="false"/>
          <w:smallCaps w:val="false"/>
          <w:color w:val="000000"/>
          <w:sz w:val="20"/>
          <w:shd w:fill="FFFFFF" w:val="clear"/>
        </w:rPr>
        <w:t xml:space="preserve"> 81% of the Company’s consolidated revenues. </w:t>
      </w:r>
    </w:p>
    <w:p>
      <w:pPr>
        <w:pStyle w:val="TextBody"/>
        <w:bidi w:val="0"/>
        <w:spacing w:before="0" w:after="0"/>
        <w:ind w:left="0" w:right="0" w:firstLine="675"/>
        <w:jc w:val="left"/>
        <w:rPr>
          <w:caps w:val="false"/>
          <w:smallCaps w:val="false"/>
          <w:color w:val="000000"/>
          <w:shd w:fill="FFFFFF" w:val="clear"/>
        </w:rPr>
      </w:pPr>
      <w:r>
        <w:rPr>
          <w:caps w:val="false"/>
          <w:smallCaps w:val="false"/>
          <w:color w:val="000000"/>
          <w:shd w:fill="FFFFFF" w:val="clear"/>
        </w:rPr>
        <w:t> </w:t>
      </w:r>
    </w:p>
    <w:p>
      <w:pPr>
        <w:pStyle w:val="TextBody"/>
        <w:widowControl/>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During the years ended December 31, 2023 and 2022, plasma purchases from Grifols totaled approximately $9.5 million and $47.7 million, respectively, or </w:t>
      </w:r>
      <w:r>
        <w:rPr>
          <w:rFonts w:ascii="Times New Roman" w:hAnsi="Times New Roman"/>
          <w:b w:val="false"/>
          <w:i w:val="false"/>
          <w:caps w:val="false"/>
          <w:smallCaps w:val="false"/>
          <w:color w:val="000000"/>
          <w:spacing w:val="0"/>
          <w:sz w:val="20"/>
          <w:shd w:fill="FFFFFF" w:val="clear"/>
        </w:rPr>
        <w:t xml:space="preserve">approximately </w:t>
      </w:r>
      <w:r>
        <w:rPr>
          <w:rFonts w:ascii="Times New Roman" w:hAnsi="Times New Roman"/>
          <w:b w:val="false"/>
          <w:i w:val="false"/>
          <w:caps w:val="false"/>
          <w:smallCaps w:val="false"/>
          <w:color w:val="000000"/>
          <w:sz w:val="20"/>
          <w:shd w:fill="FFFFFF" w:val="clear"/>
        </w:rPr>
        <w:t>21%  and 65%, respectively, of the Company’s total inventory purchases.</w:t>
      </w:r>
    </w:p>
    <w:p>
      <w:pPr>
        <w:pStyle w:val="TextBody"/>
        <w:bidi w:val="0"/>
        <w:spacing w:before="0" w:after="0"/>
        <w:ind w:left="0" w:right="0" w:firstLine="675"/>
        <w:jc w:val="left"/>
        <w:rPr/>
      </w:pPr>
      <w:r>
        <w:rPr/>
      </w:r>
    </w:p>
    <w:p>
      <w:pPr>
        <w:pStyle w:val="TextBody"/>
        <w:bidi w:val="0"/>
        <w:spacing w:before="0" w:after="0"/>
        <w:ind w:left="0" w:right="0" w:firstLine="675"/>
        <w:jc w:val="left"/>
        <w:rPr/>
      </w:pPr>
      <w:r>
        <w:rPr/>
      </w:r>
    </w:p>
    <w:p>
      <w:pPr>
        <w:pStyle w:val="TextBody"/>
        <w:bidi w:val="0"/>
        <w:spacing w:before="0" w:after="0"/>
        <w:ind w:left="0" w:right="0" w:firstLine="675"/>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Net revenues according to geographic area, based on the location of where the product is shipped, is as follows: </w:t>
      </w:r>
    </w:p>
    <w:p>
      <w:pPr>
        <w:pStyle w:val="TextBody"/>
        <w:bidi w:val="0"/>
        <w:spacing w:before="0" w:after="0"/>
        <w:jc w:val="left"/>
        <w:rPr/>
      </w:pPr>
      <w:r>
        <w:rPr/>
      </w:r>
    </w:p>
    <w:tbl>
      <w:tblPr>
        <w:tblW w:w="4550" w:type="dxa"/>
        <w:jc w:val="left"/>
        <w:tblInd w:w="0" w:type="dxa"/>
        <w:tblLayout w:type="fixed"/>
        <w:tblCellMar>
          <w:top w:w="0" w:type="dxa"/>
          <w:left w:w="0" w:type="dxa"/>
          <w:bottom w:w="0" w:type="dxa"/>
          <w:right w:w="0" w:type="dxa"/>
        </w:tblCellMar>
      </w:tblPr>
      <w:tblGrid>
        <w:gridCol w:w="1430"/>
        <w:gridCol w:w="60"/>
        <w:gridCol w:w="140"/>
        <w:gridCol w:w="800"/>
        <w:gridCol w:w="60"/>
        <w:gridCol w:w="60"/>
        <w:gridCol w:w="140"/>
        <w:gridCol w:w="800"/>
        <w:gridCol w:w="60"/>
        <w:gridCol w:w="60"/>
        <w:gridCol w:w="200"/>
        <w:gridCol w:w="680"/>
        <w:gridCol w:w="60"/>
      </w:tblGrid>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0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Years Ended December 31,</w:t>
            </w:r>
          </w:p>
        </w:tc>
        <w:tc>
          <w:tcPr>
            <w:tcW w:w="6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right"/>
              <w:rPr>
                <w:i/>
              </w:rPr>
            </w:pPr>
            <w:r>
              <w:rPr>
                <w:i/>
              </w:rPr>
              <w:t xml:space="preserve">(in thousands)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144" w:right="0" w:hanging="144"/>
              <w:jc w:val="left"/>
              <w:rPr/>
            </w:pPr>
            <w:r>
              <w:rPr/>
              <w:t>United States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244,881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146,427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680" w:type="dxa"/>
            <w:tcBorders/>
            <w:shd w:fill="CCEEFF" w:val="clear"/>
            <w:vAlign w:val="bottom"/>
          </w:tcPr>
          <w:p>
            <w:pPr>
              <w:pStyle w:val="TableContents"/>
              <w:bidi w:val="0"/>
              <w:spacing w:before="0" w:after="283"/>
              <w:jc w:val="right"/>
              <w:rPr/>
            </w:pPr>
            <w:r>
              <w:rPr/>
              <w:t>70,626</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144" w:right="0" w:hanging="144"/>
              <w:jc w:val="left"/>
              <w:rPr/>
            </w:pPr>
            <w:r>
              <w:rPr/>
              <w:t>International</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13,334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7,653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10,317</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324" w:right="0" w:hanging="144"/>
              <w:jc w:val="left"/>
              <w:rPr/>
            </w:pPr>
            <w:r>
              <w:rPr/>
              <w:t>Total revenues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258,215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154,080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80,943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Schedule II – Valuation and Qualifying Accounts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Years ended December 31, 2023, 2022 and 2021</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r>
    </w:p>
    <w:tbl>
      <w:tblPr>
        <w:tblW w:w="9117" w:type="dxa"/>
        <w:jc w:val="left"/>
        <w:tblInd w:w="0" w:type="dxa"/>
        <w:tblLayout w:type="fixed"/>
        <w:tblCellMar>
          <w:top w:w="0" w:type="dxa"/>
          <w:left w:w="0" w:type="dxa"/>
          <w:bottom w:w="0" w:type="dxa"/>
          <w:right w:w="0" w:type="dxa"/>
        </w:tblCellMar>
      </w:tblPr>
      <w:tblGrid>
        <w:gridCol w:w="3155"/>
        <w:gridCol w:w="60"/>
        <w:gridCol w:w="262"/>
        <w:gridCol w:w="1242"/>
        <w:gridCol w:w="60"/>
        <w:gridCol w:w="60"/>
        <w:gridCol w:w="245"/>
        <w:gridCol w:w="1169"/>
        <w:gridCol w:w="60"/>
        <w:gridCol w:w="60"/>
        <w:gridCol w:w="257"/>
        <w:gridCol w:w="258"/>
        <w:gridCol w:w="60"/>
        <w:gridCol w:w="60"/>
        <w:gridCol w:w="194"/>
        <w:gridCol w:w="756"/>
        <w:gridCol w:w="60"/>
        <w:gridCol w:w="60"/>
        <w:gridCol w:w="147"/>
        <w:gridCol w:w="817"/>
        <w:gridCol w:w="75"/>
      </w:tblGrid>
      <w:tr>
        <w:trPr/>
        <w:tc>
          <w:tcPr>
            <w:tcW w:w="3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Additions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right"/>
              <w:rPr>
                <w:i/>
              </w:rPr>
            </w:pPr>
            <w:r>
              <w:rPr>
                <w:i/>
              </w:rPr>
              <w:t>(in thousands)</w:t>
            </w:r>
          </w:p>
        </w:tc>
        <w:tc>
          <w:tcPr>
            <w:tcW w:w="60" w:type="dxa"/>
            <w:tcBorders/>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Balance at</w:t>
            </w:r>
          </w:p>
          <w:p>
            <w:pPr>
              <w:pStyle w:val="TableContents"/>
              <w:bidi w:val="0"/>
              <w:spacing w:before="0" w:after="0"/>
              <w:jc w:val="center"/>
              <w:rPr>
                <w:rFonts w:ascii="Times New Roman" w:hAnsi="Times New Roman"/>
                <w:b/>
                <w:sz w:val="20"/>
              </w:rPr>
            </w:pPr>
            <w:r>
              <w:rPr>
                <w:rFonts w:ascii="Times New Roman" w:hAnsi="Times New Roman"/>
                <w:b/>
                <w:sz w:val="20"/>
              </w:rPr>
              <w:t>beginning of 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Charged to costs</w:t>
            </w:r>
          </w:p>
          <w:p>
            <w:pPr>
              <w:pStyle w:val="TableContents"/>
              <w:bidi w:val="0"/>
              <w:spacing w:before="0" w:after="0"/>
              <w:jc w:val="center"/>
              <w:rPr>
                <w:rFonts w:ascii="Times New Roman" w:hAnsi="Times New Roman"/>
                <w:b/>
                <w:sz w:val="20"/>
              </w:rPr>
            </w:pPr>
            <w:r>
              <w:rPr>
                <w:rFonts w:ascii="Times New Roman" w:hAnsi="Times New Roman"/>
                <w:b/>
                <w:sz w:val="20"/>
              </w:rPr>
              <w:t>and expenses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Other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Deductions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Balance at</w:t>
            </w:r>
          </w:p>
          <w:p>
            <w:pPr>
              <w:pStyle w:val="TableContents"/>
              <w:bidi w:val="0"/>
              <w:spacing w:before="0" w:after="0"/>
              <w:jc w:val="center"/>
              <w:rPr>
                <w:rFonts w:ascii="Times New Roman" w:hAnsi="Times New Roman"/>
                <w:b/>
                <w:sz w:val="20"/>
              </w:rPr>
            </w:pPr>
            <w:r>
              <w:rPr>
                <w:rFonts w:ascii="Times New Roman" w:hAnsi="Times New Roman"/>
                <w:b/>
                <w:sz w:val="20"/>
              </w:rPr>
              <w:t>end of year</w:t>
            </w:r>
          </w:p>
        </w:tc>
        <w:tc>
          <w:tcPr>
            <w:tcW w:w="75" w:type="dxa"/>
            <w:tcBorders/>
            <w:vAlign w:val="bottom"/>
          </w:tcPr>
          <w:p>
            <w:pPr>
              <w:pStyle w:val="TableContents"/>
              <w:bidi w:val="0"/>
              <w:spacing w:before="0" w:after="283"/>
              <w:jc w:val="left"/>
              <w:rPr/>
            </w:pPr>
            <w:r>
              <w:rPr/>
              <w:t> </w:t>
            </w:r>
          </w:p>
        </w:tc>
      </w:tr>
      <w:tr>
        <w:trPr/>
        <w:tc>
          <w:tcPr>
            <w:tcW w:w="31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Year ended December 31, 2023</w:t>
            </w:r>
          </w:p>
        </w:tc>
        <w:tc>
          <w:tcPr>
            <w:tcW w:w="60" w:type="dxa"/>
            <w:tcBorders/>
            <w:vAlign w:val="bottom"/>
          </w:tcPr>
          <w:p>
            <w:pPr>
              <w:pStyle w:val="TableContents"/>
              <w:bidi w:val="0"/>
              <w:spacing w:before="0" w:after="283"/>
              <w:jc w:val="left"/>
              <w:rPr/>
            </w:pPr>
            <w:r>
              <w:rPr/>
              <w:t> </w:t>
            </w:r>
          </w:p>
        </w:tc>
        <w:tc>
          <w:tcPr>
            <w:tcW w:w="15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Accrued rebates</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16,608</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720" w:right="0" w:hanging="360"/>
              <w:jc w:val="left"/>
              <w:rPr>
                <w:rFonts w:ascii="Times New Roman" w:hAnsi="Times New Roman"/>
                <w:sz w:val="20"/>
              </w:rPr>
            </w:pPr>
            <w:r>
              <w:rPr>
                <w:rFonts w:ascii="Times New Roman" w:hAnsi="Times New Roman"/>
                <w:sz w:val="20"/>
              </w:rPr>
              <w:t>Inventory valuation allowance</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2,992</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Deferred tax asset valuation allowance</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96,725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101,421</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Year ended December 31, 2022</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Accrued rebates</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11,437</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Inventory valuation allowance</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5,400</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Deferred tax asset valuation allowance</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81,608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96,725</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Year ended December 31, 2021</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Accrued rebates</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5,040</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Inventory valuation allowance</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13,108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8,577</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Deferred tax asset valuation allowance</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14,618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81,608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F-28</w:t>
      </w:r>
    </w:p>
    <w:p>
      <w:pPr>
        <w:pStyle w:val="HorizontalLine"/>
        <w:bidi w:val="0"/>
        <w:jc w:val="left"/>
        <w:rPr/>
      </w:pPr>
      <w:r>
        <w:rPr/>
      </w:r>
    </w:p>
    <w:p>
      <w:pPr>
        <w:pStyle w:val="HorizontalLine"/>
        <w:pBdr>
          <w:bottom w:val="single" w:sz="12" w:space="0" w:color="808080"/>
        </w:pBdr>
        <w:bidi w:val="0"/>
        <w:jc w:val="left"/>
        <w:rPr/>
      </w:pPr>
      <w:r>
        <w:rPr/>
      </w:r>
      <w:bookmarkStart w:id="54" w:name="ef20015264_ex21-1.htm"/>
      <w:bookmarkStart w:id="55" w:name="ksef20015264_ex211"/>
      <w:bookmarkStart w:id="56" w:name="ef20015264_ex21-1.htm"/>
      <w:bookmarkStart w:id="57" w:name="ksef20015264_ex211"/>
      <w:bookmarkEnd w:id="56"/>
      <w:bookmarkEnd w:id="5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ADMA BioCenters Georgia Inc.</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 w:name="z82ba55aa12854741af192057efb44159"/>
      <w:bookmarkStart w:id="59" w:name="z82ba55aa12854741af192057efb44159"/>
      <w:bookmarkEnd w:id="59"/>
    </w:p>
    <w:tbl>
      <w:tblPr>
        <w:tblW w:w="5860" w:type="dxa"/>
        <w:jc w:val="left"/>
        <w:tblInd w:w="0" w:type="dxa"/>
        <w:tblLayout w:type="fixed"/>
        <w:tblCellMar>
          <w:top w:w="0" w:type="dxa"/>
          <w:left w:w="0" w:type="dxa"/>
          <w:bottom w:w="0" w:type="dxa"/>
          <w:right w:w="0" w:type="dxa"/>
        </w:tblCellMar>
      </w:tblPr>
      <w:tblGrid>
        <w:gridCol w:w="3245"/>
        <w:gridCol w:w="2615"/>
      </w:tblGrid>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Jurisdiction of incorporation:</w:t>
            </w:r>
          </w:p>
        </w:tc>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under which business conducted:</w:t>
            </w:r>
          </w:p>
        </w:tc>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ADMA BioCenters Georgia Inc.</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ADMA Plasma Biologics, Inc.</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 w:name="z1a6b77730bae42e8a285cafb5d91945a"/>
      <w:bookmarkStart w:id="61" w:name="z1a6b77730bae42e8a285cafb5d91945a"/>
      <w:bookmarkEnd w:id="61"/>
    </w:p>
    <w:tbl>
      <w:tblPr>
        <w:tblW w:w="5710" w:type="dxa"/>
        <w:jc w:val="left"/>
        <w:tblInd w:w="0" w:type="dxa"/>
        <w:tblLayout w:type="fixed"/>
        <w:tblCellMar>
          <w:top w:w="0" w:type="dxa"/>
          <w:left w:w="0" w:type="dxa"/>
          <w:bottom w:w="0" w:type="dxa"/>
          <w:right w:w="0" w:type="dxa"/>
        </w:tblCellMar>
      </w:tblPr>
      <w:tblGrid>
        <w:gridCol w:w="3245"/>
        <w:gridCol w:w="2465"/>
      </w:tblGrid>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Jurisdiction of incorporation:</w:t>
            </w:r>
          </w:p>
        </w:tc>
        <w:tc>
          <w:tcPr>
            <w:tcW w:w="24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under which business conducted:</w:t>
            </w:r>
          </w:p>
        </w:tc>
        <w:tc>
          <w:tcPr>
            <w:tcW w:w="2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ADMA Plasma Biologics, Inc.</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ADMA BioManufacturing, LLC</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5bae03ed972e4e6b9568f4155f10c3bc"/>
      <w:bookmarkStart w:id="63" w:name="z5bae03ed972e4e6b9568f4155f10c3bc"/>
      <w:bookmarkEnd w:id="63"/>
    </w:p>
    <w:tbl>
      <w:tblPr>
        <w:tblW w:w="5890" w:type="dxa"/>
        <w:jc w:val="left"/>
        <w:tblInd w:w="0" w:type="dxa"/>
        <w:tblLayout w:type="fixed"/>
        <w:tblCellMar>
          <w:top w:w="0" w:type="dxa"/>
          <w:left w:w="0" w:type="dxa"/>
          <w:bottom w:w="0" w:type="dxa"/>
          <w:right w:w="0" w:type="dxa"/>
        </w:tblCellMar>
      </w:tblPr>
      <w:tblGrid>
        <w:gridCol w:w="3245"/>
        <w:gridCol w:w="2645"/>
      </w:tblGrid>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Jurisdiction of incorporation:</w:t>
            </w:r>
          </w:p>
        </w:tc>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Delaware</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under which business conducted:</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ADMA BioManufacturing, LLC</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4" w:name="ef20015264_ex23-1.htm"/>
      <w:bookmarkStart w:id="65" w:name="ksef20015264_ex231"/>
      <w:bookmarkStart w:id="66" w:name="ef20015264_ex23-1.htm"/>
      <w:bookmarkStart w:id="67" w:name="ksef20015264_ex231"/>
      <w:bookmarkEnd w:id="66"/>
      <w:bookmarkEnd w:id="67"/>
      <w:r>
        <w:br w:type="page"/>
      </w:r>
    </w:p>
    <w:p>
      <w:pPr>
        <w:pStyle w:val="TextBody"/>
        <w:bidi w:val="0"/>
        <w:spacing w:before="0" w:after="0"/>
        <w:jc w:val="right"/>
        <w:rPr>
          <w:rFonts w:ascii="Times New Roman" w:hAnsi="Times New Roman"/>
          <w:b w:val="false"/>
          <w:color w:val="000000"/>
          <w:sz w:val="20"/>
        </w:rPr>
      </w:pPr>
      <w:r>
        <w:rPr>
          <w:rFonts w:ascii="Times New Roman" w:hAnsi="Times New Roman"/>
          <w:b w:val="false"/>
          <w:color w:val="000000"/>
          <w:sz w:val="20"/>
        </w:rPr>
        <w:t>Exhibit 23.1</w:t>
      </w:r>
    </w:p>
    <w:p>
      <w:pPr>
        <w:pStyle w:val="TextBody"/>
        <w:bidi w:val="0"/>
        <w:spacing w:before="0" w:after="0"/>
        <w:jc w:val="righ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Public Accounting Firm</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We consent to the incorporation by reference in the registration statements on Form S-8 (File Nos. 333-266291, 333-263345, 333-254770, 333-237658, 333-229921, 333-224492, 333-220058, 333-204590 and 333-193635) and Form S-3 (File Nos. 333-256643, 333-234107 and 333-225048) of our report, dated February 28, 2024, with respect to the consolidated balance sheets of ADMA Biologics, Inc. and subsidiaries as of December 31, 2023 and 2022, and the related consolidated statements of operations, changes in stockholders’ equity, and cash flows and financial statement schedule II – valuation and qualifying accounts for each of the years in the three-year period ended December 31, 2023, and our report dated February 28, 2024 with respect to the effectiveness of internal control over financial reporting of ADMA Biologics, Inc. and subsidiaries as of December 31, 2023, included in this Annual Report on Form 10-K of ADMA Biologics, Inc. and subsidiaries for the year ended December 31, 2023.</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/s/ CohnReznick LLP</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Parsippany, New Jersey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February 28, 2024</w:t>
      </w:r>
    </w:p>
    <w:p>
      <w:pPr>
        <w:pStyle w:val="TextBody"/>
        <w:bidi w:val="0"/>
        <w:spacing w:before="0" w:after="0"/>
        <w:jc w:val="left"/>
        <w:rPr/>
      </w:pPr>
      <w:r>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8" w:name="ef20015264_ex31-1.htm"/>
      <w:bookmarkStart w:id="69" w:name="ksef20015264_ex311"/>
      <w:bookmarkStart w:id="70" w:name="ef20015264_ex31-1.htm"/>
      <w:bookmarkStart w:id="71" w:name="ksef20015264_ex311"/>
      <w:bookmarkEnd w:id="70"/>
      <w:bookmarkEnd w:id="7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righ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OF THE PRINCIPAL EXECUTIVE OFFICER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0" w:after="0"/>
        <w:jc w:val="center"/>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Adam S. Grossman, certify that:</w:t>
      </w:r>
    </w:p>
    <w:p>
      <w:pPr>
        <w:pStyle w:val="TextBody"/>
        <w:bidi w:val="0"/>
        <w:spacing w:before="0" w:after="0"/>
        <w:jc w:val="both"/>
        <w:rPr>
          <w:sz w:val="20"/>
        </w:rPr>
      </w:pPr>
      <w:r>
        <w:rPr>
          <w:sz w:val="20"/>
        </w:rPr>
      </w:r>
    </w:p>
    <w:p>
      <w:pPr>
        <w:pStyle w:val="Normal"/>
        <w:bidi w:val="0"/>
        <w:spacing w:before="0" w:after="0"/>
        <w:jc w:val="left"/>
        <w:rPr>
          <w:sz w:val="4"/>
          <w:szCs w:val="4"/>
        </w:rPr>
      </w:pPr>
      <w:r>
        <w:rPr>
          <w:sz w:val="4"/>
          <w:szCs w:val="4"/>
        </w:rPr>
      </w:r>
      <w:bookmarkStart w:id="72" w:name="z26dd8c24df6240cb9bb74de6575d6519"/>
      <w:bookmarkStart w:id="73" w:name="z26dd8c24df6240cb9bb74de6575d6519"/>
      <w:bookmarkEnd w:id="73"/>
    </w:p>
    <w:tbl>
      <w:tblPr>
        <w:tblW w:w="9565" w:type="dxa"/>
        <w:jc w:val="left"/>
        <w:tblInd w:w="0" w:type="dxa"/>
        <w:tblLayout w:type="fixed"/>
        <w:tblCellMar>
          <w:top w:w="0" w:type="dxa"/>
          <w:left w:w="0" w:type="dxa"/>
          <w:bottom w:w="0" w:type="dxa"/>
          <w:right w:w="0" w:type="dxa"/>
        </w:tblCellMar>
      </w:tblPr>
      <w:tblGrid>
        <w:gridCol w:w="75"/>
        <w:gridCol w:w="170"/>
        <w:gridCol w:w="9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 have reviewed this Annual Report on Form 10-K of ADMA Biologics, Inc. for the year ended December 31, 2023;</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4" w:name="z2d1917d498e64e30b896152f0b23cdfb"/>
      <w:bookmarkStart w:id="75" w:name="z2d1917d498e64e30b896152f0b23cdfb"/>
      <w:bookmarkEnd w:id="75"/>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99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6" w:name="z2a624f4e305b4173a0a45c35540a6521"/>
      <w:bookmarkStart w:id="77" w:name="z2a624f4e305b4173a0a45c35540a6521"/>
      <w:bookmarkEnd w:id="77"/>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99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8" w:name="z686504acdc2041bc98a6cd42e3c6663b"/>
      <w:bookmarkStart w:id="79" w:name="z686504acdc2041bc98a6cd42e3c6663b"/>
      <w:bookmarkEnd w:id="79"/>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99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0" w:name="z9a6fe115987748d2954f02c609dd2ea1"/>
      <w:bookmarkStart w:id="81" w:name="z9a6fe115987748d2954f02c609dd2ea1"/>
      <w:bookmarkEnd w:id="81"/>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2" w:name="ze98d38dc0a674c33ae015d9387729f08"/>
      <w:bookmarkStart w:id="83" w:name="ze98d38dc0a674c33ae015d9387729f08"/>
      <w:bookmarkEnd w:id="83"/>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4" w:name="z0c6903f8c1a6418fb4ddad96bb674b79"/>
      <w:bookmarkStart w:id="85" w:name="z0c6903f8c1a6418fb4ddad96bb674b79"/>
      <w:bookmarkEnd w:id="85"/>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6" w:name="z4e8bf7edfbdf495088f02978a81dc4a1"/>
      <w:bookmarkStart w:id="87" w:name="z4e8bf7edfbdf495088f02978a81dc4a1"/>
      <w:bookmarkEnd w:id="87"/>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8" w:name="zfe9e31405bb549cab4bbb90ab482e398"/>
      <w:bookmarkStart w:id="89" w:name="zfe9e31405bb549cab4bbb90ab482e398"/>
      <w:bookmarkEnd w:id="89"/>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9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0" w:name="z873900af2475411eba08557972555e40"/>
      <w:bookmarkStart w:id="91" w:name="z873900af2475411eba08557972555e40"/>
      <w:bookmarkEnd w:id="91"/>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2" w:name="zee15730905d0467e908cf9d4fdfffa1e"/>
      <w:bookmarkStart w:id="93" w:name="zee15730905d0467e908cf9d4fdfffa1e"/>
      <w:bookmarkEnd w:id="93"/>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4" w:name="za1c330019f814753a5eb16271a26d6a7"/>
      <w:bookmarkStart w:id="95" w:name="za1c330019f814753a5eb16271a26d6a7"/>
      <w:bookmarkEnd w:id="95"/>
    </w:p>
    <w:tbl>
      <w:tblPr>
        <w:tblW w:w="5130" w:type="dxa"/>
        <w:jc w:val="left"/>
        <w:tblInd w:w="0" w:type="dxa"/>
        <w:tblLayout w:type="fixed"/>
        <w:tblCellMar>
          <w:top w:w="0" w:type="dxa"/>
          <w:left w:w="0" w:type="dxa"/>
          <w:bottom w:w="0" w:type="dxa"/>
          <w:right w:w="0" w:type="dxa"/>
        </w:tblCellMar>
      </w:tblPr>
      <w:tblGrid>
        <w:gridCol w:w="1505"/>
        <w:gridCol w:w="545"/>
        <w:gridCol w:w="3080"/>
      </w:tblGrid>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28, 2024</w:t>
            </w:r>
          </w:p>
        </w:tc>
        <w:tc>
          <w:tcPr>
            <w:tcW w:w="3625"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Adam S. Grossman</w:t>
            </w:r>
          </w:p>
        </w:tc>
      </w:tr>
      <w:tr>
        <w:trPr/>
        <w:tc>
          <w:tcPr>
            <w:tcW w:w="1505"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Adam S. Grossman</w:t>
            </w:r>
          </w:p>
        </w:tc>
      </w:tr>
      <w:tr>
        <w:trPr/>
        <w:tc>
          <w:tcPr>
            <w:tcW w:w="1505"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p>
            <w:pPr>
              <w:pStyle w:val="TableContents"/>
              <w:bidi w:val="0"/>
              <w:spacing w:before="0" w:after="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96" w:name="ef20015264_ex31-2.htm"/>
      <w:bookmarkStart w:id="97" w:name="ksef20015264_ex312"/>
      <w:bookmarkStart w:id="98" w:name="ef20015264_ex31-2.htm"/>
      <w:bookmarkStart w:id="99" w:name="ksef20015264_ex312"/>
      <w:bookmarkEnd w:id="98"/>
      <w:bookmarkEnd w:id="9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righ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OF THE PRINCIPAL FINANCIAL OFFICER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302 OF THE SARBANES-OXLEY ACT OF 2002</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Brian Lenz, certify that:</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00" w:name="zd711c951c80f477e986fad9b853903a3"/>
      <w:bookmarkStart w:id="101" w:name="zd711c951c80f477e986fad9b853903a3"/>
      <w:bookmarkEnd w:id="101"/>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 have reviewed this Annual Report on Form 10-K of ADMA Biologics, Inc. for the year ended December 31, 2023;</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433be88a163141a6a1b312024ad68f77"/>
      <w:bookmarkStart w:id="103" w:name="z433be88a163141a6a1b312024ad68f77"/>
      <w:bookmarkEnd w:id="103"/>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4" w:name="zafab3606fe0d4c929ca4b2704ec2d704"/>
      <w:bookmarkStart w:id="105" w:name="zafab3606fe0d4c929ca4b2704ec2d704"/>
      <w:bookmarkEnd w:id="105"/>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6" w:name="z5bd40c1339db4987a569a9bfec21ae91"/>
      <w:bookmarkStart w:id="107" w:name="z5bd40c1339db4987a569a9bfec21ae91"/>
      <w:bookmarkEnd w:id="107"/>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8" w:name="zadf6b2733f3f4fc7bae65a764f75f78a"/>
      <w:bookmarkStart w:id="109" w:name="zadf6b2733f3f4fc7bae65a764f75f78a"/>
      <w:bookmarkEnd w:id="109"/>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 w:name="ze26f6af44e3f4aeb8ba302ce54424e7a"/>
      <w:bookmarkStart w:id="111" w:name="ze26f6af44e3f4aeb8ba302ce54424e7a"/>
      <w:bookmarkEnd w:id="111"/>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pPr>
            <w:r>
              <w:rPr>
                <w:rFonts w:ascii="Times New Roman" w:hAnsi="Times New Roman"/>
                <w:sz w:val="20"/>
              </w:rPr>
              <w:t>(b)</w:t>
            </w:r>
            <w:r>
              <w:rPr/>
              <w:t xml:space="preserve"> </w:t>
            </w:r>
          </w:p>
        </w:tc>
        <w:tc>
          <w:tcPr>
            <w:tcW w:w="99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2" w:name="z95ed3297bf2946dcbc8d87fe052f9599"/>
      <w:bookmarkStart w:id="113" w:name="z95ed3297bf2946dcbc8d87fe052f9599"/>
      <w:bookmarkEnd w:id="113"/>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 w:name="zf7f0838a7e7847fcbebab044c5eeb09c"/>
      <w:bookmarkStart w:id="115" w:name="zf7f0838a7e7847fcbebab044c5eeb09c"/>
      <w:bookmarkEnd w:id="115"/>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6" w:name="zac1601156ed54dea9dd002b163b619fd"/>
      <w:bookmarkStart w:id="117" w:name="zac1601156ed54dea9dd002b163b619fd"/>
      <w:bookmarkEnd w:id="117"/>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d59afe53e53e47c199b4edad3bfe02fd"/>
      <w:bookmarkStart w:id="119" w:name="zd59afe53e53e47c199b4edad3bfe02fd"/>
      <w:bookmarkEnd w:id="119"/>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0" w:name="zdc96d5745eec4dcb9a65021909cbf8c8"/>
      <w:bookmarkStart w:id="121" w:name="zdc96d5745eec4dcb9a65021909cbf8c8"/>
      <w:bookmarkEnd w:id="121"/>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2" w:name="za3cde1bb1c6e416790c1381b87ae65ed"/>
      <w:bookmarkStart w:id="123" w:name="za3cde1bb1c6e416790c1381b87ae65ed"/>
      <w:bookmarkEnd w:id="123"/>
    </w:p>
    <w:tbl>
      <w:tblPr>
        <w:tblW w:w="6360" w:type="dxa"/>
        <w:jc w:val="left"/>
        <w:tblInd w:w="0" w:type="dxa"/>
        <w:tblLayout w:type="fixed"/>
        <w:tblCellMar>
          <w:top w:w="0" w:type="dxa"/>
          <w:left w:w="0" w:type="dxa"/>
          <w:bottom w:w="0" w:type="dxa"/>
          <w:right w:w="0" w:type="dxa"/>
        </w:tblCellMar>
      </w:tblPr>
      <w:tblGrid>
        <w:gridCol w:w="1505"/>
        <w:gridCol w:w="545"/>
        <w:gridCol w:w="4310"/>
      </w:tblGrid>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28, 2024</w:t>
            </w:r>
          </w:p>
        </w:tc>
        <w:tc>
          <w:tcPr>
            <w:tcW w:w="4855"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Brian Lenz</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Lenz</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p>
            <w:pPr>
              <w:pStyle w:val="TableContents"/>
              <w:bidi w:val="0"/>
              <w:spacing w:before="0" w:after="0"/>
              <w:jc w:val="left"/>
              <w:rPr>
                <w:rFonts w:ascii="Times New Roman" w:hAnsi="Times New Roman"/>
                <w:sz w:val="20"/>
              </w:rPr>
            </w:pPr>
            <w:r>
              <w:rPr>
                <w:rFonts w:ascii="Times New Roman" w:hAnsi="Times New Roman"/>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24" w:name="ef20015264_ex32-1.htm"/>
      <w:bookmarkStart w:id="125" w:name="ksef20015264_ex321"/>
      <w:bookmarkStart w:id="126" w:name="ef20015264_ex32-1.htm"/>
      <w:bookmarkStart w:id="127" w:name="ksef20015264_ex321"/>
      <w:bookmarkEnd w:id="126"/>
      <w:bookmarkEnd w:id="12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righ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OF THE PRINCIPAL EXECUTIVE OFFICER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906 OF THE SARBANES-OXLEY ACT OF 2002</w:t>
      </w:r>
    </w:p>
    <w:p>
      <w:pPr>
        <w:pStyle w:val="TextBody"/>
        <w:bidi w:val="0"/>
        <w:spacing w:before="0" w:after="0"/>
        <w:jc w:val="center"/>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connection with the annual report of ADMA Biologics, Inc., a Delaware corporation (the “Company”),  on Form 10-K for the year ended December 31, 2023, as filed with the Securities and Exchange Commission on the date hereof (the “Report”), I, Adam S. Grossman, President and Chief Executive Officer of the Company, hereby certify, pursuant to 18 U.S.C. Section 1350, as adopted pursuant to Section 906 of the Sarbanes-Oxley Act of 2002, that, to my knowledge:</w:t>
      </w:r>
    </w:p>
    <w:p>
      <w:pPr>
        <w:pStyle w:val="TextBody"/>
        <w:bidi w:val="0"/>
        <w:spacing w:before="0" w:after="0"/>
        <w:ind w:left="0" w:right="0" w:firstLine="720"/>
        <w:jc w:val="left"/>
        <w:rPr>
          <w:sz w:val="20"/>
        </w:rPr>
      </w:pPr>
      <w:r>
        <w:rPr>
          <w:sz w:val="20"/>
        </w:rPr>
      </w:r>
    </w:p>
    <w:p>
      <w:pPr>
        <w:pStyle w:val="Normal"/>
        <w:bidi w:val="0"/>
        <w:spacing w:before="0" w:after="0"/>
        <w:jc w:val="left"/>
        <w:rPr>
          <w:sz w:val="4"/>
          <w:szCs w:val="4"/>
        </w:rPr>
      </w:pPr>
      <w:r>
        <w:rPr>
          <w:sz w:val="4"/>
          <w:szCs w:val="4"/>
        </w:rPr>
      </w:r>
      <w:bookmarkStart w:id="128" w:name="zc00e91b23e7d4dc6b4936ab9cc952b7e"/>
      <w:bookmarkStart w:id="129" w:name="zc00e91b23e7d4dc6b4936ab9cc952b7e"/>
      <w:bookmarkEnd w:id="129"/>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Report fully complies with the requirements of Section 13(a) or 15(d) of the Securities Exchange Act of 1934, as amended;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0" w:name="z03fe413fcc2c41cdbe29dece44c150d7"/>
      <w:bookmarkStart w:id="131" w:name="z03fe413fcc2c41cdbe29dece44c150d7"/>
      <w:bookmarkEnd w:id="131"/>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2" w:name="za667d41bbe464db99f3650c69a4d2272"/>
      <w:bookmarkStart w:id="133" w:name="za667d41bbe464db99f3650c69a4d2272"/>
      <w:bookmarkEnd w:id="133"/>
    </w:p>
    <w:tbl>
      <w:tblPr>
        <w:tblW w:w="5130" w:type="dxa"/>
        <w:jc w:val="left"/>
        <w:tblInd w:w="0" w:type="dxa"/>
        <w:tblLayout w:type="fixed"/>
        <w:tblCellMar>
          <w:top w:w="0" w:type="dxa"/>
          <w:left w:w="0" w:type="dxa"/>
          <w:bottom w:w="0" w:type="dxa"/>
          <w:right w:w="0" w:type="dxa"/>
        </w:tblCellMar>
      </w:tblPr>
      <w:tblGrid>
        <w:gridCol w:w="1505"/>
        <w:gridCol w:w="545"/>
        <w:gridCol w:w="3080"/>
      </w:tblGrid>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28, 2024</w:t>
            </w:r>
          </w:p>
        </w:tc>
        <w:tc>
          <w:tcPr>
            <w:tcW w:w="3625"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Adam S. Grossman</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Adam S. Grossman</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p>
            <w:pPr>
              <w:pStyle w:val="TableContents"/>
              <w:bidi w:val="0"/>
              <w:spacing w:before="0" w:after="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34" w:name="ef20015264_ex32-2.htm"/>
      <w:bookmarkStart w:id="135" w:name="ksef20015264_ex322"/>
      <w:bookmarkStart w:id="136" w:name="ef20015264_ex32-2.htm"/>
      <w:bookmarkStart w:id="137" w:name="ksef20015264_ex322"/>
      <w:bookmarkEnd w:id="136"/>
      <w:bookmarkEnd w:id="13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righ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OF THE PRINCIPAL FINANCIAL OFFICER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906 OF THE SARBANES-OXLEY ACT OF 2002</w:t>
      </w:r>
    </w:p>
    <w:p>
      <w:pPr>
        <w:pStyle w:val="TextBody"/>
        <w:bidi w:val="0"/>
        <w:spacing w:before="0" w:after="0"/>
        <w:jc w:val="center"/>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connection with the annual report of ADMA Biologics, Inc., a Delaware corporation (the “Company”), on Form 10-K for the year ended December 31, 2023, as filed with the Securities and Exchange Commission on the date hereof (the “Report”), I, Brian Lenz, Chief Financial Officer of the Company, hereby certify, pursuant to 18 U.S.C. Section 1350, as adopted pursuant to Section 906 of the Sarbanes-Oxley Act of 2002, that, to my knowledge:</w:t>
      </w:r>
    </w:p>
    <w:p>
      <w:pPr>
        <w:pStyle w:val="TextBody"/>
        <w:bidi w:val="0"/>
        <w:spacing w:before="0" w:after="0"/>
        <w:ind w:left="0" w:right="0" w:firstLine="720"/>
        <w:jc w:val="left"/>
        <w:rPr>
          <w:sz w:val="20"/>
        </w:rPr>
      </w:pPr>
      <w:r>
        <w:rPr>
          <w:sz w:val="20"/>
        </w:rPr>
      </w:r>
    </w:p>
    <w:p>
      <w:pPr>
        <w:pStyle w:val="Normal"/>
        <w:bidi w:val="0"/>
        <w:spacing w:before="0" w:after="0"/>
        <w:jc w:val="left"/>
        <w:rPr>
          <w:sz w:val="4"/>
          <w:szCs w:val="4"/>
        </w:rPr>
      </w:pPr>
      <w:r>
        <w:rPr>
          <w:sz w:val="4"/>
          <w:szCs w:val="4"/>
        </w:rPr>
      </w:r>
      <w:bookmarkStart w:id="138" w:name="z3f0c8e414c6f4c769966a98073eddaf5"/>
      <w:bookmarkStart w:id="139" w:name="z3f0c8e414c6f4c769966a98073eddaf5"/>
      <w:bookmarkEnd w:id="139"/>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Report fully complies with the requirements of Section 13(a) or 15(d) of the Securities Exchange Act of 1934, as amended;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0" w:name="zf462f76e146f4041bf7fd9f004510393"/>
      <w:bookmarkStart w:id="141" w:name="zf462f76e146f4041bf7fd9f004510393"/>
      <w:bookmarkEnd w:id="141"/>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2" w:name="z9400967ffe6d4b878f50b76eb4a74615"/>
      <w:bookmarkStart w:id="143" w:name="z9400967ffe6d4b878f50b76eb4a74615"/>
      <w:bookmarkEnd w:id="143"/>
    </w:p>
    <w:tbl>
      <w:tblPr>
        <w:tblW w:w="6360" w:type="dxa"/>
        <w:jc w:val="left"/>
        <w:tblInd w:w="0" w:type="dxa"/>
        <w:tblLayout w:type="fixed"/>
        <w:tblCellMar>
          <w:top w:w="0" w:type="dxa"/>
          <w:left w:w="0" w:type="dxa"/>
          <w:bottom w:w="0" w:type="dxa"/>
          <w:right w:w="0" w:type="dxa"/>
        </w:tblCellMar>
      </w:tblPr>
      <w:tblGrid>
        <w:gridCol w:w="1505"/>
        <w:gridCol w:w="545"/>
        <w:gridCol w:w="4310"/>
      </w:tblGrid>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28, 2024</w:t>
            </w:r>
          </w:p>
        </w:tc>
        <w:tc>
          <w:tcPr>
            <w:tcW w:w="4855" w:type="dxa"/>
            <w:gridSpan w:val="2"/>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Brian Lenz</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Lenz</w:t>
            </w:r>
          </w:p>
        </w:tc>
      </w:tr>
      <w:tr>
        <w:trPr/>
        <w:tc>
          <w:tcPr>
            <w:tcW w:w="15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p>
            <w:pPr>
              <w:pStyle w:val="TableContents"/>
              <w:bidi w:val="0"/>
              <w:spacing w:before="0" w:after="0"/>
              <w:jc w:val="left"/>
              <w:rPr>
                <w:rFonts w:ascii="Times New Roman" w:hAnsi="Times New Roman"/>
                <w:sz w:val="20"/>
              </w:rPr>
            </w:pPr>
            <w:r>
              <w:rPr>
                <w:rFonts w:ascii="Times New Roman" w:hAnsi="Times New Roman"/>
                <w:sz w:val="20"/>
              </w:rPr>
              <w:t>(Principal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44" w:name="ef20015264_ex97.htm"/>
      <w:bookmarkStart w:id="145" w:name="ksef20015264_ex97"/>
      <w:bookmarkStart w:id="146" w:name="ef20015264_ex97.htm"/>
      <w:bookmarkStart w:id="147" w:name="ksef20015264_ex97"/>
      <w:bookmarkEnd w:id="146"/>
      <w:bookmarkEnd w:id="14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97</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ADMA BIOLOGICS,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COMPENSATION RECOUPMENT POLICY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8" w:name="zcd98f3b4001b4f8480170878a56f76cb"/>
      <w:bookmarkStart w:id="149" w:name="zcd98f3b4001b4f8480170878a56f76cb"/>
      <w:bookmarkEnd w:id="149"/>
    </w:p>
    <w:tbl>
      <w:tblPr>
        <w:tblW w:w="1795" w:type="dxa"/>
        <w:jc w:val="left"/>
        <w:tblInd w:w="0" w:type="dxa"/>
        <w:tblLayout w:type="fixed"/>
        <w:tblCellMar>
          <w:top w:w="0" w:type="dxa"/>
          <w:left w:w="0" w:type="dxa"/>
          <w:bottom w:w="0" w:type="dxa"/>
          <w:right w:w="0" w:type="dxa"/>
        </w:tblCellMar>
      </w:tblPr>
      <w:tblGrid>
        <w:gridCol w:w="185"/>
        <w:gridCol w:w="1610"/>
      </w:tblGrid>
      <w:tr>
        <w:trPr/>
        <w:tc>
          <w:tcPr>
            <w:tcW w:w="185" w:type="dxa"/>
            <w:tcBorders/>
            <w:vAlign w:val="center"/>
          </w:tcPr>
          <w:p>
            <w:pPr>
              <w:pStyle w:val="TableContents"/>
              <w:bidi w:val="0"/>
              <w:spacing w:before="0" w:after="283"/>
              <w:jc w:val="left"/>
              <w:rPr>
                <w:b/>
              </w:rPr>
            </w:pPr>
            <w:r>
              <w:rPr>
                <w:b/>
              </w:rPr>
              <w:t>I.</w:t>
            </w:r>
          </w:p>
        </w:tc>
        <w:tc>
          <w:tcPr>
            <w:tcW w:w="1610" w:type="dxa"/>
            <w:tcBorders/>
            <w:vAlign w:val="center"/>
          </w:tcPr>
          <w:p>
            <w:pPr>
              <w:pStyle w:val="TableContents"/>
              <w:bidi w:val="0"/>
              <w:spacing w:before="0" w:after="0"/>
              <w:jc w:val="left"/>
              <w:rPr/>
            </w:pPr>
            <w:r>
              <w:rPr>
                <w:b/>
              </w:rPr>
              <w:t>Defined Terms</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0" w:name="za77b4e9d2047431cbbc590d2118061a7"/>
      <w:bookmarkStart w:id="151" w:name="za77b4e9d2047431cbbc590d2118061a7"/>
      <w:bookmarkEnd w:id="151"/>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0"/>
              <w:jc w:val="left"/>
              <w:rPr/>
            </w:pPr>
            <w:r>
              <w:rPr/>
              <w:t>“</w:t>
            </w:r>
            <w:r>
              <w:rPr>
                <w:u w:val="single"/>
              </w:rPr>
              <w:t>Applicable Rules</w:t>
            </w:r>
            <w:r>
              <w:rPr/>
              <w:t>” means Section 10D of the Exchange Act and Rule 10D-1 promulgated thereunder, Listing Rule 5608 of the Listing Rules of Nasdaq, and any other national stock exchange rules that the Company is or may become subject to.</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2" w:name="z01600cfeab0145dba175273ea79fc7b0"/>
      <w:bookmarkStart w:id="153" w:name="z01600cfeab0145dba175273ea79fc7b0"/>
      <w:bookmarkEnd w:id="153"/>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0"/>
              <w:jc w:val="left"/>
              <w:rPr/>
            </w:pPr>
            <w:r>
              <w:rPr/>
              <w:t>“</w:t>
            </w:r>
            <w:r>
              <w:rPr>
                <w:u w:val="single"/>
              </w:rPr>
              <w:t>Clawback Event</w:t>
            </w:r>
            <w:r>
              <w:rPr/>
              <w:t>” means a required recoupment of Incentive-Based Compensation in the event of a Restatement under the Applicable Rules.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4" w:name="z38765190c00344e58d8986cc4feef080"/>
      <w:bookmarkStart w:id="155" w:name="z38765190c00344e58d8986cc4feef080"/>
      <w:bookmarkEnd w:id="155"/>
    </w:p>
    <w:tbl>
      <w:tblPr>
        <w:tblW w:w="7383" w:type="dxa"/>
        <w:jc w:val="left"/>
        <w:tblInd w:w="0" w:type="dxa"/>
        <w:tblLayout w:type="fixed"/>
        <w:tblCellMar>
          <w:top w:w="0" w:type="dxa"/>
          <w:left w:w="0" w:type="dxa"/>
          <w:bottom w:w="0" w:type="dxa"/>
          <w:right w:w="0" w:type="dxa"/>
        </w:tblCellMar>
      </w:tblPr>
      <w:tblGrid>
        <w:gridCol w:w="38"/>
        <w:gridCol w:w="275"/>
        <w:gridCol w:w="707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7070" w:type="dxa"/>
            <w:tcBorders/>
            <w:vAlign w:val="center"/>
          </w:tcPr>
          <w:p>
            <w:pPr>
              <w:pStyle w:val="TableContents"/>
              <w:bidi w:val="0"/>
              <w:spacing w:before="0" w:after="0"/>
              <w:jc w:val="left"/>
              <w:rPr/>
            </w:pPr>
            <w:r>
              <w:rPr/>
              <w:t>“</w:t>
            </w:r>
            <w:r>
              <w:rPr>
                <w:u w:val="single"/>
              </w:rPr>
              <w:t>Exchange Act</w:t>
            </w:r>
            <w:r>
              <w:rPr/>
              <w:t>” means the Securities Exchange Act of 1934, as amended.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6" w:name="zc0cac53b96d44fd99281bcd42ce96c77"/>
      <w:bookmarkStart w:id="157" w:name="zc0cac53b96d44fd99281bcd42ce96c77"/>
      <w:bookmarkEnd w:id="157"/>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(d)</w:t>
            </w:r>
          </w:p>
        </w:tc>
        <w:tc>
          <w:tcPr>
            <w:tcW w:w="9939" w:type="dxa"/>
            <w:tcBorders/>
            <w:vAlign w:val="center"/>
          </w:tcPr>
          <w:p>
            <w:pPr>
              <w:pStyle w:val="TableContents"/>
              <w:bidi w:val="0"/>
              <w:spacing w:before="0" w:after="0"/>
              <w:jc w:val="left"/>
              <w:rPr/>
            </w:pPr>
            <w:r>
              <w:rPr/>
              <w:t>“</w:t>
            </w:r>
            <w:r>
              <w:rPr>
                <w:u w:val="single"/>
              </w:rPr>
              <w:t>Executive Officer</w:t>
            </w:r>
            <w:r>
              <w:rPr/>
              <w:t>” means each officer of the Company who is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significant policy-making functions for the Company, as determined under 17 CFR §229.401(b).</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8" w:name="zec13160c298e482b8be0ca16b9d10843"/>
      <w:bookmarkStart w:id="159" w:name="zec13160c298e482b8be0ca16b9d10843"/>
      <w:bookmarkEnd w:id="159"/>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0"/>
              <w:jc w:val="left"/>
              <w:rPr/>
            </w:pPr>
            <w:r>
              <w:rPr/>
              <w:t>“</w:t>
            </w:r>
            <w:r>
              <w:rPr>
                <w:u w:val="single"/>
              </w:rPr>
              <w:t>Financial Reporting Measures</w:t>
            </w:r>
            <w:r>
              <w:rPr/>
              <w:t>” means (i) measures that are determined and presented in accordance with the accounting principles used in preparing the Company’s financial statements, and any measures that are derived wholly or in part from such measures, (ii) the Company’s stock price, and (iii) total shareholder return in respect of the Company.  A “Financial Reporting Measure” need not be presented within the financial statements or included in a filing with the SEC.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0" w:name="z68c0523a0afe452bb7ee991510b4db57"/>
      <w:bookmarkStart w:id="161" w:name="z68c0523a0afe452bb7ee991510b4db57"/>
      <w:bookmarkEnd w:id="161"/>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pPr>
            <w:r>
              <w:rPr/>
            </w:r>
          </w:p>
        </w:tc>
        <w:tc>
          <w:tcPr>
            <w:tcW w:w="183" w:type="dxa"/>
            <w:tcBorders/>
            <w:vAlign w:val="center"/>
          </w:tcPr>
          <w:p>
            <w:pPr>
              <w:pStyle w:val="TableContents"/>
              <w:bidi w:val="0"/>
              <w:spacing w:before="0" w:after="283"/>
              <w:jc w:val="left"/>
              <w:rPr/>
            </w:pPr>
            <w:r>
              <w:rPr/>
              <w:t>(f)</w:t>
            </w:r>
          </w:p>
        </w:tc>
        <w:tc>
          <w:tcPr>
            <w:tcW w:w="9984" w:type="dxa"/>
            <w:tcBorders/>
            <w:vAlign w:val="center"/>
          </w:tcPr>
          <w:p>
            <w:pPr>
              <w:pStyle w:val="TableContents"/>
              <w:bidi w:val="0"/>
              <w:spacing w:before="0" w:after="0"/>
              <w:jc w:val="left"/>
              <w:rPr/>
            </w:pPr>
            <w:r>
              <w:rPr/>
              <w:t>“</w:t>
            </w:r>
            <w:r>
              <w:rPr>
                <w:u w:val="single"/>
              </w:rPr>
              <w:t>Incentive-Based Compensation</w:t>
            </w:r>
            <w:r>
              <w:rPr/>
              <w:t>” means any compensation that is granted, earned, or vested, based wholly or in part upon the attainment of a Financial Reporting Measure.  Incentive-Based Compensation does not include, among other forms of compensation, equity awards that vest exclusively upon completion of a specified employment period, without any performance condition, and bonus awards that are discretionary or based on subjective goals or goals unrelated to Financial Reporting Measures.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2" w:name="ze573445d048444f89ee9ba19c670cc81"/>
      <w:bookmarkStart w:id="163" w:name="ze573445d048444f89ee9ba19c670cc81"/>
      <w:bookmarkEnd w:id="163"/>
    </w:p>
    <w:tbl>
      <w:tblPr>
        <w:tblW w:w="4998" w:type="dxa"/>
        <w:jc w:val="left"/>
        <w:tblInd w:w="0" w:type="dxa"/>
        <w:tblLayout w:type="fixed"/>
        <w:tblCellMar>
          <w:top w:w="0" w:type="dxa"/>
          <w:left w:w="0" w:type="dxa"/>
          <w:bottom w:w="0" w:type="dxa"/>
          <w:right w:w="0" w:type="dxa"/>
        </w:tblCellMar>
      </w:tblPr>
      <w:tblGrid>
        <w:gridCol w:w="38"/>
        <w:gridCol w:w="290"/>
        <w:gridCol w:w="467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(g)</w:t>
            </w:r>
          </w:p>
        </w:tc>
        <w:tc>
          <w:tcPr>
            <w:tcW w:w="4670" w:type="dxa"/>
            <w:tcBorders/>
            <w:vAlign w:val="center"/>
          </w:tcPr>
          <w:p>
            <w:pPr>
              <w:pStyle w:val="TableContents"/>
              <w:bidi w:val="0"/>
              <w:spacing w:before="0" w:after="0"/>
              <w:jc w:val="left"/>
              <w:rPr/>
            </w:pPr>
            <w:r>
              <w:rPr/>
              <w:t>“</w:t>
            </w:r>
            <w:r>
              <w:rPr>
                <w:u w:val="single"/>
              </w:rPr>
              <w:t>Nasdaq</w:t>
            </w:r>
            <w:r>
              <w:rPr/>
              <w:t>” means the Nasdaq Stock Market LLC.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4" w:name="z40976f60706345f8925d932ddeb28413"/>
      <w:bookmarkStart w:id="165" w:name="z40976f60706345f8925d932ddeb28413"/>
      <w:bookmarkEnd w:id="165"/>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(h)</w:t>
            </w:r>
          </w:p>
        </w:tc>
        <w:tc>
          <w:tcPr>
            <w:tcW w:w="9932" w:type="dxa"/>
            <w:tcBorders/>
            <w:vAlign w:val="center"/>
          </w:tcPr>
          <w:p>
            <w:pPr>
              <w:pStyle w:val="TableContents"/>
              <w:bidi w:val="0"/>
              <w:spacing w:before="0" w:after="0"/>
              <w:jc w:val="left"/>
              <w:rPr/>
            </w:pPr>
            <w:r>
              <w:rPr/>
              <w:t>“</w:t>
            </w:r>
            <w:r>
              <w:rPr>
                <w:u w:val="single"/>
              </w:rPr>
              <w:t>Received</w:t>
            </w:r>
            <w:r>
              <w:rPr/>
              <w:t>” – Incentive-Based Compensation is deemed “Received” for the purposes of this Policy in the Company’s fiscal period during which the Financial Reporting Measure applicable to the Incentive-Based Compensation award is attained, even if the payment or grant of the Incentive-Based Compensation occurs after the end of that period.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6" w:name="zf258c6392f8f4573a2d03ef222d099be"/>
      <w:bookmarkStart w:id="167" w:name="zf258c6392f8f4573a2d03ef222d099be"/>
      <w:bookmarkEnd w:id="167"/>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pPr>
            <w:r>
              <w:rPr/>
            </w:r>
          </w:p>
        </w:tc>
        <w:tc>
          <w:tcPr>
            <w:tcW w:w="168" w:type="dxa"/>
            <w:tcBorders/>
            <w:vAlign w:val="center"/>
          </w:tcPr>
          <w:p>
            <w:pPr>
              <w:pStyle w:val="TableContents"/>
              <w:bidi w:val="0"/>
              <w:spacing w:before="0" w:after="283"/>
              <w:jc w:val="left"/>
              <w:rPr/>
            </w:pPr>
            <w:r>
              <w:rPr/>
              <w:t>(i)</w:t>
            </w:r>
          </w:p>
        </w:tc>
        <w:tc>
          <w:tcPr>
            <w:tcW w:w="9999" w:type="dxa"/>
            <w:tcBorders/>
            <w:vAlign w:val="center"/>
          </w:tcPr>
          <w:p>
            <w:pPr>
              <w:pStyle w:val="TableContents"/>
              <w:bidi w:val="0"/>
              <w:spacing w:before="0" w:after="0"/>
              <w:jc w:val="left"/>
              <w:rPr/>
            </w:pPr>
            <w:r>
              <w:rPr/>
              <w:t>“</w:t>
            </w:r>
            <w:r>
              <w:rPr>
                <w:u w:val="single"/>
              </w:rPr>
              <w:t>Recovery Period</w:t>
            </w:r>
            <w:r>
              <w:rPr/>
              <w:t>” means the three completed fiscal years immediately preceding the date on which the Company is required to prepare a Restatement, which date is the earlier of (i) the date the Board, a committee of the Board, or the officer(s) of the Company authorized to take such action if Board action is not required, concludes, or reasonably should have concluded, that the Company is required to prepare a Restatement or (ii) a date that a court, regulator, or other legally authorized body directs the Company to prepare a Restatement.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8" w:name="za4f71ced1eac456fb9b4a9d6adbf069c"/>
      <w:bookmarkStart w:id="169" w:name="za4f71ced1eac456fb9b4a9d6adbf069c"/>
      <w:bookmarkEnd w:id="169"/>
    </w:p>
    <w:tbl>
      <w:tblPr>
        <w:tblW w:w="5688" w:type="dxa"/>
        <w:jc w:val="left"/>
        <w:tblInd w:w="0" w:type="dxa"/>
        <w:tblLayout w:type="fixed"/>
        <w:tblCellMar>
          <w:top w:w="0" w:type="dxa"/>
          <w:left w:w="0" w:type="dxa"/>
          <w:bottom w:w="0" w:type="dxa"/>
          <w:right w:w="0" w:type="dxa"/>
        </w:tblCellMar>
      </w:tblPr>
      <w:tblGrid>
        <w:gridCol w:w="38"/>
        <w:gridCol w:w="230"/>
        <w:gridCol w:w="542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(j)</w:t>
            </w:r>
          </w:p>
        </w:tc>
        <w:tc>
          <w:tcPr>
            <w:tcW w:w="5420" w:type="dxa"/>
            <w:tcBorders/>
            <w:vAlign w:val="center"/>
          </w:tcPr>
          <w:p>
            <w:pPr>
              <w:pStyle w:val="TableContents"/>
              <w:bidi w:val="0"/>
              <w:spacing w:before="0" w:after="0"/>
              <w:jc w:val="left"/>
              <w:rPr/>
            </w:pPr>
            <w:r>
              <w:rPr/>
              <w:t>“</w:t>
            </w:r>
            <w:r>
              <w:rPr>
                <w:u w:val="single"/>
              </w:rPr>
              <w:t>Regulators</w:t>
            </w:r>
            <w:r>
              <w:rPr/>
              <w:t>” means, as applicable, the SEC and Nasdaq.</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0" w:name="zf14104cecac84055a03638fa9bfe7f9d"/>
      <w:bookmarkStart w:id="171" w:name="zf14104cecac84055a03638fa9bfe7f9d"/>
      <w:bookmarkEnd w:id="171"/>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(k)</w:t>
            </w:r>
          </w:p>
        </w:tc>
        <w:tc>
          <w:tcPr>
            <w:tcW w:w="9939" w:type="dxa"/>
            <w:tcBorders/>
            <w:vAlign w:val="center"/>
          </w:tcPr>
          <w:p>
            <w:pPr>
              <w:pStyle w:val="TableContents"/>
              <w:bidi w:val="0"/>
              <w:spacing w:before="0" w:after="0"/>
              <w:jc w:val="left"/>
              <w:rPr/>
            </w:pPr>
            <w:r>
              <w:rPr/>
              <w:t>“</w:t>
            </w:r>
            <w:r>
              <w:rPr>
                <w:u w:val="single"/>
              </w:rPr>
              <w:t>Restatement</w:t>
            </w:r>
            <w:r>
              <w:rPr/>
              <w:t>” means that the Company is required to prepare an accounting restatement due to a material noncompliance of the Company with any financial reporting requirement under applicable securities laws, including any required accounting restatement to correct an error in previously issued financial statements (i) that is material to the previously issued financial statements, or (ii) that would result in a material misstatement if the error were corrected in the current period or left uncorrected in the current period.</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6153" w:type="dxa"/>
        <w:jc w:val="left"/>
        <w:tblInd w:w="0" w:type="dxa"/>
        <w:tblLayout w:type="fixed"/>
        <w:tblCellMar>
          <w:top w:w="0" w:type="dxa"/>
          <w:left w:w="0" w:type="dxa"/>
          <w:bottom w:w="0" w:type="dxa"/>
          <w:right w:w="0" w:type="dxa"/>
        </w:tblCellMar>
      </w:tblPr>
      <w:tblGrid>
        <w:gridCol w:w="38"/>
        <w:gridCol w:w="230"/>
        <w:gridCol w:w="588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(l)</w:t>
            </w:r>
          </w:p>
        </w:tc>
        <w:tc>
          <w:tcPr>
            <w:tcW w:w="5885" w:type="dxa"/>
            <w:tcBorders/>
            <w:vAlign w:val="center"/>
          </w:tcPr>
          <w:p>
            <w:pPr>
              <w:pStyle w:val="TableContents"/>
              <w:bidi w:val="0"/>
              <w:spacing w:before="0" w:after="0"/>
              <w:jc w:val="left"/>
              <w:rPr/>
            </w:pPr>
            <w:r>
              <w:rPr/>
              <w:t>“</w:t>
            </w:r>
            <w:r>
              <w:rPr>
                <w:u w:val="single"/>
              </w:rPr>
              <w:t>SEC</w:t>
            </w:r>
            <w:r>
              <w:rPr/>
              <w:t>” means the U.S. Securities and Exchange Commission.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2" w:name="z6737f566ee784532939222f3575d66ce"/>
      <w:bookmarkStart w:id="173" w:name="z6737f566ee784532939222f3575d66ce"/>
      <w:bookmarkEnd w:id="173"/>
    </w:p>
    <w:tbl>
      <w:tblPr>
        <w:tblW w:w="1210" w:type="dxa"/>
        <w:jc w:val="left"/>
        <w:tblInd w:w="0" w:type="dxa"/>
        <w:tblLayout w:type="fixed"/>
        <w:tblCellMar>
          <w:top w:w="0" w:type="dxa"/>
          <w:left w:w="0" w:type="dxa"/>
          <w:bottom w:w="0" w:type="dxa"/>
          <w:right w:w="0" w:type="dxa"/>
        </w:tblCellMar>
      </w:tblPr>
      <w:tblGrid>
        <w:gridCol w:w="275"/>
        <w:gridCol w:w="935"/>
      </w:tblGrid>
      <w:tr>
        <w:trPr/>
        <w:tc>
          <w:tcPr>
            <w:tcW w:w="275" w:type="dxa"/>
            <w:tcBorders/>
            <w:vAlign w:val="center"/>
          </w:tcPr>
          <w:p>
            <w:pPr>
              <w:pStyle w:val="TableContents"/>
              <w:bidi w:val="0"/>
              <w:spacing w:before="0" w:after="283"/>
              <w:jc w:val="left"/>
              <w:rPr>
                <w:b/>
              </w:rPr>
            </w:pPr>
            <w:r>
              <w:rPr>
                <w:b/>
              </w:rPr>
              <w:t>II.</w:t>
            </w:r>
          </w:p>
        </w:tc>
        <w:tc>
          <w:tcPr>
            <w:tcW w:w="935" w:type="dxa"/>
            <w:tcBorders/>
            <w:vAlign w:val="center"/>
          </w:tcPr>
          <w:p>
            <w:pPr>
              <w:pStyle w:val="TableContents"/>
              <w:bidi w:val="0"/>
              <w:spacing w:before="0" w:after="0"/>
              <w:jc w:val="left"/>
              <w:rPr>
                <w:b/>
              </w:rPr>
            </w:pPr>
            <w:r>
              <w:rPr>
                <w:b/>
              </w:rPr>
              <w:t>Purpose.</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The Board of Directors (“</w:t>
      </w:r>
      <w:r>
        <w:rPr>
          <w:rFonts w:ascii="Times New Roman" w:hAnsi="Times New Roman"/>
          <w:color w:val="000000"/>
          <w:sz w:val="20"/>
          <w:u w:val="single"/>
        </w:rPr>
        <w:t>Board</w:t>
      </w:r>
      <w:r>
        <w:rPr>
          <w:rFonts w:ascii="Times New Roman" w:hAnsi="Times New Roman"/>
          <w:color w:val="000000"/>
          <w:sz w:val="20"/>
        </w:rPr>
        <w:t>”) of ADMA Biologics, Inc. (the “</w:t>
      </w:r>
      <w:r>
        <w:rPr>
          <w:rFonts w:ascii="Times New Roman" w:hAnsi="Times New Roman"/>
          <w:color w:val="000000"/>
          <w:sz w:val="20"/>
          <w:u w:val="single"/>
        </w:rPr>
        <w:t>Company</w:t>
      </w:r>
      <w:r>
        <w:rPr>
          <w:rFonts w:ascii="Times New Roman" w:hAnsi="Times New Roman"/>
          <w:color w:val="000000"/>
          <w:sz w:val="20"/>
        </w:rPr>
        <w:t>”), based upon the recommendation of its Compensation Committee (the “</w:t>
      </w:r>
      <w:r>
        <w:rPr>
          <w:rFonts w:ascii="Times New Roman" w:hAnsi="Times New Roman"/>
          <w:color w:val="000000"/>
          <w:sz w:val="20"/>
          <w:u w:val="single"/>
        </w:rPr>
        <w:t>Committee</w:t>
      </w:r>
      <w:r>
        <w:rPr>
          <w:rFonts w:ascii="Times New Roman" w:hAnsi="Times New Roman"/>
          <w:color w:val="000000"/>
          <w:sz w:val="20"/>
        </w:rPr>
        <w:t>”), has adopted this Compensation Recoupment Policy (this “</w:t>
      </w:r>
      <w:r>
        <w:rPr>
          <w:rFonts w:ascii="Times New Roman" w:hAnsi="Times New Roman"/>
          <w:color w:val="000000"/>
          <w:sz w:val="20"/>
          <w:u w:val="single"/>
        </w:rPr>
        <w:t>Policy</w:t>
      </w:r>
      <w:r>
        <w:rPr>
          <w:rFonts w:ascii="Times New Roman" w:hAnsi="Times New Roman"/>
          <w:color w:val="000000"/>
          <w:sz w:val="20"/>
        </w:rPr>
        <w:t xml:space="preserve">”) in order to implement a mandatory clawback policy in the event of a Restatement in compliance with the Applicable Rules.  Any capitalized terms used, but not immediately defined, in this Policy have the meanings set forth in </w:t>
      </w:r>
      <w:r>
        <w:rPr>
          <w:rFonts w:ascii="Times New Roman" w:hAnsi="Times New Roman"/>
          <w:color w:val="000000"/>
          <w:sz w:val="20"/>
          <w:u w:val="single"/>
        </w:rPr>
        <w:t>Section 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4" w:name="zfdd6662974e042e4988c93a02e20d51d"/>
      <w:bookmarkStart w:id="175" w:name="zfdd6662974e042e4988c93a02e20d51d"/>
      <w:bookmarkEnd w:id="175"/>
    </w:p>
    <w:tbl>
      <w:tblPr>
        <w:tblW w:w="2005" w:type="dxa"/>
        <w:jc w:val="left"/>
        <w:tblInd w:w="0" w:type="dxa"/>
        <w:tblLayout w:type="fixed"/>
        <w:tblCellMar>
          <w:top w:w="0" w:type="dxa"/>
          <w:left w:w="0" w:type="dxa"/>
          <w:bottom w:w="0" w:type="dxa"/>
          <w:right w:w="0" w:type="dxa"/>
        </w:tblCellMar>
      </w:tblPr>
      <w:tblGrid>
        <w:gridCol w:w="365"/>
        <w:gridCol w:w="1640"/>
      </w:tblGrid>
      <w:tr>
        <w:trPr/>
        <w:tc>
          <w:tcPr>
            <w:tcW w:w="365" w:type="dxa"/>
            <w:tcBorders/>
            <w:vAlign w:val="center"/>
          </w:tcPr>
          <w:p>
            <w:pPr>
              <w:pStyle w:val="TableContents"/>
              <w:bidi w:val="0"/>
              <w:spacing w:before="0" w:after="283"/>
              <w:jc w:val="left"/>
              <w:rPr>
                <w:b/>
              </w:rPr>
            </w:pPr>
            <w:r>
              <w:rPr>
                <w:b/>
              </w:rPr>
              <w:t>III.</w:t>
            </w:r>
          </w:p>
        </w:tc>
        <w:tc>
          <w:tcPr>
            <w:tcW w:w="1640" w:type="dxa"/>
            <w:tcBorders/>
            <w:vAlign w:val="center"/>
          </w:tcPr>
          <w:p>
            <w:pPr>
              <w:pStyle w:val="TableContents"/>
              <w:bidi w:val="0"/>
              <w:spacing w:before="0" w:after="0"/>
              <w:jc w:val="left"/>
              <w:rPr>
                <w:b/>
              </w:rPr>
            </w:pPr>
            <w:r>
              <w:rPr>
                <w:b/>
              </w:rPr>
              <w:t>Administration.</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This Policy shall be administered by the Committee, which shall make all determinations with respect to this Policy in its sole discretion; </w:t>
      </w:r>
      <w:r>
        <w:rPr>
          <w:rFonts w:ascii="Times New Roman" w:hAnsi="Times New Roman"/>
          <w:i/>
          <w:color w:val="000000"/>
          <w:sz w:val="20"/>
        </w:rPr>
        <w:t>provided</w:t>
      </w:r>
      <w:r>
        <w:rPr>
          <w:rFonts w:ascii="Times New Roman" w:hAnsi="Times New Roman"/>
          <w:color w:val="000000"/>
          <w:sz w:val="20"/>
        </w:rPr>
        <w:t xml:space="preserve"> that this Policy shall be interpreted in a manner consistent with the requirements of the Applicable Rules.  Notwithstanding the foregoing, subject to the Applicable Rules, the Board may assume any or all powers and authority of the Committee with respect to this Policy, in which case references to the Committee shall be deemed to include the Board, as applicable.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6" w:name="zec25c541490b4dffaddb6b1320107609"/>
      <w:bookmarkStart w:id="177" w:name="zec25c541490b4dffaddb6b1320107609"/>
      <w:bookmarkEnd w:id="177"/>
    </w:p>
    <w:tbl>
      <w:tblPr>
        <w:tblW w:w="3235" w:type="dxa"/>
        <w:jc w:val="left"/>
        <w:tblInd w:w="0" w:type="dxa"/>
        <w:tblLayout w:type="fixed"/>
        <w:tblCellMar>
          <w:top w:w="0" w:type="dxa"/>
          <w:left w:w="0" w:type="dxa"/>
          <w:bottom w:w="0" w:type="dxa"/>
          <w:right w:w="0" w:type="dxa"/>
        </w:tblCellMar>
      </w:tblPr>
      <w:tblGrid>
        <w:gridCol w:w="365"/>
        <w:gridCol w:w="2870"/>
      </w:tblGrid>
      <w:tr>
        <w:trPr/>
        <w:tc>
          <w:tcPr>
            <w:tcW w:w="365" w:type="dxa"/>
            <w:tcBorders/>
            <w:vAlign w:val="center"/>
          </w:tcPr>
          <w:p>
            <w:pPr>
              <w:pStyle w:val="TableContents"/>
              <w:bidi w:val="0"/>
              <w:spacing w:before="0" w:after="283"/>
              <w:jc w:val="left"/>
              <w:rPr>
                <w:b/>
              </w:rPr>
            </w:pPr>
            <w:r>
              <w:rPr>
                <w:b/>
              </w:rPr>
              <w:t>IV.</w:t>
            </w:r>
          </w:p>
        </w:tc>
        <w:tc>
          <w:tcPr>
            <w:tcW w:w="2870" w:type="dxa"/>
            <w:tcBorders/>
            <w:vAlign w:val="center"/>
          </w:tcPr>
          <w:p>
            <w:pPr>
              <w:pStyle w:val="TableContents"/>
              <w:bidi w:val="0"/>
              <w:spacing w:before="0" w:after="0"/>
              <w:jc w:val="left"/>
              <w:rPr>
                <w:b/>
              </w:rPr>
            </w:pPr>
            <w:r>
              <w:rPr>
                <w:b/>
              </w:rPr>
              <w:t>Recovery on a Restatement.</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In the event that the Company is required to prepare a Restatement, the Company shall reasonably promptly recover from an Executive Officer the amount of any erroneously awarded Incentive-Based Compensation that is Received by such Executive Officer during the Recovery Period.  The amount of erroneously Received Incentive-Based Compensation will be the excess of the Incentive-Based Compensation Received by the Executive Officer (whether in cash or shares) based on the erroneous data in the original financial statements over the Incentive-Based Compensation (whether in cash or in shares) that would have been Received by the Executive Officer had such Incentive-Based Compensation been based on the restated results, without respect to any tax liabilities incurred or paid by the Executive Officer.</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Recovery of any erroneously awarded compensation under this Policy is not dependent on fraud or misconduct by any Executive Officer in connection with a Restatement.</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Without limiting the foregoing, for Incentive-Based Compensation based on the Company’s stock price or total shareholder return, where the amount of erroneously awarded compensation is not subject to mathematical recalculation directly from the information in the Restatement, (i) the amount shall be based on the Company’s reasonable estimate of the effect of the Restatement on the stock price or total shareholder return upon which the Incentive-Based Compensation was Received and (ii) the Company shall maintain documentation of the determination of that reasonable estimate and provide such estimate to the Regulators as required by the Applicable Rules.</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In addition to the foregoing, in the event that an Executive Officer fails to promptly repay or reimburse erroneously awarded compensation that is subject to recovery, the Committee may require an Executive Officer to reimburse the Company for any and all expenses reasonably incurred (including legal fees) by the Company in recovering erroneously awarded compensation under this Policy.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8" w:name="z5f589eb0f7304aeb8eb1de467e380654"/>
      <w:bookmarkStart w:id="179" w:name="z5f589eb0f7304aeb8eb1de467e380654"/>
      <w:bookmarkEnd w:id="179"/>
    </w:p>
    <w:tbl>
      <w:tblPr>
        <w:tblW w:w="3040" w:type="dxa"/>
        <w:jc w:val="left"/>
        <w:tblInd w:w="0" w:type="dxa"/>
        <w:tblLayout w:type="fixed"/>
        <w:tblCellMar>
          <w:top w:w="0" w:type="dxa"/>
          <w:left w:w="0" w:type="dxa"/>
          <w:bottom w:w="0" w:type="dxa"/>
          <w:right w:w="0" w:type="dxa"/>
        </w:tblCellMar>
      </w:tblPr>
      <w:tblGrid>
        <w:gridCol w:w="275"/>
        <w:gridCol w:w="2765"/>
      </w:tblGrid>
      <w:tr>
        <w:trPr/>
        <w:tc>
          <w:tcPr>
            <w:tcW w:w="275" w:type="dxa"/>
            <w:tcBorders/>
            <w:vAlign w:val="center"/>
          </w:tcPr>
          <w:p>
            <w:pPr>
              <w:pStyle w:val="TableContents"/>
              <w:bidi w:val="0"/>
              <w:spacing w:before="0" w:after="283"/>
              <w:jc w:val="left"/>
              <w:rPr>
                <w:b/>
              </w:rPr>
            </w:pPr>
            <w:r>
              <w:rPr>
                <w:b/>
              </w:rPr>
              <w:t>V.</w:t>
            </w:r>
          </w:p>
        </w:tc>
        <w:tc>
          <w:tcPr>
            <w:tcW w:w="2765" w:type="dxa"/>
            <w:tcBorders/>
            <w:vAlign w:val="center"/>
          </w:tcPr>
          <w:p>
            <w:pPr>
              <w:pStyle w:val="TableContents"/>
              <w:bidi w:val="0"/>
              <w:spacing w:before="0" w:after="0"/>
              <w:jc w:val="left"/>
              <w:rPr>
                <w:b/>
              </w:rPr>
            </w:pPr>
            <w:r>
              <w:rPr>
                <w:b/>
              </w:rPr>
              <w:t>Coverage and Application.</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This Policy covers all persons who are Executive Officers at any time during the Recovery Period for which Incentive-Based Compensation is Received.  Incentive-Based Compensation shall not be recovered under this Policy to the extent Received by any person before the date the person served as an Executive Officer.  Subsequent changes in an Executive Officer’s employment status, including retirement or termination of employment, do not affect the Company’s right to recover Incentive-Based Compensation pursuant to this Policy.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This Policy shall apply to Incentive-Based Compensation that is Received by any Executive Officer on or after the Effective Date and that results from attainment of a Financial Reporting Measure based on or derived from financial information for any fiscal period ending on or after the Effective Date.  For the avoidance of doubt, this will include Incentive-Based Compensation that may have been approved, awarded, or granted to an Executive Officer on or before the Effective Date if such Incentive-Based Compensation is Received after the Effective Date.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0" w:name="z8db3d1aa8f5d44fe836e996d4862a469"/>
      <w:bookmarkStart w:id="181" w:name="z8db3d1aa8f5d44fe836e996d4862a469"/>
      <w:bookmarkEnd w:id="181"/>
    </w:p>
    <w:tbl>
      <w:tblPr>
        <w:tblW w:w="2500" w:type="dxa"/>
        <w:jc w:val="left"/>
        <w:tblInd w:w="0" w:type="dxa"/>
        <w:tblLayout w:type="fixed"/>
        <w:tblCellMar>
          <w:top w:w="0" w:type="dxa"/>
          <w:left w:w="0" w:type="dxa"/>
          <w:bottom w:w="0" w:type="dxa"/>
          <w:right w:w="0" w:type="dxa"/>
        </w:tblCellMar>
      </w:tblPr>
      <w:tblGrid>
        <w:gridCol w:w="365"/>
        <w:gridCol w:w="2135"/>
      </w:tblGrid>
      <w:tr>
        <w:trPr/>
        <w:tc>
          <w:tcPr>
            <w:tcW w:w="365" w:type="dxa"/>
            <w:tcBorders/>
            <w:vAlign w:val="center"/>
          </w:tcPr>
          <w:p>
            <w:pPr>
              <w:pStyle w:val="TableContents"/>
              <w:bidi w:val="0"/>
              <w:spacing w:before="0" w:after="283"/>
              <w:jc w:val="left"/>
              <w:rPr>
                <w:b/>
              </w:rPr>
            </w:pPr>
            <w:r>
              <w:rPr>
                <w:b/>
              </w:rPr>
              <w:t>VI.</w:t>
            </w:r>
          </w:p>
        </w:tc>
        <w:tc>
          <w:tcPr>
            <w:tcW w:w="2135" w:type="dxa"/>
            <w:tcBorders/>
            <w:vAlign w:val="center"/>
          </w:tcPr>
          <w:p>
            <w:pPr>
              <w:pStyle w:val="TableContents"/>
              <w:bidi w:val="0"/>
              <w:spacing w:before="0" w:after="0"/>
              <w:jc w:val="left"/>
              <w:rPr>
                <w:b/>
              </w:rPr>
            </w:pPr>
            <w:r>
              <w:rPr>
                <w:b/>
              </w:rPr>
              <w:t>Exceptions to Policy.</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No recovery of Incentive-Based Compensation shall be required if any of the following conditions are met and the Committee determines that, on such basis, recovery would be impracticable: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2" w:name="z6b511531e7e04b45aa2ccaac65d43a05"/>
      <w:bookmarkStart w:id="183" w:name="z6b511531e7e04b45aa2ccaac65d43a05"/>
      <w:bookmarkEnd w:id="183"/>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pPr>
            <w:r>
              <w:rPr/>
            </w:r>
          </w:p>
        </w:tc>
        <w:tc>
          <w:tcPr>
            <w:tcW w:w="213"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0"/>
              <w:jc w:val="left"/>
              <w:rPr/>
            </w:pPr>
            <w:r>
              <w:rPr/>
              <w:t xml:space="preserve">the direct expense paid to a third party to assist in enforcing this Policy would exceed the amount to be recovered; </w:t>
            </w:r>
            <w:r>
              <w:rPr>
                <w:i/>
              </w:rPr>
              <w:t>provided</w:t>
            </w:r>
            <w:r>
              <w:rPr/>
              <w:t xml:space="preserve"> that prior to making a determination that it would be impracticable to recover any Incentive-Based Compensation based on the expense of enforcement, the Company shall (i) have made a reasonable attempt to recover the Incentive-Based Compensation, (ii) have documented such reasonable attempts to recover, and (iii) provide the documentation to the Regulators as required by the Applicable Rules;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4" w:name="z314e93a8c654467ea2342a379984ef78"/>
      <w:bookmarkStart w:id="185" w:name="z314e93a8c654467ea2342a379984ef78"/>
      <w:bookmarkEnd w:id="185"/>
    </w:p>
    <w:tbl>
      <w:tblPr>
        <w:tblW w:w="10038" w:type="dxa"/>
        <w:jc w:val="left"/>
        <w:tblInd w:w="0" w:type="dxa"/>
        <w:tblLayout w:type="fixed"/>
        <w:tblCellMar>
          <w:top w:w="0" w:type="dxa"/>
          <w:left w:w="0" w:type="dxa"/>
          <w:bottom w:w="0" w:type="dxa"/>
          <w:right w:w="0" w:type="dxa"/>
        </w:tblCellMar>
      </w:tblPr>
      <w:tblGrid>
        <w:gridCol w:w="38"/>
        <w:gridCol w:w="290"/>
        <w:gridCol w:w="971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(b)</w:t>
            </w:r>
          </w:p>
        </w:tc>
        <w:tc>
          <w:tcPr>
            <w:tcW w:w="9710" w:type="dxa"/>
            <w:tcBorders/>
            <w:vAlign w:val="center"/>
          </w:tcPr>
          <w:p>
            <w:pPr>
              <w:pStyle w:val="TableContents"/>
              <w:bidi w:val="0"/>
              <w:spacing w:before="0" w:after="0"/>
              <w:jc w:val="left"/>
              <w:rPr/>
            </w:pPr>
            <w:r>
              <w:rPr/>
              <w:t>recovery would violate home country law where that law was adopted prior to November 28, 2022; or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6" w:name="zb7a053bd603f4a5b9eaf2d86d5228d80"/>
      <w:bookmarkStart w:id="187" w:name="zb7a053bd603f4a5b9eaf2d86d5228d80"/>
      <w:bookmarkEnd w:id="187"/>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pPr>
            <w:r>
              <w:rPr/>
              <w:t>recovery would likely cause an otherwise tax-qualified retirement plan, under which benefits are broadly available to employees, to fail to meet the requirements of Section 401(a)(13) or Section 411(a) of the Internal Revenue Code of 1986, as amended (the “</w:t>
            </w:r>
            <w:r>
              <w:rPr>
                <w:u w:val="single"/>
              </w:rPr>
              <w:t>Code</w:t>
            </w:r>
            <w:r>
              <w:rPr/>
              <w:t>”), and U.S. Treasury regulations promulgated thereunder.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8" w:name="zebdd9974e6664e92bba6b2aedb8d4c99"/>
      <w:bookmarkStart w:id="189" w:name="zebdd9974e6664e92bba6b2aedb8d4c99"/>
      <w:bookmarkEnd w:id="189"/>
    </w:p>
    <w:tbl>
      <w:tblPr>
        <w:tblW w:w="2710" w:type="dxa"/>
        <w:jc w:val="left"/>
        <w:tblInd w:w="0" w:type="dxa"/>
        <w:tblLayout w:type="fixed"/>
        <w:tblCellMar>
          <w:top w:w="0" w:type="dxa"/>
          <w:left w:w="0" w:type="dxa"/>
          <w:bottom w:w="0" w:type="dxa"/>
          <w:right w:w="0" w:type="dxa"/>
        </w:tblCellMar>
      </w:tblPr>
      <w:tblGrid>
        <w:gridCol w:w="455"/>
        <w:gridCol w:w="2255"/>
      </w:tblGrid>
      <w:tr>
        <w:trPr/>
        <w:tc>
          <w:tcPr>
            <w:tcW w:w="455" w:type="dxa"/>
            <w:tcBorders/>
            <w:vAlign w:val="center"/>
          </w:tcPr>
          <w:p>
            <w:pPr>
              <w:pStyle w:val="TableContents"/>
              <w:bidi w:val="0"/>
              <w:spacing w:before="0" w:after="283"/>
              <w:jc w:val="left"/>
              <w:rPr>
                <w:b/>
              </w:rPr>
            </w:pPr>
            <w:r>
              <w:rPr>
                <w:b/>
              </w:rPr>
              <w:t>VII.</w:t>
            </w:r>
          </w:p>
        </w:tc>
        <w:tc>
          <w:tcPr>
            <w:tcW w:w="2255" w:type="dxa"/>
            <w:tcBorders/>
            <w:vAlign w:val="center"/>
          </w:tcPr>
          <w:p>
            <w:pPr>
              <w:pStyle w:val="TableContents"/>
              <w:bidi w:val="0"/>
              <w:spacing w:before="0" w:after="0"/>
              <w:jc w:val="left"/>
              <w:rPr>
                <w:b/>
              </w:rPr>
            </w:pPr>
            <w:r>
              <w:rPr>
                <w:b/>
              </w:rPr>
              <w:t>Methods of Recovery.</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In the event of a Clawback Event, subject to applicable law, the Committee may take any such actions as it deems necessary or appropriate, including, without limitation: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0" w:name="zbb992ebb138541e797988f17f3ddd83d"/>
      <w:bookmarkStart w:id="191" w:name="zbb992ebb138541e797988f17f3ddd83d"/>
      <w:bookmarkEnd w:id="191"/>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pPr>
            <w:r>
              <w:rPr/>
            </w:r>
          </w:p>
        </w:tc>
        <w:tc>
          <w:tcPr>
            <w:tcW w:w="233"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0"/>
              <w:jc w:val="left"/>
              <w:rPr/>
            </w:pPr>
            <w:r>
              <w:rPr/>
              <w:t>the reduction or cancellation of any Incentive-Based Compensation in the form of vested or unvested equity or equity-based awards that have not been distributed or otherwise settled prior to the date of determination;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2" w:name="z5880dc74837b4d39916bf62b04789c12"/>
      <w:bookmarkStart w:id="193" w:name="z5880dc74837b4d39916bf62b04789c12"/>
      <w:bookmarkEnd w:id="193"/>
    </w:p>
    <w:tbl>
      <w:tblPr>
        <w:tblW w:w="9948" w:type="dxa"/>
        <w:jc w:val="left"/>
        <w:tblInd w:w="0" w:type="dxa"/>
        <w:tblLayout w:type="fixed"/>
        <w:tblCellMar>
          <w:top w:w="0" w:type="dxa"/>
          <w:left w:w="0" w:type="dxa"/>
          <w:bottom w:w="0" w:type="dxa"/>
          <w:right w:w="0" w:type="dxa"/>
        </w:tblCellMar>
      </w:tblPr>
      <w:tblGrid>
        <w:gridCol w:w="38"/>
        <w:gridCol w:w="290"/>
        <w:gridCol w:w="962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(b)</w:t>
            </w:r>
          </w:p>
        </w:tc>
        <w:tc>
          <w:tcPr>
            <w:tcW w:w="9620" w:type="dxa"/>
            <w:tcBorders/>
            <w:vAlign w:val="center"/>
          </w:tcPr>
          <w:p>
            <w:pPr>
              <w:pStyle w:val="TableContents"/>
              <w:bidi w:val="0"/>
              <w:spacing w:before="0" w:after="0"/>
              <w:jc w:val="left"/>
              <w:rPr/>
            </w:pPr>
            <w:r>
              <w:rPr/>
              <w:t>the recovery of any Incentive-Based Compensation that was previously paid to the Executive Officer;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4" w:name="z2b794aa6532d409ea7eeab356efc0760"/>
      <w:bookmarkStart w:id="195" w:name="z2b794aa6532d409ea7eeab356efc0760"/>
      <w:bookmarkEnd w:id="195"/>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pPr>
            <w:r>
              <w:rPr/>
              <w:t>(c)</w:t>
            </w:r>
          </w:p>
        </w:tc>
        <w:tc>
          <w:tcPr>
            <w:tcW w:w="9929" w:type="dxa"/>
            <w:tcBorders/>
            <w:vAlign w:val="center"/>
          </w:tcPr>
          <w:p>
            <w:pPr>
              <w:pStyle w:val="TableContents"/>
              <w:bidi w:val="0"/>
              <w:spacing w:before="0" w:after="0"/>
              <w:jc w:val="left"/>
              <w:rPr/>
            </w:pPr>
            <w:r>
              <w:rPr/>
              <w:t>the recovery of any gain realized on the vesting, exercise, settlement, sale, transfer, or other disposition of any Incentive-Based Compensation in the form of equity or equity-based awards;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6" w:name="z6bd41e8016c245afb3e643f6b7f32af8"/>
      <w:bookmarkStart w:id="197" w:name="z6bd41e8016c245afb3e643f6b7f32af8"/>
      <w:bookmarkEnd w:id="197"/>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t>(d)</w:t>
            </w:r>
          </w:p>
        </w:tc>
        <w:tc>
          <w:tcPr>
            <w:tcW w:w="9898" w:type="dxa"/>
            <w:tcBorders/>
            <w:vAlign w:val="center"/>
          </w:tcPr>
          <w:p>
            <w:pPr>
              <w:pStyle w:val="TableContents"/>
              <w:bidi w:val="0"/>
              <w:spacing w:before="0" w:after="0"/>
              <w:jc w:val="left"/>
              <w:rPr/>
            </w:pPr>
            <w:r>
              <w:rPr/>
              <w:t>the offset, withholding, or elimination of any amount that could be paid or awarded to the Executive Officer after the date of determination;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8" w:name="z2399556be34147e2a18cb54d4fbeda7b"/>
      <w:bookmarkStart w:id="199" w:name="z2399556be34147e2a18cb54d4fbeda7b"/>
      <w:bookmarkEnd w:id="199"/>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0"/>
              <w:jc w:val="left"/>
              <w:rPr/>
            </w:pPr>
            <w:r>
              <w:rPr/>
              <w:t>the recoupment of any amount in respect of Incentive-Based Compensation contributed to a plan that takes into account Incentive-Based Compensation (excluding certain tax-qualified plans, but including long-term disability, life insurance, supplemental executive retirement plans and deferred compensation plans, in each case to the extent permitted by applicable law, including Section 409A of the Code) and any earnings accrued to date on any such amount;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0" w:name="z309e4f8016b74e03aede648c5d00b448"/>
      <w:bookmarkStart w:id="201" w:name="z309e4f8016b74e03aede648c5d00b448"/>
      <w:bookmarkEnd w:id="201"/>
    </w:p>
    <w:tbl>
      <w:tblPr>
        <w:tblW w:w="10113" w:type="dxa"/>
        <w:jc w:val="left"/>
        <w:tblInd w:w="0" w:type="dxa"/>
        <w:tblLayout w:type="fixed"/>
        <w:tblCellMar>
          <w:top w:w="0" w:type="dxa"/>
          <w:left w:w="0" w:type="dxa"/>
          <w:bottom w:w="0" w:type="dxa"/>
          <w:right w:w="0" w:type="dxa"/>
        </w:tblCellMar>
      </w:tblPr>
      <w:tblGrid>
        <w:gridCol w:w="38"/>
        <w:gridCol w:w="245"/>
        <w:gridCol w:w="983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(f)</w:t>
            </w:r>
          </w:p>
        </w:tc>
        <w:tc>
          <w:tcPr>
            <w:tcW w:w="9830" w:type="dxa"/>
            <w:tcBorders/>
            <w:vAlign w:val="center"/>
          </w:tcPr>
          <w:p>
            <w:pPr>
              <w:pStyle w:val="TableContents"/>
              <w:bidi w:val="0"/>
              <w:spacing w:before="0" w:after="0"/>
              <w:jc w:val="left"/>
              <w:rPr/>
            </w:pPr>
            <w:r>
              <w:rPr/>
              <w:t>the taking of any other remedial and recovery action permitted by law, as determined by the Committee.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In addition, the Committee may authorize legal action for breach of fiduciary duty or other violation of law and take such other actions to enforce the Executive Officer’s obligations to the Company as the Committee deems appropriate.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2" w:name="z8ad135c294ac4b5d8e4ce45ce62598e3"/>
      <w:bookmarkStart w:id="203" w:name="z8ad135c294ac4b5d8e4ce45ce62598e3"/>
      <w:bookmarkEnd w:id="203"/>
    </w:p>
    <w:tbl>
      <w:tblPr>
        <w:tblW w:w="2050" w:type="dxa"/>
        <w:jc w:val="left"/>
        <w:tblInd w:w="0" w:type="dxa"/>
        <w:tblLayout w:type="fixed"/>
        <w:tblCellMar>
          <w:top w:w="0" w:type="dxa"/>
          <w:left w:w="0" w:type="dxa"/>
          <w:bottom w:w="0" w:type="dxa"/>
          <w:right w:w="0" w:type="dxa"/>
        </w:tblCellMar>
      </w:tblPr>
      <w:tblGrid>
        <w:gridCol w:w="545"/>
        <w:gridCol w:w="1505"/>
      </w:tblGrid>
      <w:tr>
        <w:trPr/>
        <w:tc>
          <w:tcPr>
            <w:tcW w:w="545" w:type="dxa"/>
            <w:tcBorders/>
            <w:vAlign w:val="center"/>
          </w:tcPr>
          <w:p>
            <w:pPr>
              <w:pStyle w:val="TableContents"/>
              <w:bidi w:val="0"/>
              <w:spacing w:before="0" w:after="283"/>
              <w:jc w:val="left"/>
              <w:rPr>
                <w:b/>
              </w:rPr>
            </w:pPr>
            <w:r>
              <w:rPr>
                <w:b/>
              </w:rPr>
              <w:t>VIII.</w:t>
            </w:r>
          </w:p>
        </w:tc>
        <w:tc>
          <w:tcPr>
            <w:tcW w:w="1505" w:type="dxa"/>
            <w:tcBorders/>
            <w:vAlign w:val="center"/>
          </w:tcPr>
          <w:p>
            <w:pPr>
              <w:pStyle w:val="TableContents"/>
              <w:bidi w:val="0"/>
              <w:spacing w:before="0" w:after="0"/>
              <w:jc w:val="left"/>
              <w:rPr>
                <w:b/>
              </w:rPr>
            </w:pPr>
            <w:r>
              <w:rPr>
                <w:b/>
              </w:rPr>
              <w:t>Miscellaneous.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4" w:name="zfbb72e8e31b846819a8590d34c573614"/>
      <w:bookmarkStart w:id="205" w:name="zfbb72e8e31b846819a8590d34c573614"/>
      <w:bookmarkEnd w:id="205"/>
    </w:p>
    <w:tbl>
      <w:tblPr>
        <w:tblW w:w="8763" w:type="dxa"/>
        <w:jc w:val="left"/>
        <w:tblInd w:w="0" w:type="dxa"/>
        <w:tblLayout w:type="fixed"/>
        <w:tblCellMar>
          <w:top w:w="0" w:type="dxa"/>
          <w:left w:w="0" w:type="dxa"/>
          <w:bottom w:w="0" w:type="dxa"/>
          <w:right w:w="0" w:type="dxa"/>
        </w:tblCellMar>
      </w:tblPr>
      <w:tblGrid>
        <w:gridCol w:w="38"/>
        <w:gridCol w:w="275"/>
        <w:gridCol w:w="845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(a)</w:t>
            </w:r>
          </w:p>
        </w:tc>
        <w:tc>
          <w:tcPr>
            <w:tcW w:w="8450" w:type="dxa"/>
            <w:tcBorders/>
            <w:vAlign w:val="center"/>
          </w:tcPr>
          <w:p>
            <w:pPr>
              <w:pStyle w:val="TableContents"/>
              <w:bidi w:val="0"/>
              <w:spacing w:before="0" w:after="0"/>
              <w:jc w:val="left"/>
              <w:rPr/>
            </w:pPr>
            <w:r>
              <w:rPr>
                <w:i/>
              </w:rPr>
              <w:t>Effective Date</w:t>
            </w:r>
            <w:r>
              <w:rPr/>
              <w:t>.  This Policy shall be effective as of December 1, 2023 (“</w:t>
            </w:r>
            <w:r>
              <w:rPr>
                <w:u w:val="single"/>
              </w:rPr>
              <w:t>Effective Date</w:t>
            </w:r>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6" w:name="z7348d3bbfa754f759219257f41a075a2"/>
      <w:bookmarkStart w:id="207" w:name="z7348d3bbfa754f759219257f41a075a2"/>
      <w:bookmarkEnd w:id="207"/>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0"/>
              <w:jc w:val="left"/>
              <w:rPr/>
            </w:pPr>
            <w:r>
              <w:rPr>
                <w:i/>
              </w:rPr>
              <w:t>Public Disclosure</w:t>
            </w:r>
            <w:r>
              <w:rPr/>
              <w:t>.  The Company shall make all required disclosures and filings with the Regulators with respect to this Policy in accordance with the requirements of the Applicable Rules, and any other requirements applicable to the Company, including any disclosures required in connection with SEC filings.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8" w:name="z5046bdcde5a34d518f84ef0465e7c906"/>
      <w:bookmarkStart w:id="209" w:name="z5046bdcde5a34d518f84ef0465e7c906"/>
      <w:bookmarkEnd w:id="209"/>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pPr>
            <w:r>
              <w:rPr/>
            </w:r>
          </w:p>
        </w:tc>
        <w:tc>
          <w:tcPr>
            <w:tcW w:w="216"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0"/>
              <w:jc w:val="left"/>
              <w:rPr/>
            </w:pPr>
            <w:r>
              <w:rPr>
                <w:i/>
              </w:rPr>
              <w:t>Notice</w:t>
            </w:r>
            <w:r>
              <w:rPr/>
              <w:t>. Before the Company takes action to seek recovery of compensation pursuant to this Policy against an Executive Officer, the Company shall take commercially reasonable steps to provide such individual with advance written notice of such clawback; provided that this notice requirement shall not in any way delay the reasonably prompt recovery of any erroneously awarded Incentive-Based Compensation.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0" w:name="z8df6f8915cb24e94822c6a3700296c09"/>
      <w:bookmarkStart w:id="211" w:name="z8df6f8915cb24e94822c6a3700296c09"/>
      <w:bookmarkEnd w:id="211"/>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pPr>
            <w:r>
              <w:rPr/>
              <w:t>(d)</w:t>
            </w:r>
          </w:p>
        </w:tc>
        <w:tc>
          <w:tcPr>
            <w:tcW w:w="9931" w:type="dxa"/>
            <w:tcBorders/>
            <w:vAlign w:val="center"/>
          </w:tcPr>
          <w:p>
            <w:pPr>
              <w:pStyle w:val="TableContents"/>
              <w:bidi w:val="0"/>
              <w:spacing w:before="0" w:after="0"/>
              <w:jc w:val="left"/>
              <w:rPr/>
            </w:pPr>
            <w:r>
              <w:rPr>
                <w:i/>
              </w:rPr>
              <w:t>No Indemnification</w:t>
            </w:r>
            <w:r>
              <w:rPr/>
              <w:t>.  The Company shall not indemnify any current or former Executive Officer against the loss of erroneously awarded compensation and shall not pay or reimburse any Executive Officer for premiums incurred or paid for any insurance policy to fund such Executive Officer’s potential recovery obligations.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2" w:name="z17d8c1e3fd6e47f9b843f88467cd7374"/>
      <w:bookmarkStart w:id="213" w:name="z17d8c1e3fd6e47f9b843f88467cd7374"/>
      <w:bookmarkEnd w:id="213"/>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pPr>
            <w:r>
              <w:rPr/>
              <w:t>(e)</w:t>
            </w:r>
          </w:p>
        </w:tc>
        <w:tc>
          <w:tcPr>
            <w:tcW w:w="9961" w:type="dxa"/>
            <w:tcBorders/>
            <w:vAlign w:val="center"/>
          </w:tcPr>
          <w:p>
            <w:pPr>
              <w:pStyle w:val="TableContents"/>
              <w:bidi w:val="0"/>
              <w:spacing w:before="0" w:after="0"/>
              <w:jc w:val="left"/>
              <w:rPr/>
            </w:pPr>
            <w:r>
              <w:rPr>
                <w:i/>
              </w:rPr>
              <w:t>No Substitution of Rights; Non-Exhaustive Rights</w:t>
            </w:r>
            <w:r>
              <w:rPr/>
              <w:t>.  Any right of recoupment under this Policy is in addition to, and not in lieu of, any other remedies or rights of recoupment that may be available to the Company pursuant to (i) any equity or equity-based incentive compensation plan or any successor plan thereto, any cash-based bonus plan or any other incentive plan of the Company or any of its subsidiaries or affiliates or (ii) the terms of any similar policy or provision in any employment agreement, compensation agreement or arrangement, or similar agreement and any other legal remedies available to the Company.  In addition to recovery of compensation as provided for in this Policy, the Company may take any and all other actions as it deems necessary, appropriate and in the Company’s best interest in connection with a Clawback Event, including termination of an Executive Officer’s employment and initiating legal action against an Executive Officer, and nothing in this Policy limits the Company’s rights to take any such or other appropriate actions.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4" w:name="zfd951a51047a47e38cd6d333f0c02795"/>
      <w:bookmarkStart w:id="215" w:name="zfd951a51047a47e38cd6d333f0c02795"/>
      <w:bookmarkEnd w:id="215"/>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pPr>
            <w:r>
              <w:rPr/>
            </w:r>
          </w:p>
        </w:tc>
        <w:tc>
          <w:tcPr>
            <w:tcW w:w="181"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0"/>
              <w:jc w:val="left"/>
              <w:rPr/>
            </w:pPr>
            <w:r>
              <w:rPr>
                <w:i/>
              </w:rPr>
              <w:t>Governing Law</w:t>
            </w:r>
            <w:r>
              <w:rPr/>
              <w:t>. This Policy and all determinations made and actions taken pursuant hereto, to the extent not otherwise governed by mandatory provisions of the Applicable Rules, shall be governed by and construed in accordance with the laws of the State of Delaware without regard to choice of law principles.  If any provision of this Policy shall be held illegal or invalid for any reason, such illegality or invalidity shall not affect the remaining parts of this Policy, but this Policy shall be construed and enforced as if the illegal or invalid provision had never been included in this Policy.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6" w:name="z91ee4d51621845a39f60ffe01bef0508"/>
      <w:bookmarkStart w:id="217" w:name="z91ee4d51621845a39f60ffe01bef0508"/>
      <w:bookmarkEnd w:id="217"/>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pPr>
            <w:r>
              <w:rPr/>
              <w:t>(g)</w:t>
            </w:r>
          </w:p>
        </w:tc>
        <w:tc>
          <w:tcPr>
            <w:tcW w:w="9938" w:type="dxa"/>
            <w:tcBorders/>
            <w:vAlign w:val="center"/>
          </w:tcPr>
          <w:p>
            <w:pPr>
              <w:pStyle w:val="TableContents"/>
              <w:bidi w:val="0"/>
              <w:spacing w:before="0" w:after="0"/>
              <w:jc w:val="left"/>
              <w:rPr/>
            </w:pPr>
            <w:r>
              <w:rPr>
                <w:i/>
              </w:rPr>
              <w:t>Amendment; Termination; Sunset</w:t>
            </w:r>
            <w:r>
              <w:rPr/>
              <w:t>.  The Board, based upon the recommendation of the Committee, may amend this Policy at any time for any reason, subject to any limitations under the Applicable Rules.  Unless otherwise required by applicable law, this Policy shall no longer be effective from and after the date that the Company no longer has a class of securities publicly listed on a U.S. national securities exchange or is otherwise not subject to the Applicable Rules.</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68514/000119380519000774/e618626_ex3-1.htm" TargetMode="External"/><Relationship Id="rId4" Type="http://schemas.openxmlformats.org/officeDocument/2006/relationships/hyperlink" Target="https://www.sec.gov/Archives/edgar/data/1368514/000119380521000749/e620651_ex3-1.htm" TargetMode="External"/><Relationship Id="rId5" Type="http://schemas.openxmlformats.org/officeDocument/2006/relationships/hyperlink" Target="https://www.sec.gov/Archives/edgar/data/1368514/000119380516004084/e615468_ex3-1.htm" TargetMode="External"/><Relationship Id="rId6" Type="http://schemas.openxmlformats.org/officeDocument/2006/relationships/hyperlink" Target="https://www.sec.gov/Archives/edgar/data/1368514/000114036121042611/brhc10032042_ex3-1.htm" TargetMode="External"/><Relationship Id="rId7" Type="http://schemas.openxmlformats.org/officeDocument/2006/relationships/hyperlink" Target="https://www.sec.gov/Archives/edgar/data/1368514/000119380512000555/e609522_ex4-1.htm" TargetMode="External"/><Relationship Id="rId8" Type="http://schemas.openxmlformats.org/officeDocument/2006/relationships/hyperlink" Target="https://www.sec.gov/Archives/edgar/data/1368514/000119380516003247/e615009_ex4-6.htm" TargetMode="External"/><Relationship Id="rId9" Type="http://schemas.openxmlformats.org/officeDocument/2006/relationships/hyperlink" Target="https://www.sec.gov/Archives/edgar/data/1368514/000119380517003270/e617372_ex4-2.htm" TargetMode="External"/><Relationship Id="rId10" Type="http://schemas.openxmlformats.org/officeDocument/2006/relationships/hyperlink" Target="https://www.sec.gov/Archives/edgar/data/1368514/000119380519000160/e618213_ex4-2.htm" TargetMode="External"/><Relationship Id="rId11" Type="http://schemas.openxmlformats.org/officeDocument/2006/relationships/hyperlink" Target="https://www.sec.gov/Archives/edgar/data/1368514/000119380519000441/e618411_ex4-2.htm" TargetMode="External"/><Relationship Id="rId12" Type="http://schemas.openxmlformats.org/officeDocument/2006/relationships/hyperlink" Target="https://www.sec.gov/Archives/edgar/data/1368514/000119380521000411/adma_ex47.htm" TargetMode="External"/><Relationship Id="rId13" Type="http://schemas.openxmlformats.org/officeDocument/2006/relationships/hyperlink" Target="https://www.sec.gov/Archives/edgar/data/1368514/000114036122011030/brhc10035480_ex4-11.htm" TargetMode="External"/><Relationship Id="rId14" Type="http://schemas.openxmlformats.org/officeDocument/2006/relationships/hyperlink" Target="https://www.sec.gov/Archives/edgar/data/1368514/000114036122011030/brhc10035480_ex4-13.htm" TargetMode="External"/><Relationship Id="rId15" Type="http://schemas.openxmlformats.org/officeDocument/2006/relationships/hyperlink" Target="https://www.sec.gov/Archives/edgar/data/1368514/000114036123022312/brhc20052223_ex4-1.htm" TargetMode="External"/><Relationship Id="rId16" Type="http://schemas.openxmlformats.org/officeDocument/2006/relationships/hyperlink" Target="https://www.sec.gov/Archives/edgar/data/1368514/000119380512001750/e610168_def14c-adma.htm" TargetMode="External"/><Relationship Id="rId17" Type="http://schemas.openxmlformats.org/officeDocument/2006/relationships/hyperlink" Target="https://www.sec.gov/Archives/edgar/data/1368514/000119380517001506/e616485_ex10-1.htm" TargetMode="External"/><Relationship Id="rId18" Type="http://schemas.openxmlformats.org/officeDocument/2006/relationships/hyperlink" Target="https://www.sec.gov/Archives/edgar/data/1368514/000119380519000098/e618169_ex10-1.htm" TargetMode="External"/><Relationship Id="rId19" Type="http://schemas.openxmlformats.org/officeDocument/2006/relationships/hyperlink" Target="https://www.sec.gov/Archives/edgar/data/1368514/000114036121033302/brhc10029407_ex10-2.htm" TargetMode="External"/><Relationship Id="rId20" Type="http://schemas.openxmlformats.org/officeDocument/2006/relationships/hyperlink" Target="https://www.sec.gov/Archives/edgar/data/1368514/000119380519000098/e618169_ex10-3.htm" TargetMode="External"/><Relationship Id="rId21" Type="http://schemas.openxmlformats.org/officeDocument/2006/relationships/hyperlink" Target="https://www.sec.gov/Archives/edgar/data/1368514/000114036121033302/brhc10029407_ex10-3.htm" TargetMode="External"/><Relationship Id="rId22" Type="http://schemas.openxmlformats.org/officeDocument/2006/relationships/hyperlink" Target="https://www.sec.gov/Archives/edgar/data/1368514/000119380512001076/e609784_ex10-9.htm" TargetMode="External"/><Relationship Id="rId23" Type="http://schemas.openxmlformats.org/officeDocument/2006/relationships/hyperlink" Target="https://www.sec.gov/Archives/edgar/data/1368514/000119380516002889/e614766_ex10-31.htm" TargetMode="External"/><Relationship Id="rId24" Type="http://schemas.openxmlformats.org/officeDocument/2006/relationships/hyperlink" Target="https://www.sec.gov/Archives/edgar/data/1368514/000119380516003247/e615009_ex10-32.htm" TargetMode="External"/><Relationship Id="rId25" Type="http://schemas.openxmlformats.org/officeDocument/2006/relationships/hyperlink" Target="https://www.sec.gov/Archives/edgar/data/1368514/000119380517001446/e616455_ex10-9.htm" TargetMode="External"/><Relationship Id="rId26" Type="http://schemas.openxmlformats.org/officeDocument/2006/relationships/hyperlink" Target="https://www.sec.gov/Archives/edgar/data/1368514/000119380519000012/e618132_ex10-1.htm" TargetMode="External"/><Relationship Id="rId27" Type="http://schemas.openxmlformats.org/officeDocument/2006/relationships/hyperlink" Target="https://www.sec.gov/Archives/edgar/data/1368514/000119380517001446/e616455_ex10-5.htm" TargetMode="External"/><Relationship Id="rId28" Type="http://schemas.openxmlformats.org/officeDocument/2006/relationships/hyperlink" Target="https://www.sec.gov/Archives/edgar/data/1368514/000119380518001059/e618214_ex10-2.htm" TargetMode="External"/><Relationship Id="rId29" Type="http://schemas.openxmlformats.org/officeDocument/2006/relationships/hyperlink" Target="https://www.sec.gov/Archives/edgar/data/1368514/000119380516003725/e615266_ex10-18.htm" TargetMode="External"/><Relationship Id="rId30" Type="http://schemas.openxmlformats.org/officeDocument/2006/relationships/hyperlink" Target="https://www.sec.gov/Archives/edgar/data/1368514/000119380512000196/e609275_ex10-12.htm" TargetMode="External"/><Relationship Id="rId31" Type="http://schemas.openxmlformats.org/officeDocument/2006/relationships/hyperlink" Target="https://www.sec.gov/Archives/edgar/data/1368514/000119380513000287/e610467_ex10-21.htm" TargetMode="External"/><Relationship Id="rId32" Type="http://schemas.openxmlformats.org/officeDocument/2006/relationships/hyperlink" Target="https://www.sec.gov/Archives/edgar/data/1368514/000119380517001446/e616455_ex10-8.htm" TargetMode="External"/><Relationship Id="rId33" Type="http://schemas.openxmlformats.org/officeDocument/2006/relationships/hyperlink" Target="https://www.sec.gov/Archives/edgar/data/1368514/000119380520000348/e619435_ex10-27.htm" TargetMode="External"/><Relationship Id="rId34" Type="http://schemas.openxmlformats.org/officeDocument/2006/relationships/hyperlink" Target="https://www.sec.gov/Archives/edgar/data/1368514/000114036122040738/brhc10043861_ex10-1.htm" TargetMode="External"/><Relationship Id="rId35" Type="http://schemas.openxmlformats.org/officeDocument/2006/relationships/hyperlink" Target="https://www.sec.gov/Archives/edgar/data/1368514/000114036121030391/ny20000594x2_ex1-1.htm" TargetMode="External"/><Relationship Id="rId36" Type="http://schemas.openxmlformats.org/officeDocument/2006/relationships/hyperlink" Target="https://www.sec.gov/Archives/edgar/data/1368514/000114036121033302/brhc10029407_ex10-1.htm" TargetMode="External"/><Relationship Id="rId37" Type="http://schemas.openxmlformats.org/officeDocument/2006/relationships/hyperlink" Target="https://www.sec.gov/Archives/edgar/data/1368514/000114036122023666/brhc10038967_ex10-1.htm" TargetMode="External"/><Relationship Id="rId38" Type="http://schemas.openxmlformats.org/officeDocument/2006/relationships/hyperlink" Target="https://www.sec.gov/Archives/edgar/data/1368514/000114036123058160/ef20016811_ex10-1.htm" TargetMode="External"/><Relationship Id="rId39" Type="http://schemas.openxmlformats.org/officeDocument/2006/relationships/hyperlink" Target="https://www.sec.gov/Archives/edgar/data/1368514/000114036123058160/ef20016811_ex10-2.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80648</Words>
  <Characters>458724</Characters>
  <CharactersWithSpaces>539227</CharactersWithSpaces>
  <Paragraphs>7255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