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5111_10q.htm"/>
      <w:bookmarkStart w:id="1" w:name="ksef20075111_10q"/>
      <w:bookmarkStart w:id="2" w:name="ef20075111_10q.htm"/>
      <w:bookmarkStart w:id="3" w:name="ksef20075111_10q"/>
      <w:bookmarkEnd w:id="2"/>
      <w:bookmarkEnd w:id="3"/>
    </w:p>
    <w:p>
      <w:pPr>
        <w:pStyle w:val="TextBody"/>
        <w:bidi w:val="0"/>
        <w:spacing w:before="0" w:after="0"/>
        <w:jc w:val="center"/>
        <w:rPr>
          <w:rFonts w:ascii="Times New Roman" w:hAnsi="Times New Roman"/>
          <w:sz w:val="28"/>
        </w:rPr>
      </w:pPr>
      <w:r>
        <w:rPr>
          <w:rFonts w:ascii="Times New Roman" w:hAnsi="Times New Roman"/>
          <w:b/>
          <w:sz w:val="28"/>
        </w:rPr>
        <w:t>UNITED STATES</w:t>
      </w:r>
      <w:r>
        <w:rPr>
          <w:rFonts w:ascii="Times New Roman" w:hAnsi="Times New Roman"/>
          <w:sz w:val="28"/>
        </w:rPr>
        <w:t xml:space="preserve"> </w:t>
      </w:r>
    </w:p>
    <w:p>
      <w:pPr>
        <w:pStyle w:val="TextBody"/>
        <w:bidi w:val="0"/>
        <w:spacing w:before="0" w:after="0"/>
        <w:jc w:val="center"/>
        <w:rPr>
          <w:rFonts w:ascii="Times New Roman" w:hAnsi="Times New Roman"/>
          <w:sz w:val="28"/>
        </w:rPr>
      </w:pPr>
      <w:r>
        <w:rPr>
          <w:rFonts w:ascii="Times New Roman" w:hAnsi="Times New Roman"/>
          <w:b/>
          <w:sz w:val="28"/>
        </w:rPr>
        <w:t>SECURITIES AND EXCHANGE COMMISSION</w:t>
      </w:r>
      <w:r>
        <w:rPr>
          <w:rFonts w:ascii="Times New Roman" w:hAnsi="Times New Roman"/>
          <w:sz w:val="28"/>
        </w:rPr>
        <w:t xml:space="preserve"> </w:t>
      </w:r>
    </w:p>
    <w:p>
      <w:pPr>
        <w:pStyle w:val="TextBody"/>
        <w:bidi w:val="0"/>
        <w:spacing w:before="0" w:after="0"/>
        <w:jc w:val="center"/>
        <w:rPr>
          <w:rFonts w:ascii="Times New Roman" w:hAnsi="Times New Roman"/>
          <w:sz w:val="24"/>
        </w:rPr>
      </w:pPr>
      <w:r>
        <w:rPr>
          <w:rFonts w:ascii="Times New Roman" w:hAnsi="Times New Roman"/>
          <w:b/>
          <w:sz w:val="24"/>
        </w:rPr>
        <w:t>WASHINGTON, D.C. 20549</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b/>
          <w:sz w:val="36"/>
        </w:rPr>
      </w:pPr>
      <w:r>
        <w:rPr>
          <w:rFonts w:ascii="Times New Roman" w:hAnsi="Times New Roman"/>
          <w:b/>
          <w:sz w:val="36"/>
        </w:rPr>
        <w:t xml:space="preserve">FORM 10-Q </w:t>
      </w:r>
    </w:p>
    <w:p>
      <w:pPr>
        <w:pStyle w:val="TextBody"/>
        <w:bidi w:val="0"/>
        <w:spacing w:before="0" w:after="0"/>
        <w:jc w:val="center"/>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(Mark One)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sz w:val="20"/>
        </w:rPr>
        <w:t xml:space="preserve">QUARTERLY REPORT PURSUANT TO SECTION 13 OR 15(d) OF THE SECURITIES EXCHANGE ACT OF 1934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rFonts w:ascii="Times New Roman" w:hAnsi="Times New Roman"/>
          <w:sz w:val="20"/>
        </w:rPr>
      </w:pPr>
      <w:r>
        <w:rPr>
          <w:rFonts w:ascii="Times New Roman" w:hAnsi="Times New Roman"/>
          <w:sz w:val="20"/>
        </w:rPr>
        <w:t xml:space="preserve">For the quarterly period ended </w:t>
      </w:r>
      <w:r>
        <w:rPr>
          <w:rFonts w:ascii="Times New Roman" w:hAnsi="Times New Roman"/>
          <w:sz w:val="20"/>
          <w:u w:val="single"/>
        </w:rPr>
        <w:t>June 30, 2026</w:t>
      </w:r>
      <w:r>
        <w:rPr>
          <w:rFonts w:ascii="Times New Roman" w:hAnsi="Times New Roman"/>
          <w:sz w:val="20"/>
        </w:rPr>
        <w:t xml:space="preserve"> </w:t>
      </w:r>
    </w:p>
    <w:p>
      <w:pPr>
        <w:pStyle w:val="TextBody"/>
        <w:bidi w:val="0"/>
        <w:spacing w:before="0" w:after="0"/>
        <w:ind w:left="720" w:right="0" w:hanging="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OR </w:t>
      </w:r>
    </w:p>
    <w:p>
      <w:pPr>
        <w:pStyle w:val="TextBody"/>
        <w:bidi w:val="0"/>
        <w:spacing w:before="0" w:after="0"/>
        <w:jc w:val="center"/>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sz w:val="20"/>
        </w:rPr>
        <w:t xml:space="preserve">TRANSITION REPORT PURSUANT TO SECTION 13 OR 15(d) OF THE SECURITIES EXCHANGE ACT OF 1934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rFonts w:ascii="Times New Roman" w:hAnsi="Times New Roman"/>
          <w:sz w:val="20"/>
        </w:rPr>
      </w:pPr>
      <w:r>
        <w:rPr>
          <w:rFonts w:ascii="Times New Roman" w:hAnsi="Times New Roman"/>
          <w:sz w:val="20"/>
        </w:rPr>
        <w:t xml:space="preserve">For the transition period from ________ to ________ </w:t>
      </w:r>
    </w:p>
    <w:p>
      <w:pPr>
        <w:pStyle w:val="TextBody"/>
        <w:bidi w:val="0"/>
        <w:spacing w:before="0" w:after="0"/>
        <w:jc w:val="center"/>
        <w:rPr>
          <w:rFonts w:ascii="Times New Roman" w:hAnsi="Times New Roman"/>
          <w:sz w:val="20"/>
        </w:rPr>
      </w:pPr>
      <w:r>
        <w:rPr>
          <w:rFonts w:ascii="Times New Roman" w:hAnsi="Times New Roman"/>
          <w:sz w:val="20"/>
        </w:rPr>
        <w:t xml:space="preserve">Commission file number </w:t>
      </w:r>
      <w:r>
        <w:rPr>
          <w:rFonts w:ascii="Times New Roman" w:hAnsi="Times New Roman"/>
          <w:sz w:val="20"/>
          <w:u w:val="single"/>
        </w:rPr>
        <w:t>001-36728</w:t>
      </w:r>
      <w:r>
        <w:rPr>
          <w:rFonts w:ascii="Times New Roman" w:hAnsi="Times New Roman"/>
          <w:sz w:val="20"/>
        </w:rPr>
        <w:t xml:space="preserve"> </w:t>
      </w:r>
    </w:p>
    <w:p>
      <w:pPr>
        <w:pStyle w:val="TextBody"/>
        <w:bidi w:val="0"/>
        <w:spacing w:before="0" w:after="0"/>
        <w:jc w:val="center"/>
        <w:rPr>
          <w:rFonts w:ascii="Times New Roman" w:hAnsi="Times New Roman"/>
          <w:sz w:val="48"/>
        </w:rPr>
      </w:pPr>
      <w:r>
        <w:rPr>
          <w:rFonts w:ascii="Times New Roman" w:hAnsi="Times New Roman"/>
          <w:b/>
          <w:color w:val="000000"/>
          <w:sz w:val="48"/>
          <w:u w:val="single"/>
        </w:rPr>
        <w:t>ADMA BIOLOGICS, INC.</w:t>
      </w:r>
      <w:r>
        <w:rPr>
          <w:rFonts w:ascii="Times New Roman" w:hAnsi="Times New Roman"/>
          <w:sz w:val="48"/>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(Exact name of registrant as specified in its charter)</w:t>
      </w:r>
      <w:r>
        <w:rPr>
          <w:rFonts w:ascii="Times New Roman" w:hAnsi="Times New Roman"/>
          <w:sz w:val="20"/>
        </w:rPr>
        <w:t xml:space="preserve"> </w:t>
      </w:r>
    </w:p>
    <w:p>
      <w:pPr>
        <w:pStyle w:val="TextBody"/>
        <w:bidi w:val="0"/>
        <w:spacing w:before="0" w:after="0"/>
        <w:jc w:val="left"/>
        <w:rPr/>
      </w:pPr>
      <w:r>
        <w:rPr/>
        <w:t xml:space="preserve">  </w:t>
      </w:r>
    </w:p>
    <w:tbl>
      <w:tblPr>
        <w:tblW w:w="8323" w:type="dxa"/>
        <w:jc w:val="left"/>
        <w:tblInd w:w="0" w:type="dxa"/>
        <w:tblLayout w:type="fixed"/>
        <w:tblCellMar>
          <w:top w:w="28" w:type="dxa"/>
          <w:left w:w="28" w:type="dxa"/>
          <w:bottom w:w="28" w:type="dxa"/>
          <w:right w:w="28" w:type="dxa"/>
        </w:tblCellMar>
      </w:tblPr>
      <w:tblGrid>
        <w:gridCol w:w="5026"/>
        <w:gridCol w:w="206"/>
        <w:gridCol w:w="3091"/>
      </w:tblGrid>
      <w:tr>
        <w:trPr/>
        <w:tc>
          <w:tcPr>
            <w:tcW w:w="502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5026" w:type="dxa"/>
            <w:tcBorders/>
            <w:tcMar>
              <w:top w:w="0" w:type="dxa"/>
              <w:left w:w="0" w:type="dxa"/>
              <w:bottom w:w="0" w:type="dxa"/>
              <w:right w:w="0" w:type="dxa"/>
            </w:tcMar>
            <w:vAlign w:val="center"/>
          </w:tcPr>
          <w:p>
            <w:pPr>
              <w:pStyle w:val="TableContents"/>
              <w:bidi w:val="0"/>
              <w:spacing w:before="0" w:after="0"/>
              <w:jc w:val="center"/>
              <w:rPr/>
            </w:pPr>
            <w:r>
              <w:rPr>
                <w:sz w:val="20"/>
                <w:u w:val="single"/>
              </w:rPr>
              <w:t>Delaware</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center"/>
              <w:rPr/>
            </w:pPr>
            <w:r>
              <w:rPr/>
              <w:t xml:space="preserve">  </w:t>
            </w:r>
          </w:p>
        </w:tc>
        <w:tc>
          <w:tcPr>
            <w:tcW w:w="3091" w:type="dxa"/>
            <w:tcBorders/>
            <w:tcMar>
              <w:top w:w="0" w:type="dxa"/>
              <w:left w:w="0" w:type="dxa"/>
              <w:bottom w:w="0" w:type="dxa"/>
              <w:right w:w="0" w:type="dxa"/>
            </w:tcMar>
            <w:vAlign w:val="center"/>
          </w:tcPr>
          <w:p>
            <w:pPr>
              <w:pStyle w:val="TableContents"/>
              <w:bidi w:val="0"/>
              <w:spacing w:before="0" w:after="0"/>
              <w:jc w:val="center"/>
              <w:rPr/>
            </w:pPr>
            <w:r>
              <w:rPr>
                <w:sz w:val="20"/>
                <w:u w:val="single"/>
              </w:rPr>
              <w:t>56-2590442</w:t>
            </w:r>
            <w:r>
              <w:rPr/>
              <w:t xml:space="preserve"> </w:t>
            </w:r>
          </w:p>
        </w:tc>
      </w:tr>
      <w:tr>
        <w:trPr/>
        <w:tc>
          <w:tcPr>
            <w:tcW w:w="5026" w:type="dxa"/>
            <w:tcBorders/>
            <w:tcMar>
              <w:top w:w="0" w:type="dxa"/>
              <w:left w:w="0" w:type="dxa"/>
              <w:bottom w:w="0" w:type="dxa"/>
              <w:right w:w="0" w:type="dxa"/>
            </w:tcMar>
            <w:vAlign w:val="center"/>
          </w:tcPr>
          <w:p>
            <w:pPr>
              <w:pStyle w:val="TableContents"/>
              <w:bidi w:val="0"/>
              <w:spacing w:before="0" w:after="0"/>
              <w:jc w:val="center"/>
              <w:rPr/>
            </w:pPr>
            <w:r>
              <w:rPr>
                <w:sz w:val="20"/>
              </w:rPr>
              <w:t>(State or other jurisdiction of incorporation or organization)</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center"/>
              <w:rPr/>
            </w:pPr>
            <w:r>
              <w:rPr/>
              <w:t xml:space="preserve">  </w:t>
            </w:r>
          </w:p>
        </w:tc>
        <w:tc>
          <w:tcPr>
            <w:tcW w:w="3091" w:type="dxa"/>
            <w:tcBorders/>
            <w:tcMar>
              <w:top w:w="0" w:type="dxa"/>
              <w:left w:w="0" w:type="dxa"/>
              <w:bottom w:w="0" w:type="dxa"/>
              <w:right w:w="0" w:type="dxa"/>
            </w:tcMar>
            <w:vAlign w:val="center"/>
          </w:tcPr>
          <w:p>
            <w:pPr>
              <w:pStyle w:val="TableContents"/>
              <w:bidi w:val="0"/>
              <w:spacing w:before="0" w:after="0"/>
              <w:jc w:val="center"/>
              <w:rPr/>
            </w:pPr>
            <w:r>
              <w:rPr>
                <w:sz w:val="20"/>
              </w:rPr>
              <w:t>(I.R.S. Employer Identification No.)</w:t>
            </w:r>
            <w:r>
              <w:rPr/>
              <w:t xml:space="preserve"> </w:t>
            </w:r>
          </w:p>
        </w:tc>
      </w:tr>
      <w:tr>
        <w:trPr/>
        <w:tc>
          <w:tcPr>
            <w:tcW w:w="5026" w:type="dxa"/>
            <w:tcBorders/>
            <w:tcMar>
              <w:top w:w="0" w:type="dxa"/>
              <w:left w:w="0" w:type="dxa"/>
              <w:bottom w:w="0" w:type="dxa"/>
              <w:right w:w="0" w:type="dxa"/>
            </w:tcMar>
            <w:vAlign w:val="center"/>
          </w:tcPr>
          <w:p>
            <w:pPr>
              <w:pStyle w:val="TableContents"/>
              <w:bidi w:val="0"/>
              <w:spacing w:before="0" w:after="0"/>
              <w:jc w:val="center"/>
              <w:rPr/>
            </w:pP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center"/>
              <w:rPr/>
            </w:pPr>
            <w:r>
              <w:rPr/>
              <w:t xml:space="preserve">  </w:t>
            </w:r>
          </w:p>
        </w:tc>
        <w:tc>
          <w:tcPr>
            <w:tcW w:w="3091" w:type="dxa"/>
            <w:tcBorders/>
            <w:tcMar>
              <w:top w:w="0" w:type="dxa"/>
              <w:left w:w="0" w:type="dxa"/>
              <w:bottom w:w="0" w:type="dxa"/>
              <w:right w:w="0" w:type="dxa"/>
            </w:tcMar>
            <w:vAlign w:val="center"/>
          </w:tcPr>
          <w:p>
            <w:pPr>
              <w:pStyle w:val="TableContents"/>
              <w:bidi w:val="0"/>
              <w:spacing w:before="0" w:after="0"/>
              <w:jc w:val="center"/>
              <w:rPr/>
            </w:pPr>
            <w:r>
              <w:rPr/>
              <w:t xml:space="preserve">  </w:t>
            </w:r>
          </w:p>
        </w:tc>
      </w:tr>
      <w:tr>
        <w:trPr/>
        <w:tc>
          <w:tcPr>
            <w:tcW w:w="5026" w:type="dxa"/>
            <w:tcBorders/>
            <w:tcMar>
              <w:top w:w="0" w:type="dxa"/>
              <w:left w:w="0" w:type="dxa"/>
              <w:bottom w:w="0" w:type="dxa"/>
              <w:right w:w="0" w:type="dxa"/>
            </w:tcMar>
            <w:vAlign w:val="center"/>
          </w:tcPr>
          <w:p>
            <w:pPr>
              <w:pStyle w:val="TableContents"/>
              <w:bidi w:val="0"/>
              <w:spacing w:before="0" w:after="0"/>
              <w:jc w:val="center"/>
              <w:rPr/>
            </w:pPr>
            <w:r>
              <w:rPr>
                <w:sz w:val="20"/>
                <w:u w:val="single"/>
              </w:rPr>
              <w:t>465 State Route 17, Ramsey, New Jersey</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center"/>
              <w:rPr/>
            </w:pPr>
            <w:r>
              <w:rPr/>
              <w:t xml:space="preserve">  </w:t>
            </w:r>
          </w:p>
        </w:tc>
        <w:tc>
          <w:tcPr>
            <w:tcW w:w="3091" w:type="dxa"/>
            <w:tcBorders/>
            <w:tcMar>
              <w:top w:w="0" w:type="dxa"/>
              <w:left w:w="0" w:type="dxa"/>
              <w:bottom w:w="0" w:type="dxa"/>
              <w:right w:w="0" w:type="dxa"/>
            </w:tcMar>
            <w:vAlign w:val="center"/>
          </w:tcPr>
          <w:p>
            <w:pPr>
              <w:pStyle w:val="TableContents"/>
              <w:bidi w:val="0"/>
              <w:spacing w:before="0" w:after="0"/>
              <w:jc w:val="center"/>
              <w:rPr/>
            </w:pPr>
            <w:r>
              <w:rPr>
                <w:sz w:val="20"/>
                <w:u w:val="single"/>
              </w:rPr>
              <w:t>07446</w:t>
            </w:r>
            <w:r>
              <w:rPr/>
              <w:t xml:space="preserve"> </w:t>
            </w:r>
          </w:p>
        </w:tc>
      </w:tr>
      <w:tr>
        <w:trPr/>
        <w:tc>
          <w:tcPr>
            <w:tcW w:w="5026" w:type="dxa"/>
            <w:tcBorders/>
            <w:tcMar>
              <w:top w:w="0" w:type="dxa"/>
              <w:left w:w="0" w:type="dxa"/>
              <w:bottom w:w="0" w:type="dxa"/>
              <w:right w:w="0" w:type="dxa"/>
            </w:tcMar>
            <w:vAlign w:val="center"/>
          </w:tcPr>
          <w:p>
            <w:pPr>
              <w:pStyle w:val="TableContents"/>
              <w:bidi w:val="0"/>
              <w:spacing w:before="0" w:after="0"/>
              <w:jc w:val="center"/>
              <w:rPr/>
            </w:pPr>
            <w:r>
              <w:rPr>
                <w:sz w:val="20"/>
              </w:rPr>
              <w:t>(Address of principal executive offices)</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center"/>
              <w:rPr/>
            </w:pPr>
            <w:r>
              <w:rPr/>
              <w:t xml:space="preserve">  </w:t>
            </w:r>
          </w:p>
        </w:tc>
        <w:tc>
          <w:tcPr>
            <w:tcW w:w="3091" w:type="dxa"/>
            <w:tcBorders/>
            <w:tcMar>
              <w:top w:w="0" w:type="dxa"/>
              <w:left w:w="0" w:type="dxa"/>
              <w:bottom w:w="0" w:type="dxa"/>
              <w:right w:w="0" w:type="dxa"/>
            </w:tcMar>
            <w:vAlign w:val="center"/>
          </w:tcPr>
          <w:p>
            <w:pPr>
              <w:pStyle w:val="TableContents"/>
              <w:bidi w:val="0"/>
              <w:spacing w:before="0" w:after="0"/>
              <w:jc w:val="center"/>
              <w:rPr/>
            </w:pPr>
            <w:r>
              <w:rPr>
                <w:sz w:val="20"/>
              </w:rPr>
              <w:t>(Zip Code)</w:t>
            </w:r>
            <w:r>
              <w:rPr/>
              <w:t xml:space="preserve">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u w:val="single"/>
        </w:rPr>
        <w:t>(201) 478-5552</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(Registrant’s telephone number, including area code)</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(Former name, former address and former fiscal year, if changed since last report)</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Securities registered pursuant to Section 12(b) of the Act:</w:t>
      </w:r>
      <w:r>
        <w:rPr>
          <w:rFonts w:ascii="Times New Roman" w:hAnsi="Times New Roman"/>
          <w:sz w:val="20"/>
        </w:rPr>
        <w:t xml:space="preserve"> </w:t>
      </w:r>
    </w:p>
    <w:p>
      <w:pPr>
        <w:pStyle w:val="TextBody"/>
        <w:bidi w:val="0"/>
        <w:spacing w:before="0" w:after="0"/>
        <w:jc w:val="center"/>
        <w:rPr/>
      </w:pPr>
      <w:r>
        <w:rPr/>
        <w:t xml:space="preserve">  </w:t>
      </w:r>
    </w:p>
    <w:tbl>
      <w:tblPr>
        <w:tblW w:w="8238" w:type="dxa"/>
        <w:jc w:val="left"/>
        <w:tblInd w:w="0" w:type="dxa"/>
        <w:tblLayout w:type="fixed"/>
        <w:tblCellMar>
          <w:top w:w="28" w:type="dxa"/>
          <w:left w:w="28" w:type="dxa"/>
          <w:bottom w:w="28" w:type="dxa"/>
          <w:right w:w="28" w:type="dxa"/>
        </w:tblCellMar>
      </w:tblPr>
      <w:tblGrid>
        <w:gridCol w:w="1876"/>
        <w:gridCol w:w="1951"/>
        <w:gridCol w:w="4411"/>
      </w:tblGrid>
      <w:tr>
        <w:trPr/>
        <w:tc>
          <w:tcPr>
            <w:tcW w:w="1876"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 </w:t>
            </w:r>
          </w:p>
        </w:tc>
        <w:tc>
          <w:tcPr>
            <w:tcW w:w="4411" w:type="dxa"/>
            <w:tcBorders/>
            <w:vAlign w:val="center"/>
          </w:tcPr>
          <w:p>
            <w:pPr>
              <w:pStyle w:val="TableContents"/>
              <w:bidi w:val="0"/>
              <w:spacing w:before="0" w:after="283"/>
              <w:jc w:val="left"/>
              <w:rPr/>
            </w:pPr>
            <w:r>
              <w:rPr/>
              <w:t> </w:t>
            </w:r>
          </w:p>
        </w:tc>
      </w:tr>
      <w:tr>
        <w:trPr/>
        <w:tc>
          <w:tcPr>
            <w:tcW w:w="187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xml:space="preserve">Title of each class </w:t>
            </w:r>
          </w:p>
        </w:tc>
        <w:tc>
          <w:tcPr>
            <w:tcW w:w="1951"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left"/>
              <w:rPr/>
            </w:pPr>
            <w:r>
              <w:rPr/>
              <w:t xml:space="preserve">Trading Symbol(s) </w:t>
            </w:r>
          </w:p>
        </w:tc>
        <w:tc>
          <w:tcPr>
            <w:tcW w:w="4411"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left"/>
              <w:rPr/>
            </w:pPr>
            <w:r>
              <w:rPr/>
              <w:t xml:space="preserve">Name of each exchange on which registered </w:t>
            </w:r>
          </w:p>
        </w:tc>
      </w:tr>
      <w:tr>
        <w:trPr/>
        <w:tc>
          <w:tcPr>
            <w:tcW w:w="187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xml:space="preserve">Common Stock </w:t>
            </w:r>
          </w:p>
        </w:tc>
        <w:tc>
          <w:tcPr>
            <w:tcW w:w="1951"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xml:space="preserve">ADMA </w:t>
            </w:r>
          </w:p>
        </w:tc>
        <w:tc>
          <w:tcPr>
            <w:tcW w:w="4411"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xml:space="preserve">Nasdaq Global Market </w:t>
            </w:r>
          </w:p>
        </w:tc>
      </w:tr>
    </w:tbl>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both"/>
        <w:rPr/>
      </w:pPr>
      <w:r>
        <w:rPr/>
        <w:t xml:space="preserve">  </w:t>
      </w:r>
    </w:p>
    <w:tbl>
      <w:tblPr>
        <w:tblW w:w="5113" w:type="dxa"/>
        <w:jc w:val="left"/>
        <w:tblInd w:w="0" w:type="dxa"/>
        <w:tblLayout w:type="fixed"/>
        <w:tblCellMar>
          <w:top w:w="28" w:type="dxa"/>
          <w:left w:w="28" w:type="dxa"/>
          <w:bottom w:w="28" w:type="dxa"/>
          <w:right w:w="28" w:type="dxa"/>
        </w:tblCellMar>
      </w:tblPr>
      <w:tblGrid>
        <w:gridCol w:w="221"/>
        <w:gridCol w:w="2221"/>
        <w:gridCol w:w="2671"/>
      </w:tblGrid>
      <w:tr>
        <w:trPr/>
        <w:tc>
          <w:tcPr>
            <w:tcW w:w="221"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221"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2221" w:type="dxa"/>
            <w:tcBorders/>
            <w:tcMar>
              <w:top w:w="0" w:type="dxa"/>
              <w:left w:w="0" w:type="dxa"/>
              <w:bottom w:w="0" w:type="dxa"/>
              <w:right w:w="0" w:type="dxa"/>
            </w:tcMar>
            <w:vAlign w:val="center"/>
          </w:tcPr>
          <w:p>
            <w:pPr>
              <w:pStyle w:val="TableContents"/>
              <w:bidi w:val="0"/>
              <w:spacing w:before="0" w:after="0"/>
              <w:jc w:val="both"/>
              <w:rPr>
                <w:sz w:val="20"/>
              </w:rPr>
            </w:pPr>
            <w:r>
              <w:rPr>
                <w:sz w:val="20"/>
              </w:rPr>
              <w:t xml:space="preserve">Large accelerated filer  ☒ </w:t>
            </w:r>
          </w:p>
        </w:tc>
        <w:tc>
          <w:tcPr>
            <w:tcW w:w="2671" w:type="dxa"/>
            <w:tcBorders/>
            <w:tcMar>
              <w:top w:w="0" w:type="dxa"/>
              <w:left w:w="0" w:type="dxa"/>
              <w:bottom w:w="0" w:type="dxa"/>
              <w:right w:w="0" w:type="dxa"/>
            </w:tcMar>
            <w:vAlign w:val="center"/>
          </w:tcPr>
          <w:p>
            <w:pPr>
              <w:pStyle w:val="TableContents"/>
              <w:bidi w:val="0"/>
              <w:spacing w:before="0" w:after="0"/>
              <w:jc w:val="both"/>
              <w:rPr>
                <w:sz w:val="20"/>
              </w:rPr>
            </w:pPr>
            <w:r>
              <w:rPr>
                <w:sz w:val="20"/>
              </w:rPr>
              <w:t xml:space="preserve">Accelerated filer  ☐ </w:t>
            </w:r>
          </w:p>
        </w:tc>
      </w:tr>
      <w:tr>
        <w:trPr/>
        <w:tc>
          <w:tcPr>
            <w:tcW w:w="221"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2221" w:type="dxa"/>
            <w:tcBorders/>
            <w:tcMar>
              <w:top w:w="0" w:type="dxa"/>
              <w:left w:w="0" w:type="dxa"/>
              <w:bottom w:w="0" w:type="dxa"/>
              <w:right w:w="0" w:type="dxa"/>
            </w:tcMar>
            <w:vAlign w:val="center"/>
          </w:tcPr>
          <w:p>
            <w:pPr>
              <w:pStyle w:val="TableContents"/>
              <w:bidi w:val="0"/>
              <w:spacing w:before="0" w:after="0"/>
              <w:jc w:val="both"/>
              <w:rPr>
                <w:sz w:val="20"/>
              </w:rPr>
            </w:pPr>
            <w:r>
              <w:rPr>
                <w:sz w:val="20"/>
              </w:rPr>
              <w:t xml:space="preserve">Non-accelerated filer  ☐ </w:t>
            </w:r>
          </w:p>
        </w:tc>
        <w:tc>
          <w:tcPr>
            <w:tcW w:w="2671" w:type="dxa"/>
            <w:tcBorders/>
            <w:tcMar>
              <w:top w:w="0" w:type="dxa"/>
              <w:left w:w="0" w:type="dxa"/>
              <w:bottom w:w="0" w:type="dxa"/>
              <w:right w:w="0" w:type="dxa"/>
            </w:tcMar>
            <w:vAlign w:val="center"/>
          </w:tcPr>
          <w:p>
            <w:pPr>
              <w:pStyle w:val="TableContents"/>
              <w:bidi w:val="0"/>
              <w:spacing w:before="0" w:after="0"/>
              <w:jc w:val="both"/>
              <w:rPr>
                <w:sz w:val="20"/>
              </w:rPr>
            </w:pPr>
            <w:r>
              <w:rPr>
                <w:sz w:val="20"/>
              </w:rPr>
              <w:t xml:space="preserve">Smaller reporting company  ☐ </w:t>
            </w:r>
          </w:p>
        </w:tc>
      </w:tr>
      <w:tr>
        <w:trPr/>
        <w:tc>
          <w:tcPr>
            <w:tcW w:w="221"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2221" w:type="dxa"/>
            <w:tcBorders/>
            <w:tcMar>
              <w:top w:w="0" w:type="dxa"/>
              <w:left w:w="0" w:type="dxa"/>
              <w:bottom w:w="0" w:type="dxa"/>
              <w:right w:w="0" w:type="dxa"/>
            </w:tcMar>
            <w:vAlign w:val="center"/>
          </w:tcPr>
          <w:p>
            <w:pPr>
              <w:pStyle w:val="TableContents"/>
              <w:bidi w:val="0"/>
              <w:spacing w:before="0" w:after="0"/>
              <w:jc w:val="both"/>
              <w:rPr>
                <w:sz w:val="20"/>
              </w:rPr>
            </w:pPr>
            <w:r>
              <w:rPr>
                <w:sz w:val="20"/>
              </w:rPr>
            </w:r>
          </w:p>
        </w:tc>
        <w:tc>
          <w:tcPr>
            <w:tcW w:w="2671" w:type="dxa"/>
            <w:tcBorders/>
            <w:tcMar>
              <w:top w:w="0" w:type="dxa"/>
              <w:left w:w="0" w:type="dxa"/>
              <w:bottom w:w="0" w:type="dxa"/>
              <w:right w:w="0" w:type="dxa"/>
            </w:tcMar>
            <w:vAlign w:val="center"/>
          </w:tcPr>
          <w:p>
            <w:pPr>
              <w:pStyle w:val="TableContents"/>
              <w:bidi w:val="0"/>
              <w:spacing w:before="0" w:after="0"/>
              <w:jc w:val="both"/>
              <w:rPr>
                <w:sz w:val="20"/>
              </w:rPr>
            </w:pPr>
            <w:r>
              <w:rPr>
                <w:spacing w:val="0"/>
                <w:sz w:val="20"/>
              </w:rPr>
              <w:t>Emerging growth company  </w:t>
            </w:r>
            <w:r>
              <w:rPr>
                <w:sz w:val="20"/>
              </w:rPr>
              <w:t xml:space="preserve">☐ </w:t>
            </w:r>
          </w:p>
        </w:tc>
      </w:tr>
    </w:tbl>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Indicate by check mark whether the registrant is a shell company (as defined in Rule 12b-2 of the Exchange Act).  Yes ☐  No ☒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of July 31, 2026, there were 223,984,680 shares of the issuer’s common stock outstanding.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ADMA BIOLOGICS, INC. AND SUBSIDIARIES </w:t>
      </w:r>
    </w:p>
    <w:p>
      <w:pPr>
        <w:pStyle w:val="TextBody"/>
        <w:bidi w:val="0"/>
        <w:spacing w:before="0" w:after="0"/>
        <w:jc w:val="center"/>
        <w:rPr/>
      </w:pPr>
      <w:r>
        <w:rPr/>
        <w:t xml:space="preserve">  </w:t>
      </w:r>
    </w:p>
    <w:p>
      <w:pPr>
        <w:pStyle w:val="Normal"/>
        <w:bidi w:val="0"/>
        <w:spacing w:before="0" w:after="0"/>
        <w:jc w:val="left"/>
        <w:rPr>
          <w:sz w:val="4"/>
          <w:szCs w:val="4"/>
        </w:rPr>
      </w:pPr>
      <w:r>
        <w:rPr>
          <w:sz w:val="4"/>
          <w:szCs w:val="4"/>
        </w:rPr>
      </w:r>
      <w:bookmarkStart w:id="4" w:name="index"/>
      <w:bookmarkStart w:id="5" w:name="index"/>
      <w:bookmarkEnd w:id="5"/>
    </w:p>
    <w:tbl>
      <w:tblPr>
        <w:tblW w:w="10205" w:type="dxa"/>
        <w:jc w:val="left"/>
        <w:tblInd w:w="0" w:type="dxa"/>
        <w:tblLayout w:type="fixed"/>
        <w:tblCellMar>
          <w:top w:w="28" w:type="dxa"/>
          <w:left w:w="28" w:type="dxa"/>
          <w:bottom w:w="28" w:type="dxa"/>
          <w:right w:w="28" w:type="dxa"/>
        </w:tblCellMar>
      </w:tblPr>
      <w:tblGrid>
        <w:gridCol w:w="161"/>
        <w:gridCol w:w="808"/>
        <w:gridCol w:w="8844"/>
        <w:gridCol w:w="392"/>
      </w:tblGrid>
      <w:tr>
        <w:trPr/>
        <w:tc>
          <w:tcPr>
            <w:tcW w:w="161"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pPr>
            <w:r>
              <w:rPr/>
              <w:t> </w:t>
            </w:r>
          </w:p>
        </w:tc>
        <w:tc>
          <w:tcPr>
            <w:tcW w:w="8844"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pPr>
            <w:r>
              <w:rPr/>
              <w:t> </w:t>
            </w:r>
          </w:p>
        </w:tc>
      </w:tr>
      <w:tr>
        <w:trPr/>
        <w:tc>
          <w:tcPr>
            <w:tcW w:w="9813" w:type="dxa"/>
            <w:gridSpan w:val="3"/>
            <w:tcBorders/>
            <w:vAlign w:val="center"/>
          </w:tcPr>
          <w:p>
            <w:pPr>
              <w:pStyle w:val="TableContents"/>
              <w:bidi w:val="0"/>
              <w:spacing w:before="0" w:after="283"/>
              <w:jc w:val="center"/>
              <w:rPr>
                <w:b/>
                <w:spacing w:val="0"/>
              </w:rPr>
            </w:pPr>
            <w:r>
              <w:rPr>
                <w:b/>
                <w:spacing w:val="0"/>
              </w:rPr>
              <w:t>INDEX</w:t>
            </w:r>
          </w:p>
        </w:tc>
        <w:tc>
          <w:tcPr>
            <w:tcW w:w="392" w:type="dxa"/>
            <w:tcBorders/>
            <w:vAlign w:val="center"/>
          </w:tcPr>
          <w:p>
            <w:pPr>
              <w:pStyle w:val="TableContents"/>
              <w:bidi w:val="0"/>
              <w:spacing w:before="0" w:after="283"/>
              <w:jc w:val="right"/>
              <w:rPr/>
            </w:pPr>
            <w:r>
              <w:rPr/>
              <w:t> </w:t>
            </w:r>
          </w:p>
        </w:tc>
      </w:tr>
      <w:tr>
        <w:trPr/>
        <w:tc>
          <w:tcPr>
            <w:tcW w:w="9813" w:type="dxa"/>
            <w:gridSpan w:val="3"/>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pPr>
            <w:r>
              <w:rPr/>
              <w:t> </w:t>
            </w:r>
          </w:p>
        </w:tc>
      </w:tr>
      <w:tr>
        <w:trPr/>
        <w:tc>
          <w:tcPr>
            <w:tcW w:w="9813" w:type="dxa"/>
            <w:gridSpan w:val="3"/>
            <w:tcBorders/>
            <w:vAlign w:val="center"/>
          </w:tcPr>
          <w:p>
            <w:pPr>
              <w:pStyle w:val="TableContents"/>
              <w:bidi w:val="0"/>
              <w:spacing w:before="0" w:after="0"/>
              <w:jc w:val="left"/>
              <w:rPr/>
            </w:pPr>
            <w:r>
              <w:rPr/>
              <w:t xml:space="preserve">PART I FINANCIAL INFORMATION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CEEFF" w:val="clear"/>
            <w:vAlign w:val="center"/>
          </w:tcPr>
          <w:p>
            <w:pPr>
              <w:pStyle w:val="TableContents"/>
              <w:bidi w:val="0"/>
              <w:spacing w:before="0" w:after="283"/>
              <w:jc w:val="center"/>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 </w:t>
            </w:r>
          </w:p>
        </w:tc>
        <w:tc>
          <w:tcPr>
            <w:tcW w:w="8844"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Financial Statements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CEEFF" w:val="clear"/>
            <w:vAlign w:val="center"/>
          </w:tcPr>
          <w:p>
            <w:pPr>
              <w:pStyle w:val="TableContents"/>
              <w:bidi w:val="0"/>
              <w:spacing w:before="0" w:after="283"/>
              <w:jc w:val="left"/>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shd w:fill="CCEEFF" w:val="clear"/>
            <w:tcMar>
              <w:top w:w="0" w:type="dxa"/>
              <w:left w:w="0" w:type="dxa"/>
              <w:bottom w:w="0" w:type="dxa"/>
              <w:right w:w="0" w:type="dxa"/>
            </w:tcMar>
            <w:vAlign w:val="center"/>
          </w:tcPr>
          <w:p>
            <w:pPr>
              <w:pStyle w:val="TableContents"/>
              <w:bidi w:val="0"/>
              <w:spacing w:before="0" w:after="0"/>
              <w:jc w:val="left"/>
              <w:rPr/>
            </w:pPr>
            <w:hyperlink w:anchor="BALANCE_SHEETS">
              <w:r>
                <w:rPr>
                  <w:rStyle w:val="InternetLink"/>
                </w:rPr>
                <w:t>Condensed Consolidated Balance Sheets as of June 30, 2026 (Unaudited) and December 31, 2025</w:t>
              </w:r>
            </w:hyperlink>
            <w:r>
              <w:rPr/>
              <w:t xml:space="preserve"> </w:t>
            </w:r>
          </w:p>
        </w:tc>
        <w:tc>
          <w:tcPr>
            <w:tcW w:w="392" w:type="dxa"/>
            <w:tcBorders/>
            <w:shd w:fill="CCEEFF" w:val="clear"/>
            <w:tcMar>
              <w:top w:w="0" w:type="dxa"/>
              <w:left w:w="0" w:type="dxa"/>
              <w:bottom w:w="0" w:type="dxa"/>
              <w:right w:w="0" w:type="dxa"/>
            </w:tcMar>
            <w:vAlign w:val="center"/>
          </w:tcPr>
          <w:p>
            <w:pPr>
              <w:pStyle w:val="TableContents"/>
              <w:bidi w:val="0"/>
              <w:spacing w:before="0" w:after="0"/>
              <w:jc w:val="right"/>
              <w:rPr/>
            </w:pPr>
            <w:r>
              <w:rPr/>
              <w:t xml:space="preserve">1 </w:t>
            </w:r>
          </w:p>
        </w:tc>
      </w:tr>
      <w:tr>
        <w:trPr/>
        <w:tc>
          <w:tcPr>
            <w:tcW w:w="161" w:type="dxa"/>
            <w:tcBorders/>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CEEFF" w:val="clear"/>
            <w:vAlign w:val="center"/>
          </w:tcPr>
          <w:p>
            <w:pPr>
              <w:pStyle w:val="TableContents"/>
              <w:bidi w:val="0"/>
              <w:spacing w:before="0" w:after="283"/>
              <w:jc w:val="left"/>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shd w:fill="CCEEFF" w:val="clear"/>
            <w:tcMar>
              <w:top w:w="0" w:type="dxa"/>
              <w:left w:w="0" w:type="dxa"/>
              <w:bottom w:w="0" w:type="dxa"/>
              <w:right w:w="0" w:type="dxa"/>
            </w:tcMar>
            <w:vAlign w:val="center"/>
          </w:tcPr>
          <w:p>
            <w:pPr>
              <w:pStyle w:val="TableContents"/>
              <w:bidi w:val="0"/>
              <w:spacing w:before="0" w:after="0"/>
              <w:jc w:val="left"/>
              <w:rPr/>
            </w:pPr>
            <w:hyperlink w:anchor="STATEMENTS_OF_OPERATIONS">
              <w:r>
                <w:rPr>
                  <w:rStyle w:val="InternetLink"/>
                </w:rPr>
                <w:t>Unaudited Condensed Consolidated Statements of Operations for the Three and Six Months Ended June 30, 2026 and 2025</w:t>
              </w:r>
            </w:hyperlink>
            <w:r>
              <w:rPr/>
              <w:t xml:space="preserve"> </w:t>
            </w:r>
          </w:p>
        </w:tc>
        <w:tc>
          <w:tcPr>
            <w:tcW w:w="392" w:type="dxa"/>
            <w:tcBorders/>
            <w:shd w:fill="CCEEFF" w:val="clear"/>
            <w:tcMar>
              <w:top w:w="0" w:type="dxa"/>
              <w:left w:w="0" w:type="dxa"/>
              <w:bottom w:w="0" w:type="dxa"/>
              <w:right w:w="0" w:type="dxa"/>
            </w:tcMar>
            <w:vAlign w:val="center"/>
          </w:tcPr>
          <w:p>
            <w:pPr>
              <w:pStyle w:val="TableContents"/>
              <w:bidi w:val="0"/>
              <w:spacing w:before="0" w:after="0"/>
              <w:jc w:val="right"/>
              <w:rPr/>
            </w:pPr>
            <w:r>
              <w:rPr/>
              <w:t xml:space="preserve">2 </w:t>
            </w:r>
          </w:p>
        </w:tc>
      </w:tr>
      <w:tr>
        <w:trPr/>
        <w:tc>
          <w:tcPr>
            <w:tcW w:w="161" w:type="dxa"/>
            <w:tcBorders/>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CEEFF" w:val="clear"/>
            <w:vAlign w:val="center"/>
          </w:tcPr>
          <w:p>
            <w:pPr>
              <w:pStyle w:val="TableContents"/>
              <w:bidi w:val="0"/>
              <w:spacing w:before="0" w:after="283"/>
              <w:jc w:val="left"/>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shd w:fill="CCEEFF" w:val="clear"/>
            <w:tcMar>
              <w:top w:w="0" w:type="dxa"/>
              <w:left w:w="0" w:type="dxa"/>
              <w:bottom w:w="0" w:type="dxa"/>
              <w:right w:w="0" w:type="dxa"/>
            </w:tcMar>
            <w:vAlign w:val="center"/>
          </w:tcPr>
          <w:p>
            <w:pPr>
              <w:pStyle w:val="TableContents"/>
              <w:bidi w:val="0"/>
              <w:spacing w:before="0" w:after="0"/>
              <w:jc w:val="left"/>
              <w:rPr/>
            </w:pPr>
            <w:hyperlink w:anchor="STOCKHOLDERS_EQUITY">
              <w:r>
                <w:rPr>
                  <w:rStyle w:val="InternetLink"/>
                </w:rPr>
                <w:t>Unaudited Condensed Consolidated Statements of Changes in Stockholders’ Equity for the Three and Six Months Ended June 30, 2026 and 2025</w:t>
              </w:r>
            </w:hyperlink>
            <w:r>
              <w:rPr/>
              <w:t xml:space="preserve"> </w:t>
            </w:r>
          </w:p>
        </w:tc>
        <w:tc>
          <w:tcPr>
            <w:tcW w:w="392" w:type="dxa"/>
            <w:tcBorders/>
            <w:shd w:fill="CCEEFF" w:val="clear"/>
            <w:tcMar>
              <w:top w:w="0" w:type="dxa"/>
              <w:left w:w="0" w:type="dxa"/>
              <w:bottom w:w="0" w:type="dxa"/>
              <w:right w:w="0" w:type="dxa"/>
            </w:tcMar>
            <w:vAlign w:val="center"/>
          </w:tcPr>
          <w:p>
            <w:pPr>
              <w:pStyle w:val="TableContents"/>
              <w:bidi w:val="0"/>
              <w:spacing w:before="0" w:after="0"/>
              <w:jc w:val="right"/>
              <w:rPr/>
            </w:pPr>
            <w:r>
              <w:rPr/>
              <w:t xml:space="preserve">3 </w:t>
            </w:r>
          </w:p>
        </w:tc>
      </w:tr>
      <w:tr>
        <w:trPr/>
        <w:tc>
          <w:tcPr>
            <w:tcW w:w="161" w:type="dxa"/>
            <w:tcBorders/>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CEEFF" w:val="clear"/>
            <w:vAlign w:val="center"/>
          </w:tcPr>
          <w:p>
            <w:pPr>
              <w:pStyle w:val="TableContents"/>
              <w:bidi w:val="0"/>
              <w:spacing w:before="0" w:after="283"/>
              <w:jc w:val="left"/>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shd w:fill="CCEEFF" w:val="clear"/>
            <w:tcMar>
              <w:top w:w="0" w:type="dxa"/>
              <w:left w:w="0" w:type="dxa"/>
              <w:bottom w:w="0" w:type="dxa"/>
              <w:right w:w="0" w:type="dxa"/>
            </w:tcMar>
            <w:vAlign w:val="center"/>
          </w:tcPr>
          <w:p>
            <w:pPr>
              <w:pStyle w:val="TableContents"/>
              <w:bidi w:val="0"/>
              <w:spacing w:before="0" w:after="0"/>
              <w:jc w:val="left"/>
              <w:rPr/>
            </w:pPr>
            <w:hyperlink w:anchor="STATEMENTS_OF_CASH_FLOWS">
              <w:r>
                <w:rPr>
                  <w:rStyle w:val="InternetLink"/>
                </w:rPr>
                <w:t>Unaudited Condensed Consolidated Statements of Cash Flows for the Six Months Ended June 30, 2026 and 2025</w:t>
              </w:r>
            </w:hyperlink>
            <w:r>
              <w:rPr/>
              <w:t xml:space="preserve"> </w:t>
            </w:r>
          </w:p>
        </w:tc>
        <w:tc>
          <w:tcPr>
            <w:tcW w:w="392" w:type="dxa"/>
            <w:tcBorders/>
            <w:shd w:fill="CCEEFF" w:val="clear"/>
            <w:tcMar>
              <w:top w:w="0" w:type="dxa"/>
              <w:left w:w="0" w:type="dxa"/>
              <w:bottom w:w="0" w:type="dxa"/>
              <w:right w:w="0" w:type="dxa"/>
            </w:tcMar>
            <w:vAlign w:val="center"/>
          </w:tcPr>
          <w:p>
            <w:pPr>
              <w:pStyle w:val="TableContents"/>
              <w:bidi w:val="0"/>
              <w:spacing w:before="0" w:after="0"/>
              <w:jc w:val="right"/>
              <w:rPr/>
            </w:pPr>
            <w:r>
              <w:rPr/>
              <w:t xml:space="preserve">4 </w:t>
            </w:r>
          </w:p>
        </w:tc>
      </w:tr>
      <w:tr>
        <w:trPr/>
        <w:tc>
          <w:tcPr>
            <w:tcW w:w="161" w:type="dxa"/>
            <w:tcBorders/>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CEEFF" w:val="clear"/>
            <w:vAlign w:val="center"/>
          </w:tcPr>
          <w:p>
            <w:pPr>
              <w:pStyle w:val="TableContents"/>
              <w:bidi w:val="0"/>
              <w:spacing w:before="0" w:after="283"/>
              <w:jc w:val="left"/>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shd w:fill="CCEEFF" w:val="clear"/>
            <w:tcMar>
              <w:top w:w="0" w:type="dxa"/>
              <w:left w:w="0" w:type="dxa"/>
              <w:bottom w:w="0" w:type="dxa"/>
              <w:right w:w="0" w:type="dxa"/>
            </w:tcMar>
            <w:vAlign w:val="center"/>
          </w:tcPr>
          <w:p>
            <w:pPr>
              <w:pStyle w:val="TableContents"/>
              <w:bidi w:val="0"/>
              <w:spacing w:before="0" w:after="0"/>
              <w:jc w:val="left"/>
              <w:rPr/>
            </w:pPr>
            <w:hyperlink w:anchor="NOTES">
              <w:r>
                <w:rPr>
                  <w:rStyle w:val="InternetLink"/>
                </w:rPr>
                <w:t>Notes to Unaudited Condensed Consolidated Financial Statements</w:t>
              </w:r>
            </w:hyperlink>
            <w:r>
              <w:rPr/>
              <w:t xml:space="preserve"> </w:t>
            </w:r>
          </w:p>
        </w:tc>
        <w:tc>
          <w:tcPr>
            <w:tcW w:w="392" w:type="dxa"/>
            <w:tcBorders/>
            <w:shd w:fill="CCEEFF" w:val="clear"/>
            <w:tcMar>
              <w:top w:w="0" w:type="dxa"/>
              <w:left w:w="0" w:type="dxa"/>
              <w:bottom w:w="0" w:type="dxa"/>
              <w:right w:w="0" w:type="dxa"/>
            </w:tcMar>
            <w:vAlign w:val="center"/>
          </w:tcPr>
          <w:p>
            <w:pPr>
              <w:pStyle w:val="TableContents"/>
              <w:bidi w:val="0"/>
              <w:spacing w:before="0" w:after="0"/>
              <w:jc w:val="right"/>
              <w:rPr/>
            </w:pPr>
            <w:r>
              <w:rPr/>
              <w:t xml:space="preserve">5 </w:t>
            </w:r>
          </w:p>
        </w:tc>
      </w:tr>
      <w:tr>
        <w:trPr/>
        <w:tc>
          <w:tcPr>
            <w:tcW w:w="161" w:type="dxa"/>
            <w:tcBorders/>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CEEFF" w:val="clear"/>
            <w:vAlign w:val="center"/>
          </w:tcPr>
          <w:p>
            <w:pPr>
              <w:pStyle w:val="TableContents"/>
              <w:bidi w:val="0"/>
              <w:spacing w:before="0" w:after="283"/>
              <w:jc w:val="center"/>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2. </w:t>
            </w:r>
          </w:p>
        </w:tc>
        <w:tc>
          <w:tcPr>
            <w:tcW w:w="8844"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2">
              <w:r>
                <w:rPr>
                  <w:rStyle w:val="InternetLink"/>
                </w:rPr>
                <w:t>Management’s Discussion and Analysis of Financial Condition and Results of Operations.</w:t>
              </w:r>
            </w:hyperlink>
            <w:r>
              <w:rPr/>
              <w:t xml:space="preserve"> </w:t>
            </w:r>
          </w:p>
        </w:tc>
        <w:tc>
          <w:tcPr>
            <w:tcW w:w="392" w:type="dxa"/>
            <w:tcBorders/>
            <w:shd w:fill="CCEEFF" w:val="clear"/>
            <w:tcMar>
              <w:top w:w="0" w:type="dxa"/>
              <w:left w:w="0" w:type="dxa"/>
              <w:bottom w:w="0" w:type="dxa"/>
              <w:right w:w="0" w:type="dxa"/>
            </w:tcMar>
            <w:vAlign w:val="center"/>
          </w:tcPr>
          <w:p>
            <w:pPr>
              <w:pStyle w:val="TableContents"/>
              <w:bidi w:val="0"/>
              <w:spacing w:before="0" w:after="0"/>
              <w:jc w:val="right"/>
              <w:rPr/>
            </w:pPr>
            <w:r>
              <w:rPr/>
              <w:t>22</w:t>
            </w:r>
          </w:p>
        </w:tc>
      </w:tr>
      <w:tr>
        <w:trPr/>
        <w:tc>
          <w:tcPr>
            <w:tcW w:w="161" w:type="dxa"/>
            <w:tcBorders/>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CEEFF" w:val="clear"/>
            <w:vAlign w:val="center"/>
          </w:tcPr>
          <w:p>
            <w:pPr>
              <w:pStyle w:val="TableContents"/>
              <w:bidi w:val="0"/>
              <w:spacing w:before="0" w:after="283"/>
              <w:jc w:val="center"/>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3. </w:t>
            </w:r>
          </w:p>
        </w:tc>
        <w:tc>
          <w:tcPr>
            <w:tcW w:w="8844"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3">
              <w:r>
                <w:rPr>
                  <w:rStyle w:val="InternetLink"/>
                </w:rPr>
                <w:t>Quantitative and Qualitative Disclosures About Market Risk.</w:t>
              </w:r>
            </w:hyperlink>
            <w:r>
              <w:rPr/>
              <w:t xml:space="preserve"> </w:t>
            </w:r>
          </w:p>
        </w:tc>
        <w:tc>
          <w:tcPr>
            <w:tcW w:w="392" w:type="dxa"/>
            <w:tcBorders/>
            <w:shd w:fill="CCEEFF" w:val="clear"/>
            <w:tcMar>
              <w:top w:w="0" w:type="dxa"/>
              <w:left w:w="0" w:type="dxa"/>
              <w:bottom w:w="0" w:type="dxa"/>
              <w:right w:w="0" w:type="dxa"/>
            </w:tcMar>
            <w:vAlign w:val="center"/>
          </w:tcPr>
          <w:p>
            <w:pPr>
              <w:pStyle w:val="TableContents"/>
              <w:bidi w:val="0"/>
              <w:spacing w:before="0" w:after="0"/>
              <w:jc w:val="right"/>
              <w:rPr/>
            </w:pPr>
            <w:r>
              <w:rPr/>
              <w:t>34</w:t>
            </w:r>
          </w:p>
        </w:tc>
      </w:tr>
      <w:tr>
        <w:trPr/>
        <w:tc>
          <w:tcPr>
            <w:tcW w:w="161" w:type="dxa"/>
            <w:tcBorders/>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CEEFF" w:val="clear"/>
            <w:vAlign w:val="center"/>
          </w:tcPr>
          <w:p>
            <w:pPr>
              <w:pStyle w:val="TableContents"/>
              <w:bidi w:val="0"/>
              <w:spacing w:before="0" w:after="283"/>
              <w:jc w:val="center"/>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4. </w:t>
            </w:r>
          </w:p>
        </w:tc>
        <w:tc>
          <w:tcPr>
            <w:tcW w:w="8844"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4">
              <w:r>
                <w:rPr>
                  <w:rStyle w:val="InternetLink"/>
                </w:rPr>
                <w:t>Controls and Procedures.</w:t>
              </w:r>
            </w:hyperlink>
            <w:r>
              <w:rPr/>
              <w:t xml:space="preserve"> </w:t>
            </w:r>
          </w:p>
        </w:tc>
        <w:tc>
          <w:tcPr>
            <w:tcW w:w="392" w:type="dxa"/>
            <w:tcBorders/>
            <w:shd w:fill="CCEEFF" w:val="clear"/>
            <w:tcMar>
              <w:top w:w="0" w:type="dxa"/>
              <w:left w:w="0" w:type="dxa"/>
              <w:bottom w:w="0" w:type="dxa"/>
              <w:right w:w="0" w:type="dxa"/>
            </w:tcMar>
            <w:vAlign w:val="center"/>
          </w:tcPr>
          <w:p>
            <w:pPr>
              <w:pStyle w:val="TableContents"/>
              <w:bidi w:val="0"/>
              <w:spacing w:before="0" w:after="0"/>
              <w:jc w:val="right"/>
              <w:rPr/>
            </w:pPr>
            <w:r>
              <w:rPr/>
              <w:t>35</w:t>
            </w:r>
          </w:p>
        </w:tc>
      </w:tr>
      <w:tr>
        <w:trPr/>
        <w:tc>
          <w:tcPr>
            <w:tcW w:w="161" w:type="dxa"/>
            <w:tcBorders/>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13" w:type="dxa"/>
            <w:gridSpan w:val="3"/>
            <w:tcBorders/>
            <w:shd w:fill="CCEEFF" w:val="clear"/>
            <w:vAlign w:val="center"/>
          </w:tcPr>
          <w:p>
            <w:pPr>
              <w:pStyle w:val="TableContents"/>
              <w:bidi w:val="0"/>
              <w:spacing w:before="0" w:after="0"/>
              <w:jc w:val="left"/>
              <w:rPr/>
            </w:pPr>
            <w:hyperlink w:anchor="PART_II">
              <w:r>
                <w:rPr>
                  <w:rStyle w:val="InternetLink"/>
                </w:rPr>
                <w:t>PART II OTHER INFORMATION</w:t>
              </w:r>
            </w:hyperlink>
            <w:r>
              <w:rPr/>
              <w:t xml:space="preserve"> </w:t>
            </w:r>
          </w:p>
        </w:tc>
        <w:tc>
          <w:tcPr>
            <w:tcW w:w="392" w:type="dxa"/>
            <w:tcBorders/>
            <w:shd w:fill="CCEEFF" w:val="clear"/>
            <w:tcMar>
              <w:top w:w="0" w:type="dxa"/>
              <w:left w:w="0" w:type="dxa"/>
              <w:bottom w:w="0" w:type="dxa"/>
              <w:right w:w="0" w:type="dxa"/>
            </w:tcMar>
            <w:vAlign w:val="center"/>
          </w:tcPr>
          <w:p>
            <w:pPr>
              <w:pStyle w:val="TableContents"/>
              <w:bidi w:val="0"/>
              <w:spacing w:before="0" w:after="0"/>
              <w:jc w:val="right"/>
              <w:rPr/>
            </w:pPr>
            <w:r>
              <w:rPr/>
              <w:t>36</w:t>
            </w:r>
          </w:p>
        </w:tc>
      </w:tr>
      <w:tr>
        <w:trPr/>
        <w:tc>
          <w:tcPr>
            <w:tcW w:w="161" w:type="dxa"/>
            <w:tcBorders/>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CEEFF" w:val="clear"/>
            <w:vAlign w:val="center"/>
          </w:tcPr>
          <w:p>
            <w:pPr>
              <w:pStyle w:val="TableContents"/>
              <w:bidi w:val="0"/>
              <w:spacing w:before="0" w:after="283"/>
              <w:jc w:val="center"/>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 </w:t>
            </w:r>
          </w:p>
        </w:tc>
        <w:tc>
          <w:tcPr>
            <w:tcW w:w="8844" w:type="dxa"/>
            <w:tcBorders/>
            <w:shd w:fill="CCEEFF" w:val="clear"/>
            <w:tcMar>
              <w:top w:w="0" w:type="dxa"/>
              <w:left w:w="0" w:type="dxa"/>
              <w:bottom w:w="0" w:type="dxa"/>
              <w:right w:w="0" w:type="dxa"/>
            </w:tcMar>
            <w:vAlign w:val="center"/>
          </w:tcPr>
          <w:p>
            <w:pPr>
              <w:pStyle w:val="TableContents"/>
              <w:bidi w:val="0"/>
              <w:spacing w:before="0" w:after="0"/>
              <w:jc w:val="left"/>
              <w:rPr/>
            </w:pPr>
            <w:hyperlink w:anchor="Legal_Proceedings">
              <w:r>
                <w:rPr>
                  <w:rStyle w:val="InternetLink"/>
                </w:rPr>
                <w:t>Legal Proceedings.</w:t>
              </w:r>
            </w:hyperlink>
            <w:r>
              <w:rPr/>
              <w:t xml:space="preserve"> </w:t>
            </w:r>
          </w:p>
        </w:tc>
        <w:tc>
          <w:tcPr>
            <w:tcW w:w="392" w:type="dxa"/>
            <w:tcBorders/>
            <w:shd w:fill="CCEEFF" w:val="clear"/>
            <w:tcMar>
              <w:top w:w="0" w:type="dxa"/>
              <w:left w:w="0" w:type="dxa"/>
              <w:bottom w:w="0" w:type="dxa"/>
              <w:right w:w="0" w:type="dxa"/>
            </w:tcMar>
            <w:vAlign w:val="center"/>
          </w:tcPr>
          <w:p>
            <w:pPr>
              <w:pStyle w:val="TableContents"/>
              <w:bidi w:val="0"/>
              <w:spacing w:before="0" w:after="0"/>
              <w:jc w:val="right"/>
              <w:rPr/>
            </w:pPr>
            <w:r>
              <w:rPr/>
              <w:t>36</w:t>
            </w:r>
          </w:p>
        </w:tc>
      </w:tr>
      <w:tr>
        <w:trPr/>
        <w:tc>
          <w:tcPr>
            <w:tcW w:w="161" w:type="dxa"/>
            <w:tcBorders/>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CEEFF" w:val="clear"/>
            <w:vAlign w:val="center"/>
          </w:tcPr>
          <w:p>
            <w:pPr>
              <w:pStyle w:val="TableContents"/>
              <w:bidi w:val="0"/>
              <w:spacing w:before="0" w:after="283"/>
              <w:jc w:val="center"/>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1A. </w:t>
            </w:r>
          </w:p>
        </w:tc>
        <w:tc>
          <w:tcPr>
            <w:tcW w:w="8844" w:type="dxa"/>
            <w:tcBorders/>
            <w:shd w:fill="CCEEFF" w:val="clear"/>
            <w:tcMar>
              <w:top w:w="0" w:type="dxa"/>
              <w:left w:w="0" w:type="dxa"/>
              <w:bottom w:w="0" w:type="dxa"/>
              <w:right w:w="0" w:type="dxa"/>
            </w:tcMar>
            <w:vAlign w:val="center"/>
          </w:tcPr>
          <w:p>
            <w:pPr>
              <w:pStyle w:val="TableContents"/>
              <w:bidi w:val="0"/>
              <w:spacing w:before="0" w:after="0"/>
              <w:jc w:val="left"/>
              <w:rPr/>
            </w:pPr>
            <w:hyperlink w:anchor="Risk_Factors">
              <w:r>
                <w:rPr>
                  <w:rStyle w:val="InternetLink"/>
                </w:rPr>
                <w:t>Risk Factors.</w:t>
              </w:r>
            </w:hyperlink>
            <w:r>
              <w:rPr/>
              <w:t xml:space="preserve"> </w:t>
            </w:r>
          </w:p>
        </w:tc>
        <w:tc>
          <w:tcPr>
            <w:tcW w:w="392" w:type="dxa"/>
            <w:tcBorders/>
            <w:shd w:fill="CCEEFF" w:val="clear"/>
            <w:tcMar>
              <w:top w:w="0" w:type="dxa"/>
              <w:left w:w="0" w:type="dxa"/>
              <w:bottom w:w="0" w:type="dxa"/>
              <w:right w:w="0" w:type="dxa"/>
            </w:tcMar>
            <w:vAlign w:val="center"/>
          </w:tcPr>
          <w:p>
            <w:pPr>
              <w:pStyle w:val="TableContents"/>
              <w:bidi w:val="0"/>
              <w:spacing w:before="0" w:after="0"/>
              <w:jc w:val="right"/>
              <w:rPr/>
            </w:pPr>
            <w:r>
              <w:rPr/>
              <w:t>36</w:t>
            </w:r>
          </w:p>
        </w:tc>
      </w:tr>
      <w:tr>
        <w:trPr/>
        <w:tc>
          <w:tcPr>
            <w:tcW w:w="161" w:type="dxa"/>
            <w:tcBorders/>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CEEFF" w:val="clear"/>
            <w:vAlign w:val="center"/>
          </w:tcPr>
          <w:p>
            <w:pPr>
              <w:pStyle w:val="TableContents"/>
              <w:bidi w:val="0"/>
              <w:spacing w:before="0" w:after="283"/>
              <w:jc w:val="center"/>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2. </w:t>
            </w:r>
          </w:p>
        </w:tc>
        <w:tc>
          <w:tcPr>
            <w:tcW w:w="8844" w:type="dxa"/>
            <w:tcBorders/>
            <w:shd w:fill="CCEEFF" w:val="clear"/>
            <w:tcMar>
              <w:top w:w="0" w:type="dxa"/>
              <w:left w:w="0" w:type="dxa"/>
              <w:bottom w:w="0" w:type="dxa"/>
              <w:right w:w="0" w:type="dxa"/>
            </w:tcMar>
            <w:vAlign w:val="center"/>
          </w:tcPr>
          <w:p>
            <w:pPr>
              <w:pStyle w:val="TableContents"/>
              <w:bidi w:val="0"/>
              <w:spacing w:before="0" w:after="0"/>
              <w:jc w:val="left"/>
              <w:rPr/>
            </w:pPr>
            <w:hyperlink w:anchor="Unregistered_Sales_of_Equity_Securities_and_Use_of_Proceeds">
              <w:r>
                <w:rPr>
                  <w:rStyle w:val="InternetLink"/>
                </w:rPr>
                <w:t>Unregistered Sales of Equity Securities and Use of Proceeds.</w:t>
              </w:r>
            </w:hyperlink>
            <w:r>
              <w:rPr/>
              <w:t xml:space="preserve"> </w:t>
            </w:r>
          </w:p>
        </w:tc>
        <w:tc>
          <w:tcPr>
            <w:tcW w:w="392" w:type="dxa"/>
            <w:tcBorders/>
            <w:shd w:fill="CCEEFF" w:val="clear"/>
            <w:tcMar>
              <w:top w:w="0" w:type="dxa"/>
              <w:left w:w="0" w:type="dxa"/>
              <w:bottom w:w="0" w:type="dxa"/>
              <w:right w:w="0" w:type="dxa"/>
            </w:tcMar>
            <w:vAlign w:val="center"/>
          </w:tcPr>
          <w:p>
            <w:pPr>
              <w:pStyle w:val="TableContents"/>
              <w:bidi w:val="0"/>
              <w:spacing w:before="0" w:after="0"/>
              <w:jc w:val="right"/>
              <w:rPr/>
            </w:pPr>
            <w:r>
              <w:rPr/>
              <w:t>67</w:t>
            </w:r>
          </w:p>
        </w:tc>
      </w:tr>
      <w:tr>
        <w:trPr/>
        <w:tc>
          <w:tcPr>
            <w:tcW w:w="161" w:type="dxa"/>
            <w:tcBorders/>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CEEFF" w:val="clear"/>
            <w:vAlign w:val="center"/>
          </w:tcPr>
          <w:p>
            <w:pPr>
              <w:pStyle w:val="TableContents"/>
              <w:bidi w:val="0"/>
              <w:spacing w:before="0" w:after="283"/>
              <w:jc w:val="center"/>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3. </w:t>
            </w:r>
          </w:p>
        </w:tc>
        <w:tc>
          <w:tcPr>
            <w:tcW w:w="8844" w:type="dxa"/>
            <w:tcBorders/>
            <w:shd w:fill="CCEEFF" w:val="clear"/>
            <w:tcMar>
              <w:top w:w="0" w:type="dxa"/>
              <w:left w:w="0" w:type="dxa"/>
              <w:bottom w:w="0" w:type="dxa"/>
              <w:right w:w="0" w:type="dxa"/>
            </w:tcMar>
            <w:vAlign w:val="center"/>
          </w:tcPr>
          <w:p>
            <w:pPr>
              <w:pStyle w:val="TableContents"/>
              <w:bidi w:val="0"/>
              <w:spacing w:before="0" w:after="0"/>
              <w:jc w:val="left"/>
              <w:rPr/>
            </w:pPr>
            <w:hyperlink w:anchor="Defaults_Upon_Senior_Securities">
              <w:r>
                <w:rPr>
                  <w:rStyle w:val="InternetLink"/>
                </w:rPr>
                <w:t>Defaults Upon Senior Securities.</w:t>
              </w:r>
            </w:hyperlink>
            <w:r>
              <w:rPr/>
              <w:t xml:space="preserve"> </w:t>
            </w:r>
          </w:p>
        </w:tc>
        <w:tc>
          <w:tcPr>
            <w:tcW w:w="392" w:type="dxa"/>
            <w:tcBorders/>
            <w:shd w:fill="CCEEFF" w:val="clear"/>
            <w:tcMar>
              <w:top w:w="0" w:type="dxa"/>
              <w:left w:w="0" w:type="dxa"/>
              <w:bottom w:w="0" w:type="dxa"/>
              <w:right w:w="0" w:type="dxa"/>
            </w:tcMar>
            <w:vAlign w:val="center"/>
          </w:tcPr>
          <w:p>
            <w:pPr>
              <w:pStyle w:val="TableContents"/>
              <w:bidi w:val="0"/>
              <w:spacing w:before="0" w:after="0"/>
              <w:jc w:val="right"/>
              <w:rPr/>
            </w:pPr>
            <w:r>
              <w:rPr/>
              <w:t>67</w:t>
            </w:r>
          </w:p>
        </w:tc>
      </w:tr>
      <w:tr>
        <w:trPr/>
        <w:tc>
          <w:tcPr>
            <w:tcW w:w="161" w:type="dxa"/>
            <w:tcBorders/>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CEEFF" w:val="clear"/>
            <w:vAlign w:val="center"/>
          </w:tcPr>
          <w:p>
            <w:pPr>
              <w:pStyle w:val="TableContents"/>
              <w:bidi w:val="0"/>
              <w:spacing w:before="0" w:after="283"/>
              <w:jc w:val="center"/>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4. </w:t>
            </w:r>
          </w:p>
        </w:tc>
        <w:tc>
          <w:tcPr>
            <w:tcW w:w="8844" w:type="dxa"/>
            <w:tcBorders/>
            <w:shd w:fill="CCEEFF" w:val="clear"/>
            <w:tcMar>
              <w:top w:w="0" w:type="dxa"/>
              <w:left w:w="0" w:type="dxa"/>
              <w:bottom w:w="0" w:type="dxa"/>
              <w:right w:w="0" w:type="dxa"/>
            </w:tcMar>
            <w:vAlign w:val="center"/>
          </w:tcPr>
          <w:p>
            <w:pPr>
              <w:pStyle w:val="TableContents"/>
              <w:bidi w:val="0"/>
              <w:spacing w:before="0" w:after="0"/>
              <w:jc w:val="left"/>
              <w:rPr/>
            </w:pPr>
            <w:hyperlink w:anchor="Mine_Safety_Disclosures">
              <w:r>
                <w:rPr>
                  <w:rStyle w:val="InternetLink"/>
                </w:rPr>
                <w:t>Mine Safety Disclosures.</w:t>
              </w:r>
            </w:hyperlink>
            <w:r>
              <w:rPr/>
              <w:t xml:space="preserve"> </w:t>
            </w:r>
          </w:p>
        </w:tc>
        <w:tc>
          <w:tcPr>
            <w:tcW w:w="392" w:type="dxa"/>
            <w:tcBorders/>
            <w:shd w:fill="CCEEFF" w:val="clear"/>
            <w:tcMar>
              <w:top w:w="0" w:type="dxa"/>
              <w:left w:w="0" w:type="dxa"/>
              <w:bottom w:w="0" w:type="dxa"/>
              <w:right w:w="0" w:type="dxa"/>
            </w:tcMar>
            <w:vAlign w:val="center"/>
          </w:tcPr>
          <w:p>
            <w:pPr>
              <w:pStyle w:val="TableContents"/>
              <w:bidi w:val="0"/>
              <w:spacing w:before="0" w:after="0"/>
              <w:jc w:val="right"/>
              <w:rPr/>
            </w:pPr>
            <w:r>
              <w:rPr/>
              <w:t>67</w:t>
            </w:r>
          </w:p>
        </w:tc>
      </w:tr>
      <w:tr>
        <w:trPr/>
        <w:tc>
          <w:tcPr>
            <w:tcW w:w="161" w:type="dxa"/>
            <w:tcBorders/>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CEEFF" w:val="clear"/>
            <w:vAlign w:val="center"/>
          </w:tcPr>
          <w:p>
            <w:pPr>
              <w:pStyle w:val="TableContents"/>
              <w:bidi w:val="0"/>
              <w:spacing w:before="0" w:after="283"/>
              <w:jc w:val="center"/>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5. </w:t>
            </w:r>
          </w:p>
        </w:tc>
        <w:tc>
          <w:tcPr>
            <w:tcW w:w="8844" w:type="dxa"/>
            <w:tcBorders/>
            <w:shd w:fill="CCEEFF" w:val="clear"/>
            <w:tcMar>
              <w:top w:w="0" w:type="dxa"/>
              <w:left w:w="0" w:type="dxa"/>
              <w:bottom w:w="0" w:type="dxa"/>
              <w:right w:w="0" w:type="dxa"/>
            </w:tcMar>
            <w:vAlign w:val="center"/>
          </w:tcPr>
          <w:p>
            <w:pPr>
              <w:pStyle w:val="TableContents"/>
              <w:bidi w:val="0"/>
              <w:spacing w:before="0" w:after="0"/>
              <w:jc w:val="left"/>
              <w:rPr/>
            </w:pPr>
            <w:hyperlink w:anchor="Other_Information">
              <w:r>
                <w:rPr>
                  <w:rStyle w:val="InternetLink"/>
                </w:rPr>
                <w:t>Other Information.</w:t>
              </w:r>
            </w:hyperlink>
            <w:r>
              <w:rPr/>
              <w:t xml:space="preserve"> </w:t>
            </w:r>
          </w:p>
        </w:tc>
        <w:tc>
          <w:tcPr>
            <w:tcW w:w="392" w:type="dxa"/>
            <w:tcBorders/>
            <w:shd w:fill="CCEEFF" w:val="clear"/>
            <w:tcMar>
              <w:top w:w="0" w:type="dxa"/>
              <w:left w:w="0" w:type="dxa"/>
              <w:bottom w:w="0" w:type="dxa"/>
              <w:right w:w="0" w:type="dxa"/>
            </w:tcMar>
            <w:vAlign w:val="center"/>
          </w:tcPr>
          <w:p>
            <w:pPr>
              <w:pStyle w:val="TableContents"/>
              <w:bidi w:val="0"/>
              <w:spacing w:before="0" w:after="0"/>
              <w:jc w:val="right"/>
              <w:rPr/>
            </w:pPr>
            <w:r>
              <w:rPr/>
              <w:t>68</w:t>
            </w:r>
          </w:p>
        </w:tc>
      </w:tr>
      <w:tr>
        <w:trPr/>
        <w:tc>
          <w:tcPr>
            <w:tcW w:w="161" w:type="dxa"/>
            <w:tcBorders/>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CEEFF" w:val="clear"/>
            <w:vAlign w:val="center"/>
          </w:tcPr>
          <w:p>
            <w:pPr>
              <w:pStyle w:val="TableContents"/>
              <w:bidi w:val="0"/>
              <w:spacing w:before="0" w:after="283"/>
              <w:jc w:val="center"/>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6. </w:t>
            </w:r>
          </w:p>
        </w:tc>
        <w:tc>
          <w:tcPr>
            <w:tcW w:w="8844" w:type="dxa"/>
            <w:tcBorders/>
            <w:shd w:fill="CCEEFF" w:val="clear"/>
            <w:tcMar>
              <w:top w:w="0" w:type="dxa"/>
              <w:left w:w="0" w:type="dxa"/>
              <w:bottom w:w="0" w:type="dxa"/>
              <w:right w:w="0" w:type="dxa"/>
            </w:tcMar>
            <w:vAlign w:val="center"/>
          </w:tcPr>
          <w:p>
            <w:pPr>
              <w:pStyle w:val="TableContents"/>
              <w:bidi w:val="0"/>
              <w:spacing w:before="0" w:after="0"/>
              <w:jc w:val="left"/>
              <w:rPr/>
            </w:pPr>
            <w:hyperlink w:anchor="Exhibits">
              <w:r>
                <w:rPr>
                  <w:rStyle w:val="InternetLink"/>
                </w:rPr>
                <w:t>Exhibits.</w:t>
              </w:r>
            </w:hyperlink>
            <w:r>
              <w:rPr/>
              <w:t xml:space="preserve"> </w:t>
            </w:r>
          </w:p>
        </w:tc>
        <w:tc>
          <w:tcPr>
            <w:tcW w:w="392" w:type="dxa"/>
            <w:tcBorders/>
            <w:shd w:fill="CCEEFF" w:val="clear"/>
            <w:tcMar>
              <w:top w:w="0" w:type="dxa"/>
              <w:left w:w="0" w:type="dxa"/>
              <w:bottom w:w="0" w:type="dxa"/>
              <w:right w:w="0" w:type="dxa"/>
            </w:tcMar>
            <w:vAlign w:val="center"/>
          </w:tcPr>
          <w:p>
            <w:pPr>
              <w:pStyle w:val="TableContents"/>
              <w:bidi w:val="0"/>
              <w:spacing w:before="0" w:after="0"/>
              <w:jc w:val="right"/>
              <w:rPr/>
            </w:pPr>
            <w:r>
              <w:rPr/>
              <w:t>68</w:t>
            </w:r>
          </w:p>
        </w:tc>
      </w:tr>
      <w:tr>
        <w:trPr/>
        <w:tc>
          <w:tcPr>
            <w:tcW w:w="161" w:type="dxa"/>
            <w:tcBorders/>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13" w:type="dxa"/>
            <w:gridSpan w:val="3"/>
            <w:tcBorders/>
            <w:shd w:fill="CCEEFF" w:val="clear"/>
            <w:tcMar>
              <w:top w:w="0" w:type="dxa"/>
              <w:left w:w="0" w:type="dxa"/>
              <w:bottom w:w="0" w:type="dxa"/>
              <w:right w:w="0" w:type="dxa"/>
            </w:tcMar>
            <w:vAlign w:val="center"/>
          </w:tcPr>
          <w:p>
            <w:pPr>
              <w:pStyle w:val="TableContents"/>
              <w:bidi w:val="0"/>
              <w:spacing w:before="0" w:after="0"/>
              <w:jc w:val="left"/>
              <w:rPr/>
            </w:pPr>
            <w:hyperlink w:anchor="SIGNATURES">
              <w:r>
                <w:rPr>
                  <w:rStyle w:val="InternetLink"/>
                </w:rPr>
                <w:t>SIGNATURES</w:t>
              </w:r>
            </w:hyperlink>
            <w:r>
              <w:rPr/>
              <w:t xml:space="preserve"> </w:t>
            </w:r>
          </w:p>
        </w:tc>
        <w:tc>
          <w:tcPr>
            <w:tcW w:w="392" w:type="dxa"/>
            <w:tcBorders/>
            <w:shd w:fill="CCEEFF" w:val="clear"/>
            <w:tcMar>
              <w:top w:w="0" w:type="dxa"/>
              <w:left w:w="0" w:type="dxa"/>
              <w:bottom w:w="0" w:type="dxa"/>
              <w:right w:w="0" w:type="dxa"/>
            </w:tcMar>
            <w:vAlign w:val="center"/>
          </w:tcPr>
          <w:p>
            <w:pPr>
              <w:pStyle w:val="TableContents"/>
              <w:bidi w:val="0"/>
              <w:spacing w:before="0" w:after="0"/>
              <w:jc w:val="right"/>
              <w:rPr/>
            </w:pPr>
            <w:r>
              <w:rPr/>
              <w:t>70</w:t>
            </w:r>
          </w:p>
        </w:tc>
      </w:tr>
    </w:tbl>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This Quarterly Report on Form 10-Q includes our trademarks, trade names and service marks, such as “ASCENIV™,” “Nabi-HB</w:t>
      </w:r>
      <w:r>
        <w:rPr>
          <w:rFonts w:ascii="Times New Roman" w:hAnsi="Times New Roman"/>
          <w:color w:val="000000"/>
          <w:sz w:val="14"/>
        </w:rPr>
        <w:t>®</w:t>
      </w:r>
      <w:r>
        <w:rPr>
          <w:rFonts w:ascii="Times New Roman" w:hAnsi="Times New Roman"/>
          <w:color w:val="000000"/>
          <w:sz w:val="20"/>
        </w:rPr>
        <w:t>” and “BIVIGAM</w:t>
      </w:r>
      <w:r>
        <w:rPr>
          <w:rFonts w:ascii="Times New Roman" w:hAnsi="Times New Roman"/>
          <w:color w:val="000000"/>
          <w:sz w:val="14"/>
        </w:rPr>
        <w:t>®</w:t>
      </w:r>
      <w:r>
        <w:rPr>
          <w:rFonts w:ascii="Times New Roman" w:hAnsi="Times New Roman"/>
          <w:color w:val="000000"/>
          <w:sz w:val="20"/>
        </w:rPr>
        <w:t xml:space="preserve">,” which are protected under applicable intellectual property laws and are the property of ADMA Biologics, Inc., or its subsidiaries. Solely for convenience, trademarks, trade names and service marks referred to in this report may appear without the </w:t>
      </w:r>
      <w:r>
        <w:rPr>
          <w:rFonts w:ascii="Times New Roman" w:hAnsi="Times New Roman"/>
          <w:color w:val="000000"/>
          <w:sz w:val="14"/>
        </w:rPr>
        <w:t>®</w:t>
      </w:r>
      <w:r>
        <w:rPr>
          <w:rFonts w:ascii="Times New Roman" w:hAnsi="Times New Roman"/>
          <w:color w:val="000000"/>
          <w:sz w:val="20"/>
        </w:rPr>
        <w:t xml:space="preserve">, ™ or </w:t>
      </w:r>
      <w:r>
        <w:rPr>
          <w:rFonts w:ascii="Times New Roman" w:hAnsi="Times New Roman"/>
          <w:color w:val="000000"/>
          <w:sz w:val="14"/>
        </w:rPr>
        <w:t>SM</w:t>
      </w:r>
      <w:r>
        <w:rPr>
          <w:rFonts w:ascii="Times New Roman" w:hAnsi="Times New Roman"/>
          <w:color w:val="000000"/>
          <w:sz w:val="20"/>
        </w:rPr>
        <w:t xml:space="preserve">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i</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Special Note Regarding Forward-Looking Statements</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This Quarterly Report on Form 10-Q contains certain “forward-looking statements” within the meaning of Section 27A of the Securities Act of 1933, as amended (the “Securities Act”), and Section 21E of the Securities Exchange Act of 1934, as amended (the “Exchange Act”), and such forward-looking statements involve risks and uncertainties. These forward-looking statements include, but are not limited to, statements about our plans, objectives, representations and contentions that are not historical facts and typically are identified by use of terms such as “may,” “should,” “could,” “would,” “expect,” “plan,” “anticipate,” “believe,” “estimate,” “predict,” “potential,” “project,” “continue,” or the negative thereof, or other variations or comparable terminology, although some forward-looking statements are expressed differently. The forward-looking statements included herein represent management’s current judgment and expectations, but our actual results, events and performance could differ materially from those in the forward-looking statements. These statements include, among others, statements about:</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ability to further commercialize ASCENIV and BIVIGAM;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plans to develop, manufacture, market, launch and expand our commercial infrastructure and commercialize our current and future products and the success of such efforts;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safety, efficacy and expected timing of, and our ability to obtain and maintain regulatory approvals for, our current products and product candidates, the labeling or nature of any such approvals, and whether any of our current products may be subject to post-marketing restrictions or withdrawal from the market;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achievement of, or expected timing, progress and results of clinical development, clinical trials and potential regulatory approvals for, our product candidates;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286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dependence upon our third-party customers, suppliers and vendors and their compliance with applicable regulatory requirements;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belief that we have addressed the delays experienced with final drug product current Good Manufacturing Practices (“cGMP”) release testing by our third-party vendors by adding additional release testing laboratories to our U.S. Food and Drug Administration (the “FDA”)-approved consortium listed in our drug approval documents;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2286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ability to obtain adequate quantities of FDA-approved plasma with proper specifications;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2286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plans to increase our supplies of source plasma (including source plasma containing certain levels of antibodies to respiratory syncytial virus), our ability to obtain and maintain regulatory compliance and reliance on third-party supply agreements, as well as any extensions to such agreements, and expected impact of such third-party supply of respiratory syncytial virus plasma on both ASCENIV growth and overall financial performance;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2286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potential indications for our products and product candidates;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2286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potential investigational new product applications;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2286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acceptability of any of our products, including ASCENIV, BIVIGAM and Nabi-HB, for any purpose, including FDA-approved indications, by physicians, patients or payers;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2286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plans to evaluate the clinical and regulatory paths to grow the ASCENIV franchise through expanded FDA-approved uses;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2286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Federal, state and local regulatory and business review processes and timing by such governmental and regulatory agencies of our business and regulatory submissions;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2286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concurrence by the FDA with our conclusions concerning our products and product candidates;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2286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ii</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comparability of the testing results of our hyperimmune and immune globulin products to other comparably run hyperimmune and immune globulin clinical trials;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2286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potential for ASCENIV and BIVIGAM to provide meaningful clinical improvement for patients living with </w:t>
      </w:r>
      <w:r>
        <w:rPr>
          <w:rFonts w:ascii="Times New Roman" w:hAnsi="Times New Roman"/>
          <w:color w:val="000000"/>
          <w:sz w:val="20"/>
        </w:rPr>
        <w:t>Primary Humoral Immunodeficiency (“PI”), also known as Primary Immunodeficiency Disease (“PIDD”) or Inborn Errors of Immunity,</w:t>
      </w:r>
      <w:r>
        <w:rPr>
          <w:rFonts w:ascii="Times New Roman" w:hAnsi="Times New Roman"/>
          <w:sz w:val="20"/>
        </w:rPr>
        <w:t xml:space="preserve"> or other immune deficiencies or any other condition for which the products may be prescribed or evaluated;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2286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ability to market and promote Nabi-HB in a highly competitive environment with increasing competition from other antiviral therapies and to generate meaningful revenues from this product;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2286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intellectual property position and the defense thereof, including our expectations regarding the scope of patent protection with respect to ASCENIV, SG-001 or other future pipeline product candidates;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2286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ability to develop, manufacture, receive regulatory approval and commercialize our potential pipeline of any new hyperimmune globulins, including SG-001, and related timing in consideration therewith;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228600" cy="175260"/>
                <wp:effectExtent l="0" t="0" r="0" b="0"/>
                <wp:wrapSquare wrapText="right"/>
                <wp:docPr id="21" name="Frame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manufacturing capabilities, and third-party contractor capabilities;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228600" cy="175260"/>
                <wp:effectExtent l="0" t="0" r="0" b="0"/>
                <wp:wrapSquare wrapText="right"/>
                <wp:docPr id="22" name="Frame2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use of artificial intelligence (“AI”) in our supply chain and production operations;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228600"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implemented strategy related to the expansion and efficiencies of our manufacturing capacity, yield improvements, supply-chain robustness, in-house fill-finish capabilities, distribution and other collaborative agreements and the success of such endeavors;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228600" cy="175260"/>
                <wp:effectExtent l="0" t="0" r="0" b="0"/>
                <wp:wrapSquare wrapText="right"/>
                <wp:docPr id="24" name="Frame2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estimates regarding revenues, certain non-GAAP financial measures (i.e., financial measures that are not prepared in accordance with U.S. generally accepted accounting principles), earnings, expenses, capital requirements, capital expenditures, ASCENIV’s growth, demand and utilization, ability to maintain profitability and positive cash flows and the potential need for and availability of additional financing;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228600" cy="175260"/>
                <wp:effectExtent l="0" t="0" r="0" b="0"/>
                <wp:wrapSquare wrapText="right"/>
                <wp:docPr id="25" name="Frame2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ASCENIV’s real-world outcomes data and payer coverage;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228600" cy="175260"/>
                <wp:effectExtent l="0" t="0" r="0" b="0"/>
                <wp:wrapSquare wrapText="right"/>
                <wp:docPr id="26" name="Frame2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ability to timely realize the revenue and earnings benefits associated with our FDA approved yield enhancement production process;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228600" cy="175260"/>
                <wp:effectExtent l="0" t="0" r="0" b="0"/>
                <wp:wrapSquare wrapText="right"/>
                <wp:docPr id="27" name="Frame2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ability to realize our deferred tax assets or the need for a valuation allowance, or the effects of changes in tax laws on our deferred tax assets;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228600" cy="175260"/>
                <wp:effectExtent l="0" t="0" r="0" b="0"/>
                <wp:wrapSquare wrapText="right"/>
                <wp:docPr id="28" name="Frame2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estimates of future taxable income, which could have a material impact on our financial condition or financial results;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228600" cy="175260"/>
                <wp:effectExtent l="0" t="0" r="0" b="0"/>
                <wp:wrapSquare wrapText="right"/>
                <wp:docPr id="29" name="Frame2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estimates of future effective tax rates and corresponding tax obligations and expenses, which could have a material impact on our financial condition or financial results;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228600" cy="175260"/>
                <wp:effectExtent l="0" t="0" r="0" b="0"/>
                <wp:wrapSquare wrapText="right"/>
                <wp:docPr id="30" name="Frame3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possible or likely reimbursement levels for our currently marketed products;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228600" cy="175260"/>
                <wp:effectExtent l="0" t="0" r="0" b="0"/>
                <wp:wrapSquare wrapText="right"/>
                <wp:docPr id="31" name="Frame3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estimates regarding market size, projected growth and sales of our existing products as well as our expectations of market acceptance of ASCENIV and BIVIGAM; </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228600" cy="175260"/>
                <wp:effectExtent l="0" t="0" r="0" b="0"/>
                <wp:wrapSquare wrapText="right"/>
                <wp:docPr id="32" name="Frame3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potential operational and financial impacts to our business should the recent trend of competitive pricing tactics in the IVIG and other related industries continue;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228600" cy="175260"/>
                <wp:effectExtent l="0" t="0" r="0" b="0"/>
                <wp:wrapSquare wrapText="right"/>
                <wp:docPr id="33" name="Frame3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intended uses and benefits of the recently acquired real estate in Boca Raton, Florida;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228600" cy="175260"/>
                <wp:effectExtent l="0" t="0" r="0" b="0"/>
                <wp:wrapSquare wrapText="right"/>
                <wp:docPr id="34" name="Frame3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senior credit facility;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228600" cy="175260"/>
                <wp:effectExtent l="0" t="0" r="0" b="0"/>
                <wp:wrapSquare wrapText="right"/>
                <wp:docPr id="35" name="Frame3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iii</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repurchases of shares of our common stock under our Board-approved share repurchase program;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228600" cy="175260"/>
                <wp:effectExtent l="0" t="0" r="0" b="0"/>
                <wp:wrapSquare wrapText="right"/>
                <wp:docPr id="36" name="Frame3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expected financial and operational benefits of the recent divestiture of three of our plasma collection centers;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228600" cy="175260"/>
                <wp:effectExtent l="0" t="0" r="0" b="0"/>
                <wp:wrapSquare wrapText="right"/>
                <wp:docPr id="37" name="Frame3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potential for pandemics, or a resurgence of a pandemic, to adversely affect our business, financial condition, liquidity or results of operations; and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228600" cy="175260"/>
                <wp:effectExtent l="0" t="0" r="0" b="0"/>
                <wp:wrapSquare wrapText="right"/>
                <wp:docPr id="38" name="Frame3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future domestic and global economic conditions including, but not limited to, supply chain constraints, inflationary pressures or performance or geopolitical conditions, including the continuing conflicts in Europe, certain countries in South America, Northern Africa and in the Middle East and surrounding areas, and international trade and U.S. tariff policies and any anticipated effects of such factors on the pricing and availability of imported raw materials used in the production of our products.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228600" cy="175260"/>
                <wp:effectExtent l="0" t="0" r="0" b="0"/>
                <wp:wrapSquare wrapText="right"/>
                <wp:docPr id="39" name="Frame3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0"/>
        <w:jc w:val="both"/>
        <w:rPr>
          <w:rFonts w:ascii="Times New Roman" w:hAnsi="Times New Roman"/>
          <w:sz w:val="20"/>
        </w:rPr>
      </w:pPr>
      <w:r>
        <w:rPr>
          <w:rFonts w:ascii="Times New Roman" w:hAnsi="Times New Roman"/>
          <w:sz w:val="20"/>
        </w:rPr>
        <w:t>These statements may be found under the “Risk Factors” and “Management’s Discussion and Analysis of Financial Condition and Results of Operations” sections of this Quarterly Report on Form 10-Q for the quarter ended June 30, 2026 (this “Form 10-Q”). Our actual results could differ materially from those contained in the forward-looking statements due to the factors described in the sections entitled “Risk Factors” and “Management’s Discussion and Analysis of Financial Condition and Results of Operations” in the Company’s Annual Report on Form 10-K for the year ended December 31, 2025 and in this Form 10-Q. Any forward-looking statement included in this Form 10-Q reflects our current views with respect to future events and is subject to these and other risks, uncertainties and assumptions related to our operations, industry and future growth. These forward-looking statements speak only as of the dates such statements are made, and we undertake no obligation to release publicly any updates or revisions to any forward-looking statements contained herein to reflect any change in our expectations or any changes in events, conditions or circumstances on which any such statement is based, except as required by law.</w:t>
      </w:r>
    </w:p>
    <w:p>
      <w:pPr>
        <w:pStyle w:val="TextBody"/>
        <w:bidi w:val="0"/>
        <w:spacing w:before="0" w:after="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iv</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INFORMATION </w:t>
      </w:r>
    </w:p>
    <w:p>
      <w:pPr>
        <w:pStyle w:val="TextBody"/>
        <w:bidi w:val="0"/>
        <w:spacing w:before="0" w:after="0"/>
        <w:jc w:val="center"/>
        <w:rPr/>
      </w:pPr>
      <w:r>
        <w:rPr/>
        <w:t xml:space="preserve">  </w:t>
      </w:r>
    </w:p>
    <w:p>
      <w:pPr>
        <w:pStyle w:val="TextBody"/>
        <w:bidi w:val="0"/>
        <w:spacing w:before="0" w:after="0"/>
        <w:jc w:val="left"/>
        <w:rPr>
          <w:rFonts w:ascii="Times New Roman" w:hAnsi="Times New Roman"/>
          <w:b/>
          <w:sz w:val="20"/>
        </w:rPr>
      </w:pPr>
      <w:r>
        <w:rPr>
          <w:rFonts w:ascii="Times New Roman" w:hAnsi="Times New Roman"/>
          <w:b/>
          <w:sz w:val="20"/>
        </w:rPr>
        <w:t xml:space="preserve">Item 1. Financial Statements.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ADMA BIOLOGICS,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6" w:name="BALANCE_SHEETS"/>
      <w:bookmarkEnd w:id="6"/>
      <w:r>
        <w:rPr>
          <w:rFonts w:ascii="Times New Roman" w:hAnsi="Times New Roman"/>
          <w:b/>
          <w:sz w:val="20"/>
        </w:rPr>
        <w:t>CONDENSED CONSOLIDATED BALANCE SHEETS</w:t>
      </w:r>
      <w:r>
        <w:rPr>
          <w:rFonts w:ascii="Times New Roman" w:hAnsi="Times New Roman"/>
          <w:sz w:val="20"/>
        </w:rPr>
        <w:t xml:space="preserve"> </w:t>
      </w:r>
    </w:p>
    <w:p>
      <w:pPr>
        <w:pStyle w:val="TextBody"/>
        <w:bidi w:val="0"/>
        <w:spacing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6775"/>
        <w:gridCol w:w="90"/>
        <w:gridCol w:w="170"/>
        <w:gridCol w:w="1186"/>
        <w:gridCol w:w="185"/>
        <w:gridCol w:w="90"/>
        <w:gridCol w:w="170"/>
        <w:gridCol w:w="1307"/>
        <w:gridCol w:w="232"/>
      </w:tblGrid>
      <w:tr>
        <w:trPr/>
        <w:tc>
          <w:tcPr>
            <w:tcW w:w="67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7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86" w:type="dxa"/>
            <w:tcBorders/>
            <w:vAlign w:val="center"/>
          </w:tcPr>
          <w:p>
            <w:pPr>
              <w:pStyle w:val="TableContents"/>
              <w:bidi w:val="0"/>
              <w:spacing w:before="0" w:after="283"/>
              <w:jc w:val="center"/>
              <w:rPr/>
            </w:pPr>
            <w:r>
              <w:rPr>
                <w:b/>
              </w:rPr>
              <w:t>June 30,</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307" w:type="dxa"/>
            <w:tcBorders/>
            <w:vAlign w:val="center"/>
          </w:tcPr>
          <w:p>
            <w:pPr>
              <w:pStyle w:val="TableContents"/>
              <w:bidi w:val="0"/>
              <w:spacing w:before="0" w:after="283"/>
              <w:jc w:val="center"/>
              <w:rPr/>
            </w:pPr>
            <w:r>
              <w:rPr>
                <w:b/>
              </w:rPr>
              <w:t>December 31,</w:t>
            </w:r>
            <w:r>
              <w:rPr/>
              <w:t xml:space="preserve"> </w:t>
            </w:r>
          </w:p>
        </w:tc>
        <w:tc>
          <w:tcPr>
            <w:tcW w:w="232" w:type="dxa"/>
            <w:tcBorders/>
            <w:vAlign w:val="center"/>
          </w:tcPr>
          <w:p>
            <w:pPr>
              <w:pStyle w:val="TableContents"/>
              <w:bidi w:val="0"/>
              <w:spacing w:before="0" w:after="283"/>
              <w:jc w:val="center"/>
              <w:rPr/>
            </w:pPr>
            <w:r>
              <w:rPr/>
              <w:t> </w:t>
            </w:r>
          </w:p>
        </w:tc>
      </w:tr>
      <w:tr>
        <w:trPr/>
        <w:tc>
          <w:tcPr>
            <w:tcW w:w="67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86" w:type="dxa"/>
            <w:tcBorders>
              <w:bottom w:val="single" w:sz="6"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307" w:type="dxa"/>
            <w:tcBorders>
              <w:bottom w:val="single" w:sz="6"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32" w:type="dxa"/>
            <w:tcBorders/>
            <w:vAlign w:val="center"/>
          </w:tcPr>
          <w:p>
            <w:pPr>
              <w:pStyle w:val="TableContents"/>
              <w:bidi w:val="0"/>
              <w:spacing w:before="0" w:after="283"/>
              <w:jc w:val="center"/>
              <w:rPr/>
            </w:pPr>
            <w:r>
              <w:rPr/>
              <w:t> </w:t>
            </w:r>
          </w:p>
        </w:tc>
      </w:tr>
      <w:tr>
        <w:trPr/>
        <w:tc>
          <w:tcPr>
            <w:tcW w:w="67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86" w:type="dxa"/>
            <w:tcBorders/>
            <w:vAlign w:val="center"/>
          </w:tcPr>
          <w:p>
            <w:pPr>
              <w:pStyle w:val="TableContents"/>
              <w:bidi w:val="0"/>
              <w:spacing w:before="0" w:after="283"/>
              <w:jc w:val="center"/>
              <w:rPr/>
            </w:pPr>
            <w:r>
              <w:rPr/>
              <w:t xml:space="preserve">(Unaudited)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307" w:type="dxa"/>
            <w:tcBorders/>
            <w:vAlign w:val="center"/>
          </w:tcPr>
          <w:p>
            <w:pPr>
              <w:pStyle w:val="TableContents"/>
              <w:bidi w:val="0"/>
              <w:spacing w:before="0" w:after="283"/>
              <w:jc w:val="center"/>
              <w:rPr/>
            </w:pPr>
            <w:r>
              <w:rPr/>
              <w:t> </w:t>
            </w:r>
          </w:p>
        </w:tc>
        <w:tc>
          <w:tcPr>
            <w:tcW w:w="232" w:type="dxa"/>
            <w:tcBorders/>
            <w:vAlign w:val="center"/>
          </w:tcPr>
          <w:p>
            <w:pPr>
              <w:pStyle w:val="TableContents"/>
              <w:bidi w:val="0"/>
              <w:spacing w:before="0" w:after="283"/>
              <w:jc w:val="center"/>
              <w:rPr/>
            </w:pPr>
            <w:r>
              <w:rPr/>
              <w:t> </w:t>
            </w:r>
          </w:p>
        </w:tc>
      </w:tr>
      <w:tr>
        <w:trPr/>
        <w:tc>
          <w:tcPr>
            <w:tcW w:w="6775" w:type="dxa"/>
            <w:tcBorders/>
            <w:vAlign w:val="center"/>
          </w:tcPr>
          <w:p>
            <w:pPr>
              <w:pStyle w:val="TableContents"/>
              <w:bidi w:val="0"/>
              <w:spacing w:before="0" w:after="0"/>
              <w:ind w:left="0" w:right="0" w:hanging="144"/>
              <w:jc w:val="left"/>
              <w:rPr/>
            </w:pPr>
            <w:r>
              <w:rPr>
                <w:i/>
              </w:rPr>
              <w:t>(In thousands, except share data)</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775" w:type="dxa"/>
            <w:tcBorders/>
            <w:vAlign w:val="center"/>
          </w:tcPr>
          <w:p>
            <w:pPr>
              <w:pStyle w:val="TableContents"/>
              <w:bidi w:val="0"/>
              <w:spacing w:before="0" w:after="0"/>
              <w:ind w:left="0" w:right="0" w:hanging="144"/>
              <w:jc w:val="left"/>
              <w:rPr/>
            </w:pPr>
            <w:r>
              <w:rPr>
                <w:b/>
              </w:rPr>
              <w:t>ASSETS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775" w:type="dxa"/>
            <w:tcBorders/>
            <w:vAlign w:val="center"/>
          </w:tcPr>
          <w:p>
            <w:pPr>
              <w:pStyle w:val="TableContents"/>
              <w:bidi w:val="0"/>
              <w:spacing w:before="0" w:after="0"/>
              <w:ind w:left="0" w:right="0" w:hanging="144"/>
              <w:jc w:val="left"/>
              <w:rPr/>
            </w:pPr>
            <w:r>
              <w:rPr/>
              <w:t xml:space="preserve">Current assets: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775" w:type="dxa"/>
            <w:tcBorders/>
            <w:shd w:fill="CCEEFF" w:val="clear"/>
            <w:vAlign w:val="center"/>
          </w:tcPr>
          <w:p>
            <w:pPr>
              <w:pStyle w:val="TableContents"/>
              <w:bidi w:val="0"/>
              <w:spacing w:before="0" w:after="0"/>
              <w:jc w:val="left"/>
              <w:rPr/>
            </w:pPr>
            <w:r>
              <w:rPr/>
              <w:t xml:space="preserve">Cash and cash equivalents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283"/>
              <w:jc w:val="right"/>
              <w:rPr/>
            </w:pPr>
            <w:r>
              <w:rPr/>
              <w:t>136,020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87,630</w:t>
            </w:r>
          </w:p>
        </w:tc>
        <w:tc>
          <w:tcPr>
            <w:tcW w:w="232" w:type="dxa"/>
            <w:tcBorders/>
            <w:shd w:fill="CCEEFF" w:val="clear"/>
            <w:vAlign w:val="center"/>
          </w:tcPr>
          <w:p>
            <w:pPr>
              <w:pStyle w:val="TableContents"/>
              <w:bidi w:val="0"/>
              <w:spacing w:before="0" w:after="283"/>
              <w:jc w:val="left"/>
              <w:rPr/>
            </w:pPr>
            <w:r>
              <w:rPr/>
              <w:t> </w:t>
            </w:r>
          </w:p>
        </w:tc>
      </w:tr>
      <w:tr>
        <w:trPr/>
        <w:tc>
          <w:tcPr>
            <w:tcW w:w="6775" w:type="dxa"/>
            <w:tcBorders/>
            <w:vAlign w:val="center"/>
          </w:tcPr>
          <w:p>
            <w:pPr>
              <w:pStyle w:val="TableContents"/>
              <w:bidi w:val="0"/>
              <w:spacing w:before="0" w:after="0"/>
              <w:jc w:val="left"/>
              <w:rPr/>
            </w:pPr>
            <w:r>
              <w:rPr/>
              <w:t xml:space="preserve">Accounts receivable, net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138,231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158,429</w:t>
            </w:r>
          </w:p>
        </w:tc>
        <w:tc>
          <w:tcPr>
            <w:tcW w:w="232" w:type="dxa"/>
            <w:tcBorders/>
            <w:vAlign w:val="center"/>
          </w:tcPr>
          <w:p>
            <w:pPr>
              <w:pStyle w:val="TableContents"/>
              <w:bidi w:val="0"/>
              <w:spacing w:before="0" w:after="283"/>
              <w:jc w:val="left"/>
              <w:rPr/>
            </w:pPr>
            <w:r>
              <w:rPr/>
              <w:t> </w:t>
            </w:r>
          </w:p>
        </w:tc>
      </w:tr>
      <w:tr>
        <w:trPr/>
        <w:tc>
          <w:tcPr>
            <w:tcW w:w="6775" w:type="dxa"/>
            <w:tcBorders/>
            <w:shd w:fill="CCEEFF" w:val="clear"/>
            <w:vAlign w:val="center"/>
          </w:tcPr>
          <w:p>
            <w:pPr>
              <w:pStyle w:val="TableContents"/>
              <w:bidi w:val="0"/>
              <w:spacing w:before="0" w:after="0"/>
              <w:jc w:val="left"/>
              <w:rPr/>
            </w:pPr>
            <w:r>
              <w:rPr/>
              <w:t xml:space="preserve">Inventories, net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239,313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206,465</w:t>
            </w:r>
          </w:p>
        </w:tc>
        <w:tc>
          <w:tcPr>
            <w:tcW w:w="232" w:type="dxa"/>
            <w:tcBorders/>
            <w:shd w:fill="CCEEFF" w:val="clear"/>
            <w:vAlign w:val="center"/>
          </w:tcPr>
          <w:p>
            <w:pPr>
              <w:pStyle w:val="TableContents"/>
              <w:bidi w:val="0"/>
              <w:spacing w:before="0" w:after="283"/>
              <w:jc w:val="left"/>
              <w:rPr/>
            </w:pPr>
            <w:r>
              <w:rPr/>
              <w:t> </w:t>
            </w:r>
          </w:p>
        </w:tc>
      </w:tr>
      <w:tr>
        <w:trPr/>
        <w:tc>
          <w:tcPr>
            <w:tcW w:w="6775" w:type="dxa"/>
            <w:tcBorders/>
            <w:vAlign w:val="center"/>
          </w:tcPr>
          <w:p>
            <w:pPr>
              <w:pStyle w:val="TableContents"/>
              <w:bidi w:val="0"/>
              <w:spacing w:before="0" w:after="0"/>
              <w:jc w:val="left"/>
              <w:rPr/>
            </w:pPr>
            <w:r>
              <w:rPr/>
              <w:t xml:space="preserve">Prepaid expenses and other current assets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14,639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7,458</w:t>
            </w:r>
          </w:p>
        </w:tc>
        <w:tc>
          <w:tcPr>
            <w:tcW w:w="232" w:type="dxa"/>
            <w:tcBorders/>
            <w:vAlign w:val="center"/>
          </w:tcPr>
          <w:p>
            <w:pPr>
              <w:pStyle w:val="TableContents"/>
              <w:bidi w:val="0"/>
              <w:spacing w:before="0" w:after="283"/>
              <w:jc w:val="left"/>
              <w:rPr/>
            </w:pPr>
            <w:r>
              <w:rPr/>
              <w:t> </w:t>
            </w:r>
          </w:p>
        </w:tc>
      </w:tr>
      <w:tr>
        <w:trPr/>
        <w:tc>
          <w:tcPr>
            <w:tcW w:w="6775" w:type="dxa"/>
            <w:tcBorders/>
            <w:shd w:fill="CCEEFF" w:val="clear"/>
            <w:vAlign w:val="center"/>
          </w:tcPr>
          <w:p>
            <w:pPr>
              <w:pStyle w:val="TableContents"/>
              <w:bidi w:val="0"/>
              <w:spacing w:before="0" w:after="0"/>
              <w:jc w:val="left"/>
              <w:rPr/>
            </w:pPr>
            <w:r>
              <w:rPr/>
              <w:t xml:space="preserve">Assets held for sale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6" w:space="0" w:color="000000"/>
            </w:tcBorders>
            <w:shd w:fill="CCEEFF" w:val="clear"/>
            <w:tcMar>
              <w:bottom w:w="28" w:type="dxa"/>
            </w:tcMar>
            <w:vAlign w:val="center"/>
          </w:tcPr>
          <w:p>
            <w:pPr>
              <w:pStyle w:val="TableContents"/>
              <w:bidi w:val="0"/>
              <w:spacing w:before="0" w:after="283"/>
              <w:jc w:val="right"/>
              <w:rPr/>
            </w:pPr>
            <w:r>
              <w:rPr/>
              <w:t>6,530</w:t>
            </w:r>
          </w:p>
        </w:tc>
        <w:tc>
          <w:tcPr>
            <w:tcW w:w="232" w:type="dxa"/>
            <w:tcBorders/>
            <w:shd w:fill="CCEEFF" w:val="clear"/>
            <w:vAlign w:val="center"/>
          </w:tcPr>
          <w:p>
            <w:pPr>
              <w:pStyle w:val="TableContents"/>
              <w:bidi w:val="0"/>
              <w:spacing w:before="0" w:after="283"/>
              <w:jc w:val="left"/>
              <w:rPr/>
            </w:pPr>
            <w:r>
              <w:rPr/>
              <w:t> </w:t>
            </w:r>
          </w:p>
        </w:tc>
      </w:tr>
      <w:tr>
        <w:trPr/>
        <w:tc>
          <w:tcPr>
            <w:tcW w:w="6775" w:type="dxa"/>
            <w:tcBorders/>
            <w:vAlign w:val="center"/>
          </w:tcPr>
          <w:p>
            <w:pPr>
              <w:pStyle w:val="TableContents"/>
              <w:bidi w:val="0"/>
              <w:spacing w:before="0" w:after="0"/>
              <w:jc w:val="left"/>
              <w:rPr/>
            </w:pPr>
            <w:r>
              <w:rPr/>
              <w:t xml:space="preserve">Total current assets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528,203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466,512</w:t>
            </w:r>
          </w:p>
        </w:tc>
        <w:tc>
          <w:tcPr>
            <w:tcW w:w="232" w:type="dxa"/>
            <w:tcBorders/>
            <w:vAlign w:val="center"/>
          </w:tcPr>
          <w:p>
            <w:pPr>
              <w:pStyle w:val="TableContents"/>
              <w:bidi w:val="0"/>
              <w:spacing w:before="0" w:after="283"/>
              <w:jc w:val="left"/>
              <w:rPr/>
            </w:pPr>
            <w:r>
              <w:rPr/>
              <w:t> </w:t>
            </w:r>
          </w:p>
        </w:tc>
      </w:tr>
      <w:tr>
        <w:trPr/>
        <w:tc>
          <w:tcPr>
            <w:tcW w:w="6775" w:type="dxa"/>
            <w:tcBorders/>
            <w:shd w:fill="CCEEFF" w:val="clear"/>
            <w:vAlign w:val="center"/>
          </w:tcPr>
          <w:p>
            <w:pPr>
              <w:pStyle w:val="TableContents"/>
              <w:bidi w:val="0"/>
              <w:spacing w:before="0" w:after="0"/>
              <w:ind w:left="0" w:right="0" w:hanging="144"/>
              <w:jc w:val="left"/>
              <w:rPr/>
            </w:pPr>
            <w:r>
              <w:rPr/>
              <w:t xml:space="preserve">Property and equipment, net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66,664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65,057</w:t>
            </w:r>
          </w:p>
        </w:tc>
        <w:tc>
          <w:tcPr>
            <w:tcW w:w="232" w:type="dxa"/>
            <w:tcBorders/>
            <w:shd w:fill="CCEEFF" w:val="clear"/>
            <w:vAlign w:val="center"/>
          </w:tcPr>
          <w:p>
            <w:pPr>
              <w:pStyle w:val="TableContents"/>
              <w:bidi w:val="0"/>
              <w:spacing w:before="0" w:after="283"/>
              <w:jc w:val="left"/>
              <w:rPr/>
            </w:pPr>
            <w:r>
              <w:rPr/>
              <w:t> </w:t>
            </w:r>
          </w:p>
        </w:tc>
      </w:tr>
      <w:tr>
        <w:trPr/>
        <w:tc>
          <w:tcPr>
            <w:tcW w:w="6775" w:type="dxa"/>
            <w:tcBorders/>
            <w:vAlign w:val="center"/>
          </w:tcPr>
          <w:p>
            <w:pPr>
              <w:pStyle w:val="TableContents"/>
              <w:bidi w:val="0"/>
              <w:spacing w:before="0" w:after="0"/>
              <w:ind w:left="0" w:right="0" w:hanging="144"/>
              <w:jc w:val="left"/>
              <w:rPr/>
            </w:pPr>
            <w:r>
              <w:rPr/>
              <w:t xml:space="preserve">Intangible assets, net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575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632</w:t>
            </w:r>
          </w:p>
        </w:tc>
        <w:tc>
          <w:tcPr>
            <w:tcW w:w="232" w:type="dxa"/>
            <w:tcBorders/>
            <w:vAlign w:val="center"/>
          </w:tcPr>
          <w:p>
            <w:pPr>
              <w:pStyle w:val="TableContents"/>
              <w:bidi w:val="0"/>
              <w:spacing w:before="0" w:after="283"/>
              <w:jc w:val="left"/>
              <w:rPr/>
            </w:pPr>
            <w:r>
              <w:rPr/>
              <w:t> </w:t>
            </w:r>
          </w:p>
        </w:tc>
      </w:tr>
      <w:tr>
        <w:trPr/>
        <w:tc>
          <w:tcPr>
            <w:tcW w:w="6775" w:type="dxa"/>
            <w:tcBorders/>
            <w:shd w:fill="CCEEFF" w:val="clear"/>
            <w:vAlign w:val="center"/>
          </w:tcPr>
          <w:p>
            <w:pPr>
              <w:pStyle w:val="TableContents"/>
              <w:bidi w:val="0"/>
              <w:spacing w:before="0" w:after="0"/>
              <w:ind w:left="0" w:right="0" w:hanging="144"/>
              <w:jc w:val="left"/>
              <w:rPr/>
            </w:pPr>
            <w:r>
              <w:rPr/>
              <w:t xml:space="preserve">Goodwill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3,530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3,530</w:t>
            </w:r>
          </w:p>
        </w:tc>
        <w:tc>
          <w:tcPr>
            <w:tcW w:w="232" w:type="dxa"/>
            <w:tcBorders/>
            <w:shd w:fill="CCEEFF" w:val="clear"/>
            <w:vAlign w:val="center"/>
          </w:tcPr>
          <w:p>
            <w:pPr>
              <w:pStyle w:val="TableContents"/>
              <w:bidi w:val="0"/>
              <w:spacing w:before="0" w:after="283"/>
              <w:jc w:val="left"/>
              <w:rPr/>
            </w:pPr>
            <w:r>
              <w:rPr/>
              <w:t> </w:t>
            </w:r>
          </w:p>
        </w:tc>
      </w:tr>
      <w:tr>
        <w:trPr/>
        <w:tc>
          <w:tcPr>
            <w:tcW w:w="6775" w:type="dxa"/>
            <w:tcBorders/>
            <w:vAlign w:val="center"/>
          </w:tcPr>
          <w:p>
            <w:pPr>
              <w:pStyle w:val="TableContents"/>
              <w:bidi w:val="0"/>
              <w:spacing w:before="0" w:after="0"/>
              <w:ind w:left="0" w:right="0" w:hanging="144"/>
              <w:jc w:val="left"/>
              <w:rPr/>
            </w:pPr>
            <w:r>
              <w:rPr/>
              <w:t xml:space="preserve">Deferred tax assets, net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69,965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73,261</w:t>
            </w:r>
          </w:p>
        </w:tc>
        <w:tc>
          <w:tcPr>
            <w:tcW w:w="232" w:type="dxa"/>
            <w:tcBorders/>
            <w:vAlign w:val="center"/>
          </w:tcPr>
          <w:p>
            <w:pPr>
              <w:pStyle w:val="TableContents"/>
              <w:bidi w:val="0"/>
              <w:spacing w:before="0" w:after="283"/>
              <w:jc w:val="left"/>
              <w:rPr/>
            </w:pPr>
            <w:r>
              <w:rPr/>
              <w:t> </w:t>
            </w:r>
          </w:p>
        </w:tc>
      </w:tr>
      <w:tr>
        <w:trPr/>
        <w:tc>
          <w:tcPr>
            <w:tcW w:w="6775" w:type="dxa"/>
            <w:tcBorders/>
            <w:shd w:fill="CCEEFF" w:val="clear"/>
            <w:vAlign w:val="center"/>
          </w:tcPr>
          <w:p>
            <w:pPr>
              <w:pStyle w:val="TableContents"/>
              <w:bidi w:val="0"/>
              <w:spacing w:before="0" w:after="0"/>
              <w:ind w:left="0" w:right="0" w:hanging="144"/>
              <w:jc w:val="left"/>
              <w:rPr/>
            </w:pPr>
            <w:r>
              <w:rPr/>
              <w:t xml:space="preserve">Right-of-use assets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6,146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6,650</w:t>
            </w:r>
          </w:p>
        </w:tc>
        <w:tc>
          <w:tcPr>
            <w:tcW w:w="232" w:type="dxa"/>
            <w:tcBorders/>
            <w:shd w:fill="CCEEFF" w:val="clear"/>
            <w:vAlign w:val="center"/>
          </w:tcPr>
          <w:p>
            <w:pPr>
              <w:pStyle w:val="TableContents"/>
              <w:bidi w:val="0"/>
              <w:spacing w:before="0" w:after="283"/>
              <w:jc w:val="left"/>
              <w:rPr/>
            </w:pPr>
            <w:r>
              <w:rPr/>
              <w:t> </w:t>
            </w:r>
          </w:p>
        </w:tc>
      </w:tr>
      <w:tr>
        <w:trPr/>
        <w:tc>
          <w:tcPr>
            <w:tcW w:w="6775" w:type="dxa"/>
            <w:tcBorders/>
            <w:vAlign w:val="center"/>
          </w:tcPr>
          <w:p>
            <w:pPr>
              <w:pStyle w:val="TableContents"/>
              <w:bidi w:val="0"/>
              <w:spacing w:before="0" w:after="0"/>
              <w:ind w:left="0" w:right="0" w:hanging="144"/>
              <w:jc w:val="left"/>
              <w:rPr/>
            </w:pPr>
            <w:r>
              <w:rPr/>
              <w:t xml:space="preserve">Deposits and other assets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86" w:type="dxa"/>
            <w:tcBorders>
              <w:bottom w:val="single" w:sz="6" w:space="0" w:color="000000"/>
            </w:tcBorders>
            <w:tcMar>
              <w:bottom w:w="28" w:type="dxa"/>
            </w:tcMar>
            <w:vAlign w:val="center"/>
          </w:tcPr>
          <w:p>
            <w:pPr>
              <w:pStyle w:val="TableContents"/>
              <w:bidi w:val="0"/>
              <w:spacing w:before="0" w:after="283"/>
              <w:jc w:val="right"/>
              <w:rPr/>
            </w:pPr>
            <w:r>
              <w:rPr/>
              <w:t>9,127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07" w:type="dxa"/>
            <w:tcBorders>
              <w:bottom w:val="single" w:sz="6" w:space="0" w:color="000000"/>
            </w:tcBorders>
            <w:tcMar>
              <w:bottom w:w="28" w:type="dxa"/>
            </w:tcMar>
            <w:vAlign w:val="center"/>
          </w:tcPr>
          <w:p>
            <w:pPr>
              <w:pStyle w:val="TableContents"/>
              <w:bidi w:val="0"/>
              <w:spacing w:before="0" w:after="283"/>
              <w:jc w:val="right"/>
              <w:rPr/>
            </w:pPr>
            <w:r>
              <w:rPr/>
              <w:t>8,600</w:t>
            </w:r>
          </w:p>
        </w:tc>
        <w:tc>
          <w:tcPr>
            <w:tcW w:w="232" w:type="dxa"/>
            <w:tcBorders/>
            <w:vAlign w:val="center"/>
          </w:tcPr>
          <w:p>
            <w:pPr>
              <w:pStyle w:val="TableContents"/>
              <w:bidi w:val="0"/>
              <w:spacing w:before="0" w:after="283"/>
              <w:jc w:val="left"/>
              <w:rPr/>
            </w:pPr>
            <w:r>
              <w:rPr/>
              <w:t> </w:t>
            </w:r>
          </w:p>
        </w:tc>
      </w:tr>
      <w:tr>
        <w:trPr/>
        <w:tc>
          <w:tcPr>
            <w:tcW w:w="6775" w:type="dxa"/>
            <w:tcBorders/>
            <w:shd w:fill="CCEEFF" w:val="clear"/>
            <w:vAlign w:val="center"/>
          </w:tcPr>
          <w:p>
            <w:pPr>
              <w:pStyle w:val="TableContents"/>
              <w:bidi w:val="0"/>
              <w:spacing w:before="0" w:after="0"/>
              <w:ind w:left="0" w:right="0" w:hanging="144"/>
              <w:jc w:val="left"/>
              <w:rPr/>
            </w:pPr>
            <w:r>
              <w:rPr>
                <w:b/>
              </w:rPr>
              <w:t>TOTAL ASSETS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186" w:type="dxa"/>
            <w:tcBorders>
              <w:bottom w:val="double" w:sz="8" w:space="0" w:color="000000"/>
            </w:tcBorders>
            <w:shd w:fill="CCEEFF" w:val="clear"/>
            <w:tcMar>
              <w:bottom w:w="28" w:type="dxa"/>
            </w:tcMar>
            <w:vAlign w:val="center"/>
          </w:tcPr>
          <w:p>
            <w:pPr>
              <w:pStyle w:val="TableContents"/>
              <w:bidi w:val="0"/>
              <w:spacing w:before="0" w:after="283"/>
              <w:jc w:val="right"/>
              <w:rPr/>
            </w:pPr>
            <w:r>
              <w:rPr/>
              <w:t>684,210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307" w:type="dxa"/>
            <w:tcBorders>
              <w:bottom w:val="double" w:sz="8" w:space="0" w:color="000000"/>
            </w:tcBorders>
            <w:shd w:fill="CCEEFF" w:val="clear"/>
            <w:tcMar>
              <w:bottom w:w="28" w:type="dxa"/>
            </w:tcMar>
            <w:vAlign w:val="center"/>
          </w:tcPr>
          <w:p>
            <w:pPr>
              <w:pStyle w:val="TableContents"/>
              <w:bidi w:val="0"/>
              <w:spacing w:before="0" w:after="283"/>
              <w:jc w:val="right"/>
              <w:rPr/>
            </w:pPr>
            <w:r>
              <w:rPr/>
              <w:t>624,242</w:t>
            </w:r>
          </w:p>
        </w:tc>
        <w:tc>
          <w:tcPr>
            <w:tcW w:w="232" w:type="dxa"/>
            <w:tcBorders/>
            <w:shd w:fill="CCEEFF" w:val="clear"/>
            <w:vAlign w:val="center"/>
          </w:tcPr>
          <w:p>
            <w:pPr>
              <w:pStyle w:val="TableContents"/>
              <w:bidi w:val="0"/>
              <w:spacing w:before="0" w:after="283"/>
              <w:jc w:val="left"/>
              <w:rPr/>
            </w:pPr>
            <w:r>
              <w:rPr/>
              <w:t> </w:t>
            </w:r>
          </w:p>
        </w:tc>
      </w:tr>
      <w:tr>
        <w:trPr/>
        <w:tc>
          <w:tcPr>
            <w:tcW w:w="67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307"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6775" w:type="dxa"/>
            <w:tcBorders/>
            <w:shd w:fill="CCEEFF" w:val="clear"/>
            <w:vAlign w:val="center"/>
          </w:tcPr>
          <w:p>
            <w:pPr>
              <w:pStyle w:val="TableContents"/>
              <w:bidi w:val="0"/>
              <w:spacing w:before="0" w:after="0"/>
              <w:ind w:left="0" w:right="0" w:hanging="144"/>
              <w:jc w:val="left"/>
              <w:rPr/>
            </w:pPr>
            <w:r>
              <w:rPr>
                <w:b/>
              </w:rPr>
              <w:t>LIABILITIES AND STOCKHOLDERS' EQUITY</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8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307"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right"/>
              <w:rPr/>
            </w:pPr>
            <w:r>
              <w:rPr/>
              <w:t> </w:t>
            </w:r>
          </w:p>
        </w:tc>
      </w:tr>
      <w:tr>
        <w:trPr/>
        <w:tc>
          <w:tcPr>
            <w:tcW w:w="6775" w:type="dxa"/>
            <w:tcBorders/>
            <w:vAlign w:val="center"/>
          </w:tcPr>
          <w:p>
            <w:pPr>
              <w:pStyle w:val="TableContents"/>
              <w:bidi w:val="0"/>
              <w:spacing w:before="0" w:after="0"/>
              <w:ind w:left="0" w:right="0" w:hanging="144"/>
              <w:jc w:val="left"/>
              <w:rPr/>
            </w:pPr>
            <w:r>
              <w:rPr/>
              <w:t xml:space="preserve">Current liabilities: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307"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6775" w:type="dxa"/>
            <w:tcBorders/>
            <w:shd w:fill="CCEEFF" w:val="clear"/>
            <w:vAlign w:val="center"/>
          </w:tcPr>
          <w:p>
            <w:pPr>
              <w:pStyle w:val="TableContents"/>
              <w:bidi w:val="0"/>
              <w:spacing w:before="0" w:after="0"/>
              <w:jc w:val="left"/>
              <w:rPr/>
            </w:pPr>
            <w:r>
              <w:rPr/>
              <w:t xml:space="preserve">Accounts payable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283"/>
              <w:jc w:val="right"/>
              <w:rPr/>
            </w:pPr>
            <w:r>
              <w:rPr/>
              <w:t>31,724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22,519</w:t>
            </w:r>
          </w:p>
        </w:tc>
        <w:tc>
          <w:tcPr>
            <w:tcW w:w="232" w:type="dxa"/>
            <w:tcBorders/>
            <w:shd w:fill="CCEEFF" w:val="clear"/>
            <w:vAlign w:val="center"/>
          </w:tcPr>
          <w:p>
            <w:pPr>
              <w:pStyle w:val="TableContents"/>
              <w:bidi w:val="0"/>
              <w:spacing w:before="0" w:after="283"/>
              <w:jc w:val="left"/>
              <w:rPr/>
            </w:pPr>
            <w:r>
              <w:rPr/>
              <w:t> </w:t>
            </w:r>
          </w:p>
        </w:tc>
      </w:tr>
      <w:tr>
        <w:trPr/>
        <w:tc>
          <w:tcPr>
            <w:tcW w:w="6775" w:type="dxa"/>
            <w:tcBorders/>
            <w:vAlign w:val="center"/>
          </w:tcPr>
          <w:p>
            <w:pPr>
              <w:pStyle w:val="TableContents"/>
              <w:bidi w:val="0"/>
              <w:spacing w:before="0" w:after="0"/>
              <w:jc w:val="left"/>
              <w:rPr/>
            </w:pPr>
            <w:r>
              <w:rPr/>
              <w:t xml:space="preserve">Accrued expenses and other current liabilities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39,105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40,466</w:t>
            </w:r>
          </w:p>
        </w:tc>
        <w:tc>
          <w:tcPr>
            <w:tcW w:w="232" w:type="dxa"/>
            <w:tcBorders/>
            <w:vAlign w:val="center"/>
          </w:tcPr>
          <w:p>
            <w:pPr>
              <w:pStyle w:val="TableContents"/>
              <w:bidi w:val="0"/>
              <w:spacing w:before="0" w:after="283"/>
              <w:jc w:val="left"/>
              <w:rPr/>
            </w:pPr>
            <w:r>
              <w:rPr/>
              <w:t> </w:t>
            </w:r>
          </w:p>
        </w:tc>
      </w:tr>
      <w:tr>
        <w:trPr/>
        <w:tc>
          <w:tcPr>
            <w:tcW w:w="6775" w:type="dxa"/>
            <w:tcBorders/>
            <w:shd w:fill="CCEEFF" w:val="clear"/>
            <w:vAlign w:val="center"/>
          </w:tcPr>
          <w:p>
            <w:pPr>
              <w:pStyle w:val="TableContents"/>
              <w:bidi w:val="0"/>
              <w:spacing w:before="0" w:after="0"/>
              <w:jc w:val="left"/>
              <w:rPr/>
            </w:pPr>
            <w:r>
              <w:rPr/>
              <w:t xml:space="preserve">Current portion of long-term debt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3,750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2,813</w:t>
            </w:r>
          </w:p>
        </w:tc>
        <w:tc>
          <w:tcPr>
            <w:tcW w:w="232" w:type="dxa"/>
            <w:tcBorders/>
            <w:shd w:fill="CCEEFF" w:val="clear"/>
            <w:vAlign w:val="center"/>
          </w:tcPr>
          <w:p>
            <w:pPr>
              <w:pStyle w:val="TableContents"/>
              <w:bidi w:val="0"/>
              <w:spacing w:before="0" w:after="283"/>
              <w:jc w:val="left"/>
              <w:rPr/>
            </w:pPr>
            <w:r>
              <w:rPr/>
              <w:t> </w:t>
            </w:r>
          </w:p>
        </w:tc>
      </w:tr>
      <w:tr>
        <w:trPr/>
        <w:tc>
          <w:tcPr>
            <w:tcW w:w="6775" w:type="dxa"/>
            <w:tcBorders/>
            <w:vAlign w:val="center"/>
          </w:tcPr>
          <w:p>
            <w:pPr>
              <w:pStyle w:val="TableContents"/>
              <w:bidi w:val="0"/>
              <w:spacing w:before="0" w:after="0"/>
              <w:jc w:val="left"/>
              <w:rPr/>
            </w:pPr>
            <w:r>
              <w:rPr/>
              <w:t xml:space="preserve">Current portion of lease obligations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1,178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1,096</w:t>
            </w:r>
          </w:p>
        </w:tc>
        <w:tc>
          <w:tcPr>
            <w:tcW w:w="232" w:type="dxa"/>
            <w:tcBorders/>
            <w:vAlign w:val="center"/>
          </w:tcPr>
          <w:p>
            <w:pPr>
              <w:pStyle w:val="TableContents"/>
              <w:bidi w:val="0"/>
              <w:spacing w:before="0" w:after="283"/>
              <w:jc w:val="left"/>
              <w:rPr/>
            </w:pPr>
            <w:r>
              <w:rPr/>
              <w:t> </w:t>
            </w:r>
          </w:p>
        </w:tc>
      </w:tr>
      <w:tr>
        <w:trPr/>
        <w:tc>
          <w:tcPr>
            <w:tcW w:w="6775" w:type="dxa"/>
            <w:tcBorders/>
            <w:shd w:fill="CCEEFF" w:val="clear"/>
            <w:vAlign w:val="center"/>
          </w:tcPr>
          <w:p>
            <w:pPr>
              <w:pStyle w:val="TableContents"/>
              <w:bidi w:val="0"/>
              <w:spacing w:before="0" w:after="0"/>
              <w:jc w:val="left"/>
              <w:rPr/>
            </w:pPr>
            <w:r>
              <w:rPr/>
              <w:t xml:space="preserve">Liabilities held for sale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6" w:space="0" w:color="000000"/>
            </w:tcBorders>
            <w:shd w:fill="CCEEFF" w:val="clear"/>
            <w:tcMar>
              <w:bottom w:w="28" w:type="dxa"/>
            </w:tcMar>
            <w:vAlign w:val="center"/>
          </w:tcPr>
          <w:p>
            <w:pPr>
              <w:pStyle w:val="TableContents"/>
              <w:bidi w:val="0"/>
              <w:spacing w:before="0" w:after="283"/>
              <w:jc w:val="right"/>
              <w:rPr/>
            </w:pPr>
            <w:r>
              <w:rPr/>
              <w:t>2,647</w:t>
            </w:r>
          </w:p>
        </w:tc>
        <w:tc>
          <w:tcPr>
            <w:tcW w:w="232" w:type="dxa"/>
            <w:tcBorders/>
            <w:shd w:fill="CCEEFF" w:val="clear"/>
            <w:vAlign w:val="center"/>
          </w:tcPr>
          <w:p>
            <w:pPr>
              <w:pStyle w:val="TableContents"/>
              <w:bidi w:val="0"/>
              <w:spacing w:before="0" w:after="283"/>
              <w:jc w:val="left"/>
              <w:rPr/>
            </w:pPr>
            <w:r>
              <w:rPr/>
              <w:t> </w:t>
            </w:r>
          </w:p>
        </w:tc>
      </w:tr>
      <w:tr>
        <w:trPr/>
        <w:tc>
          <w:tcPr>
            <w:tcW w:w="6775" w:type="dxa"/>
            <w:tcBorders/>
            <w:vAlign w:val="center"/>
          </w:tcPr>
          <w:p>
            <w:pPr>
              <w:pStyle w:val="TableContents"/>
              <w:bidi w:val="0"/>
              <w:spacing w:before="0" w:after="0"/>
              <w:jc w:val="left"/>
              <w:rPr/>
            </w:pPr>
            <w:r>
              <w:rPr/>
              <w:t xml:space="preserve">Total current liabilities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75,757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69,541</w:t>
            </w:r>
          </w:p>
        </w:tc>
        <w:tc>
          <w:tcPr>
            <w:tcW w:w="232" w:type="dxa"/>
            <w:tcBorders/>
            <w:vAlign w:val="center"/>
          </w:tcPr>
          <w:p>
            <w:pPr>
              <w:pStyle w:val="TableContents"/>
              <w:bidi w:val="0"/>
              <w:spacing w:before="0" w:after="283"/>
              <w:jc w:val="left"/>
              <w:rPr/>
            </w:pPr>
            <w:r>
              <w:rPr/>
              <w:t> </w:t>
            </w:r>
          </w:p>
        </w:tc>
      </w:tr>
      <w:tr>
        <w:trPr/>
        <w:tc>
          <w:tcPr>
            <w:tcW w:w="6775" w:type="dxa"/>
            <w:tcBorders/>
            <w:shd w:fill="CCEEFF" w:val="clear"/>
            <w:vAlign w:val="center"/>
          </w:tcPr>
          <w:p>
            <w:pPr>
              <w:pStyle w:val="TableContents"/>
              <w:bidi w:val="0"/>
              <w:spacing w:before="0" w:after="0"/>
              <w:ind w:left="0" w:right="0" w:hanging="144"/>
              <w:jc w:val="left"/>
              <w:rPr/>
            </w:pPr>
            <w:r>
              <w:rPr/>
              <w:t xml:space="preserve">Long-term debt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192,839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69,330</w:t>
            </w:r>
          </w:p>
        </w:tc>
        <w:tc>
          <w:tcPr>
            <w:tcW w:w="232" w:type="dxa"/>
            <w:tcBorders/>
            <w:shd w:fill="CCEEFF" w:val="clear"/>
            <w:vAlign w:val="center"/>
          </w:tcPr>
          <w:p>
            <w:pPr>
              <w:pStyle w:val="TableContents"/>
              <w:bidi w:val="0"/>
              <w:spacing w:before="0" w:after="283"/>
              <w:jc w:val="left"/>
              <w:rPr/>
            </w:pPr>
            <w:r>
              <w:rPr/>
              <w:t> </w:t>
            </w:r>
          </w:p>
        </w:tc>
      </w:tr>
      <w:tr>
        <w:trPr/>
        <w:tc>
          <w:tcPr>
            <w:tcW w:w="6775" w:type="dxa"/>
            <w:tcBorders/>
            <w:vAlign w:val="center"/>
          </w:tcPr>
          <w:p>
            <w:pPr>
              <w:pStyle w:val="TableContents"/>
              <w:bidi w:val="0"/>
              <w:spacing w:before="0" w:after="0"/>
              <w:ind w:left="0" w:right="0" w:hanging="144"/>
              <w:jc w:val="left"/>
              <w:rPr/>
            </w:pPr>
            <w:r>
              <w:rPr/>
              <w:t xml:space="preserve">Deferred revenue, net of current portion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1,334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1,405</w:t>
            </w:r>
          </w:p>
        </w:tc>
        <w:tc>
          <w:tcPr>
            <w:tcW w:w="232" w:type="dxa"/>
            <w:tcBorders/>
            <w:vAlign w:val="center"/>
          </w:tcPr>
          <w:p>
            <w:pPr>
              <w:pStyle w:val="TableContents"/>
              <w:bidi w:val="0"/>
              <w:spacing w:before="0" w:after="283"/>
              <w:jc w:val="left"/>
              <w:rPr/>
            </w:pPr>
            <w:r>
              <w:rPr/>
              <w:t> </w:t>
            </w:r>
          </w:p>
        </w:tc>
      </w:tr>
      <w:tr>
        <w:trPr/>
        <w:tc>
          <w:tcPr>
            <w:tcW w:w="6775" w:type="dxa"/>
            <w:tcBorders/>
            <w:shd w:fill="CCEEFF" w:val="clear"/>
            <w:vAlign w:val="center"/>
          </w:tcPr>
          <w:p>
            <w:pPr>
              <w:pStyle w:val="TableContents"/>
              <w:bidi w:val="0"/>
              <w:spacing w:before="0" w:after="0"/>
              <w:ind w:left="0" w:right="0" w:hanging="144"/>
              <w:jc w:val="left"/>
              <w:rPr/>
            </w:pPr>
            <w:r>
              <w:rPr/>
              <w:t xml:space="preserve">Lease obligations, net of current portion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6" w:space="0" w:color="000000"/>
            </w:tcBorders>
            <w:shd w:fill="CCEEFF" w:val="clear"/>
            <w:tcMar>
              <w:bottom w:w="28" w:type="dxa"/>
            </w:tcMar>
            <w:vAlign w:val="center"/>
          </w:tcPr>
          <w:p>
            <w:pPr>
              <w:pStyle w:val="TableContents"/>
              <w:bidi w:val="0"/>
              <w:spacing w:before="0" w:after="283"/>
              <w:jc w:val="right"/>
              <w:rPr/>
            </w:pPr>
            <w:r>
              <w:rPr/>
              <w:t>6,072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6" w:space="0" w:color="000000"/>
            </w:tcBorders>
            <w:shd w:fill="CCEEFF" w:val="clear"/>
            <w:tcMar>
              <w:bottom w:w="28" w:type="dxa"/>
            </w:tcMar>
            <w:vAlign w:val="center"/>
          </w:tcPr>
          <w:p>
            <w:pPr>
              <w:pStyle w:val="TableContents"/>
              <w:bidi w:val="0"/>
              <w:spacing w:before="0" w:after="283"/>
              <w:jc w:val="right"/>
              <w:rPr/>
            </w:pPr>
            <w:r>
              <w:rPr/>
              <w:t>6,646</w:t>
            </w:r>
          </w:p>
        </w:tc>
        <w:tc>
          <w:tcPr>
            <w:tcW w:w="232" w:type="dxa"/>
            <w:tcBorders/>
            <w:shd w:fill="CCEEFF" w:val="clear"/>
            <w:vAlign w:val="center"/>
          </w:tcPr>
          <w:p>
            <w:pPr>
              <w:pStyle w:val="TableContents"/>
              <w:bidi w:val="0"/>
              <w:spacing w:before="0" w:after="283"/>
              <w:jc w:val="left"/>
              <w:rPr/>
            </w:pPr>
            <w:r>
              <w:rPr/>
              <w:t> </w:t>
            </w:r>
          </w:p>
        </w:tc>
      </w:tr>
      <w:tr>
        <w:trPr/>
        <w:tc>
          <w:tcPr>
            <w:tcW w:w="6775" w:type="dxa"/>
            <w:tcBorders/>
            <w:vAlign w:val="center"/>
          </w:tcPr>
          <w:p>
            <w:pPr>
              <w:pStyle w:val="TableContents"/>
              <w:bidi w:val="0"/>
              <w:spacing w:before="0" w:after="283"/>
              <w:jc w:val="left"/>
              <w:rPr>
                <w:b/>
              </w:rPr>
            </w:pPr>
            <w:r>
              <w:rPr>
                <w:b/>
              </w:rPr>
              <w:t>TOTAL LIABILITIES</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86" w:type="dxa"/>
            <w:tcBorders>
              <w:bottom w:val="single" w:sz="6" w:space="0" w:color="000000"/>
            </w:tcBorders>
            <w:tcMar>
              <w:bottom w:w="28" w:type="dxa"/>
            </w:tcMar>
            <w:vAlign w:val="center"/>
          </w:tcPr>
          <w:p>
            <w:pPr>
              <w:pStyle w:val="TableContents"/>
              <w:bidi w:val="0"/>
              <w:spacing w:before="0" w:after="283"/>
              <w:jc w:val="right"/>
              <w:rPr/>
            </w:pPr>
            <w:r>
              <w:rPr/>
              <w:t>276,002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07" w:type="dxa"/>
            <w:tcBorders>
              <w:bottom w:val="single" w:sz="6" w:space="0" w:color="000000"/>
            </w:tcBorders>
            <w:tcMar>
              <w:bottom w:w="28" w:type="dxa"/>
            </w:tcMar>
            <w:vAlign w:val="center"/>
          </w:tcPr>
          <w:p>
            <w:pPr>
              <w:pStyle w:val="TableContents"/>
              <w:bidi w:val="0"/>
              <w:spacing w:before="0" w:after="283"/>
              <w:jc w:val="right"/>
              <w:rPr/>
            </w:pPr>
            <w:r>
              <w:rPr/>
              <w:t>146,922</w:t>
            </w:r>
          </w:p>
        </w:tc>
        <w:tc>
          <w:tcPr>
            <w:tcW w:w="232" w:type="dxa"/>
            <w:tcBorders/>
            <w:vAlign w:val="center"/>
          </w:tcPr>
          <w:p>
            <w:pPr>
              <w:pStyle w:val="TableContents"/>
              <w:bidi w:val="0"/>
              <w:spacing w:before="0" w:after="283"/>
              <w:jc w:val="left"/>
              <w:rPr/>
            </w:pPr>
            <w:r>
              <w:rPr/>
              <w:t> </w:t>
            </w:r>
          </w:p>
        </w:tc>
      </w:tr>
      <w:tr>
        <w:trPr/>
        <w:tc>
          <w:tcPr>
            <w:tcW w:w="67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8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307"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right"/>
              <w:rPr/>
            </w:pPr>
            <w:r>
              <w:rPr/>
              <w:t> </w:t>
            </w:r>
          </w:p>
        </w:tc>
      </w:tr>
      <w:tr>
        <w:trPr/>
        <w:tc>
          <w:tcPr>
            <w:tcW w:w="6775" w:type="dxa"/>
            <w:tcBorders/>
            <w:vAlign w:val="center"/>
          </w:tcPr>
          <w:p>
            <w:pPr>
              <w:pStyle w:val="TableContents"/>
              <w:bidi w:val="0"/>
              <w:spacing w:before="0" w:after="0"/>
              <w:ind w:left="0" w:right="0" w:hanging="144"/>
              <w:jc w:val="left"/>
              <w:rPr/>
            </w:pPr>
            <w:r>
              <w:rPr>
                <w:b/>
              </w:rPr>
              <w:t>COMMITMENTS AND CONTINGENCIES</w:t>
            </w:r>
            <w:r>
              <w:rPr/>
              <w:t xml:space="preserv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0"/>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307" w:type="dxa"/>
            <w:tcBorders/>
            <w:vAlign w:val="center"/>
          </w:tcPr>
          <w:p>
            <w:pPr>
              <w:pStyle w:val="TableContents"/>
              <w:bidi w:val="0"/>
              <w:spacing w:before="0" w:after="0"/>
              <w:jc w:val="right"/>
              <w:rPr/>
            </w:pPr>
            <w:r>
              <w:rPr/>
              <w:t> </w:t>
            </w:r>
          </w:p>
        </w:tc>
        <w:tc>
          <w:tcPr>
            <w:tcW w:w="232" w:type="dxa"/>
            <w:tcBorders/>
            <w:vAlign w:val="center"/>
          </w:tcPr>
          <w:p>
            <w:pPr>
              <w:pStyle w:val="TableContents"/>
              <w:bidi w:val="0"/>
              <w:spacing w:before="0" w:after="283"/>
              <w:jc w:val="right"/>
              <w:rPr/>
            </w:pPr>
            <w:r>
              <w:rPr/>
              <w:t> </w:t>
            </w:r>
          </w:p>
        </w:tc>
      </w:tr>
      <w:tr>
        <w:trPr/>
        <w:tc>
          <w:tcPr>
            <w:tcW w:w="67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8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307"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right"/>
              <w:rPr/>
            </w:pPr>
            <w:r>
              <w:rPr/>
              <w:t> </w:t>
            </w:r>
          </w:p>
        </w:tc>
      </w:tr>
      <w:tr>
        <w:trPr/>
        <w:tc>
          <w:tcPr>
            <w:tcW w:w="6775" w:type="dxa"/>
            <w:tcBorders/>
            <w:vAlign w:val="center"/>
          </w:tcPr>
          <w:p>
            <w:pPr>
              <w:pStyle w:val="TableContents"/>
              <w:bidi w:val="0"/>
              <w:spacing w:before="0" w:after="0"/>
              <w:ind w:left="0" w:right="0" w:hanging="144"/>
              <w:jc w:val="left"/>
              <w:rPr/>
            </w:pPr>
            <w:r>
              <w:rPr>
                <w:b/>
              </w:rPr>
              <w:t>STOCKHOLDERS' EQUITY</w:t>
            </w:r>
            <w:r>
              <w:rPr/>
              <w:t xml:space="preserv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307"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6775" w:type="dxa"/>
            <w:tcBorders/>
            <w:shd w:fill="CCEEFF" w:val="clear"/>
            <w:vAlign w:val="center"/>
          </w:tcPr>
          <w:p>
            <w:pPr>
              <w:pStyle w:val="TableContents"/>
              <w:bidi w:val="0"/>
              <w:spacing w:before="0" w:after="0"/>
              <w:ind w:left="0" w:right="0" w:hanging="144"/>
              <w:jc w:val="left"/>
              <w:rPr/>
            </w:pPr>
            <w:r>
              <w:rPr/>
              <w:t xml:space="preserve">Preferred Stock, $0.0001 par value, 10,000,000 shares authorized, no shares issued and outstanding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xml:space="preserve">- </w:t>
            </w:r>
          </w:p>
        </w:tc>
        <w:tc>
          <w:tcPr>
            <w:tcW w:w="232" w:type="dxa"/>
            <w:tcBorders/>
            <w:shd w:fill="CCEEFF" w:val="clear"/>
            <w:vAlign w:val="center"/>
          </w:tcPr>
          <w:p>
            <w:pPr>
              <w:pStyle w:val="TableContents"/>
              <w:bidi w:val="0"/>
              <w:spacing w:before="0" w:after="283"/>
              <w:jc w:val="left"/>
              <w:rPr/>
            </w:pPr>
            <w:r>
              <w:rPr/>
              <w:t> </w:t>
            </w:r>
          </w:p>
        </w:tc>
      </w:tr>
      <w:tr>
        <w:trPr/>
        <w:tc>
          <w:tcPr>
            <w:tcW w:w="6775" w:type="dxa"/>
            <w:tcBorders/>
            <w:vAlign w:val="center"/>
          </w:tcPr>
          <w:p>
            <w:pPr>
              <w:pStyle w:val="TableContents"/>
              <w:bidi w:val="0"/>
              <w:spacing w:before="0" w:after="0"/>
              <w:ind w:left="0" w:right="0" w:hanging="144"/>
              <w:jc w:val="left"/>
              <w:rPr/>
            </w:pPr>
            <w:r>
              <w:rPr/>
              <w:t>Common Stock - voting, $0.0001 par value, 300,000,000 shares authorized,</w:t>
              <w:br/>
              <w:t>June 30, 2026: 241,089,992 issued and 225,355,228 outstanding;</w:t>
              <w:br/>
              <w:t xml:space="preserve">December 31, 2025: 239,793,566 issued and 237,874,496 outstanding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24</w:t>
            </w:r>
          </w:p>
        </w:tc>
        <w:tc>
          <w:tcPr>
            <w:tcW w:w="232" w:type="dxa"/>
            <w:tcBorders/>
            <w:vAlign w:val="center"/>
          </w:tcPr>
          <w:p>
            <w:pPr>
              <w:pStyle w:val="TableContents"/>
              <w:bidi w:val="0"/>
              <w:spacing w:before="0" w:after="283"/>
              <w:ind w:left="0" w:right="0" w:hanging="150"/>
              <w:jc w:val="left"/>
              <w:rPr/>
            </w:pPr>
            <w:r>
              <w:rPr/>
              <w:t> </w:t>
            </w:r>
          </w:p>
        </w:tc>
      </w:tr>
      <w:tr>
        <w:trPr/>
        <w:tc>
          <w:tcPr>
            <w:tcW w:w="6775" w:type="dxa"/>
            <w:tcBorders/>
            <w:shd w:fill="CCEEFF" w:val="clear"/>
            <w:vAlign w:val="center"/>
          </w:tcPr>
          <w:p>
            <w:pPr>
              <w:pStyle w:val="TableContents"/>
              <w:bidi w:val="0"/>
              <w:spacing w:before="0" w:after="0"/>
              <w:jc w:val="left"/>
              <w:rPr/>
            </w:pPr>
            <w:r>
              <w:rPr/>
              <w:t xml:space="preserve">Treasury stock, at cost, 15,734,764 and 1,919,070 shares as of June 30, 2026 and December 31, 2025, respectively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(188,452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(32,090</w:t>
            </w:r>
          </w:p>
        </w:tc>
        <w:tc>
          <w:tcPr>
            <w:tcW w:w="232" w:type="dxa"/>
            <w:tcBorders/>
            <w:shd w:fill="CCEEFF" w:val="clear"/>
            <w:vAlign w:val="center"/>
          </w:tcPr>
          <w:p>
            <w:pPr>
              <w:pStyle w:val="TableContents"/>
              <w:bidi w:val="0"/>
              <w:spacing w:before="0" w:after="283"/>
              <w:jc w:val="left"/>
              <w:rPr/>
            </w:pPr>
            <w:r>
              <w:rPr/>
              <w:t>) </w:t>
            </w:r>
          </w:p>
        </w:tc>
      </w:tr>
      <w:tr>
        <w:trPr/>
        <w:tc>
          <w:tcPr>
            <w:tcW w:w="6775" w:type="dxa"/>
            <w:tcBorders/>
            <w:vAlign w:val="center"/>
          </w:tcPr>
          <w:p>
            <w:pPr>
              <w:pStyle w:val="TableContents"/>
              <w:bidi w:val="0"/>
              <w:spacing w:before="0" w:after="0"/>
              <w:ind w:left="0" w:right="0" w:hanging="144"/>
              <w:jc w:val="left"/>
              <w:rPr/>
            </w:pPr>
            <w:r>
              <w:rPr/>
              <w:t xml:space="preserve">Additional paid-in capital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675,139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671,039</w:t>
            </w:r>
          </w:p>
        </w:tc>
        <w:tc>
          <w:tcPr>
            <w:tcW w:w="232" w:type="dxa"/>
            <w:tcBorders/>
            <w:vAlign w:val="center"/>
          </w:tcPr>
          <w:p>
            <w:pPr>
              <w:pStyle w:val="TableContents"/>
              <w:bidi w:val="0"/>
              <w:spacing w:before="0" w:after="283"/>
              <w:jc w:val="left"/>
              <w:rPr/>
            </w:pPr>
            <w:r>
              <w:rPr/>
              <w:t> </w:t>
            </w:r>
          </w:p>
        </w:tc>
      </w:tr>
      <w:tr>
        <w:trPr/>
        <w:tc>
          <w:tcPr>
            <w:tcW w:w="6775" w:type="dxa"/>
            <w:tcBorders/>
            <w:shd w:fill="CCEEFF" w:val="clear"/>
            <w:vAlign w:val="center"/>
          </w:tcPr>
          <w:p>
            <w:pPr>
              <w:pStyle w:val="TableContents"/>
              <w:bidi w:val="0"/>
              <w:spacing w:before="0" w:after="0"/>
              <w:ind w:left="0" w:right="0" w:hanging="144"/>
              <w:jc w:val="left"/>
              <w:rPr/>
            </w:pPr>
            <w:r>
              <w:rPr/>
              <w:t xml:space="preserve">Accumulated deficit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6" w:space="0" w:color="000000"/>
            </w:tcBorders>
            <w:shd w:fill="CCEEFF" w:val="clear"/>
            <w:tcMar>
              <w:bottom w:w="28" w:type="dxa"/>
            </w:tcMar>
            <w:vAlign w:val="center"/>
          </w:tcPr>
          <w:p>
            <w:pPr>
              <w:pStyle w:val="TableContents"/>
              <w:bidi w:val="0"/>
              <w:spacing w:before="0" w:after="283"/>
              <w:jc w:val="right"/>
              <w:rPr/>
            </w:pPr>
            <w:r>
              <w:rPr/>
              <w:t>(78,503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6" w:space="0" w:color="000000"/>
            </w:tcBorders>
            <w:shd w:fill="CCEEFF" w:val="clear"/>
            <w:tcMar>
              <w:bottom w:w="28" w:type="dxa"/>
            </w:tcMar>
            <w:vAlign w:val="center"/>
          </w:tcPr>
          <w:p>
            <w:pPr>
              <w:pStyle w:val="TableContents"/>
              <w:bidi w:val="0"/>
              <w:spacing w:before="0" w:after="283"/>
              <w:jc w:val="right"/>
              <w:rPr/>
            </w:pPr>
            <w:r>
              <w:rPr/>
              <w:t>(161,653</w:t>
            </w:r>
          </w:p>
        </w:tc>
        <w:tc>
          <w:tcPr>
            <w:tcW w:w="232" w:type="dxa"/>
            <w:tcBorders/>
            <w:shd w:fill="CCEEFF" w:val="clear"/>
            <w:vAlign w:val="center"/>
          </w:tcPr>
          <w:p>
            <w:pPr>
              <w:pStyle w:val="TableContents"/>
              <w:bidi w:val="0"/>
              <w:spacing w:before="0" w:after="283"/>
              <w:jc w:val="left"/>
              <w:rPr/>
            </w:pPr>
            <w:r>
              <w:rPr/>
              <w:t>) </w:t>
            </w:r>
          </w:p>
        </w:tc>
      </w:tr>
      <w:tr>
        <w:trPr/>
        <w:tc>
          <w:tcPr>
            <w:tcW w:w="6775" w:type="dxa"/>
            <w:tcBorders/>
            <w:vAlign w:val="center"/>
          </w:tcPr>
          <w:p>
            <w:pPr>
              <w:pStyle w:val="TableContents"/>
              <w:bidi w:val="0"/>
              <w:spacing w:before="0" w:after="0"/>
              <w:ind w:left="0" w:right="0" w:hanging="144"/>
              <w:jc w:val="left"/>
              <w:rPr/>
            </w:pPr>
            <w:r>
              <w:rPr>
                <w:b/>
              </w:rPr>
              <w:t>TOTAL STOCKHOLDERS' EQUITY</w:t>
            </w:r>
            <w:r>
              <w:rPr/>
              <w:t xml:space="preserve">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86" w:type="dxa"/>
            <w:tcBorders>
              <w:bottom w:val="single" w:sz="6" w:space="0" w:color="000000"/>
            </w:tcBorders>
            <w:tcMar>
              <w:bottom w:w="28" w:type="dxa"/>
            </w:tcMar>
            <w:vAlign w:val="center"/>
          </w:tcPr>
          <w:p>
            <w:pPr>
              <w:pStyle w:val="TableContents"/>
              <w:bidi w:val="0"/>
              <w:spacing w:before="0" w:after="283"/>
              <w:jc w:val="right"/>
              <w:rPr/>
            </w:pPr>
            <w:r>
              <w:rPr/>
              <w:t>408,208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07" w:type="dxa"/>
            <w:tcBorders>
              <w:bottom w:val="single" w:sz="6" w:space="0" w:color="000000"/>
            </w:tcBorders>
            <w:tcMar>
              <w:bottom w:w="28" w:type="dxa"/>
            </w:tcMar>
            <w:vAlign w:val="center"/>
          </w:tcPr>
          <w:p>
            <w:pPr>
              <w:pStyle w:val="TableContents"/>
              <w:bidi w:val="0"/>
              <w:spacing w:before="0" w:after="283"/>
              <w:jc w:val="right"/>
              <w:rPr/>
            </w:pPr>
            <w:r>
              <w:rPr/>
              <w:t>477,320</w:t>
            </w:r>
          </w:p>
        </w:tc>
        <w:tc>
          <w:tcPr>
            <w:tcW w:w="232" w:type="dxa"/>
            <w:tcBorders/>
            <w:vAlign w:val="center"/>
          </w:tcPr>
          <w:p>
            <w:pPr>
              <w:pStyle w:val="TableContents"/>
              <w:bidi w:val="0"/>
              <w:spacing w:before="0" w:after="283"/>
              <w:jc w:val="left"/>
              <w:rPr/>
            </w:pPr>
            <w:r>
              <w:rPr/>
              <w:t> </w:t>
            </w:r>
          </w:p>
        </w:tc>
      </w:tr>
      <w:tr>
        <w:trPr/>
        <w:tc>
          <w:tcPr>
            <w:tcW w:w="6775" w:type="dxa"/>
            <w:tcBorders/>
            <w:shd w:fill="CCEEFF" w:val="clear"/>
            <w:vAlign w:val="center"/>
          </w:tcPr>
          <w:p>
            <w:pPr>
              <w:pStyle w:val="TableContents"/>
              <w:bidi w:val="0"/>
              <w:spacing w:before="0" w:after="0"/>
              <w:ind w:left="0" w:right="0" w:hanging="144"/>
              <w:jc w:val="left"/>
              <w:rPr/>
            </w:pPr>
            <w:r>
              <w:rPr>
                <w:b/>
              </w:rPr>
              <w:t>TOTAL LIABILITIES AND STOCKHOLDERS' EQUITY</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186" w:type="dxa"/>
            <w:tcBorders>
              <w:bottom w:val="double" w:sz="8" w:space="0" w:color="000000"/>
            </w:tcBorders>
            <w:shd w:fill="CCEEFF" w:val="clear"/>
            <w:tcMar>
              <w:bottom w:w="28" w:type="dxa"/>
            </w:tcMar>
            <w:vAlign w:val="center"/>
          </w:tcPr>
          <w:p>
            <w:pPr>
              <w:pStyle w:val="TableContents"/>
              <w:bidi w:val="0"/>
              <w:spacing w:before="0" w:after="283"/>
              <w:jc w:val="right"/>
              <w:rPr/>
            </w:pPr>
            <w:r>
              <w:rPr/>
              <w:t>684,210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307" w:type="dxa"/>
            <w:tcBorders>
              <w:bottom w:val="double" w:sz="8" w:space="0" w:color="000000"/>
            </w:tcBorders>
            <w:shd w:fill="CCEEFF" w:val="clear"/>
            <w:tcMar>
              <w:bottom w:w="28" w:type="dxa"/>
            </w:tcMar>
            <w:vAlign w:val="center"/>
          </w:tcPr>
          <w:p>
            <w:pPr>
              <w:pStyle w:val="TableContents"/>
              <w:bidi w:val="0"/>
              <w:spacing w:before="0" w:after="283"/>
              <w:jc w:val="right"/>
              <w:rPr/>
            </w:pPr>
            <w:r>
              <w:rPr/>
              <w:t>624,242</w:t>
            </w:r>
          </w:p>
        </w:tc>
        <w:tc>
          <w:tcPr>
            <w:tcW w:w="232"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center"/>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ADMA BIOLOGICS,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7" w:name="STATEMENTS_OF_OPERATIONS"/>
      <w:bookmarkEnd w:id="7"/>
      <w:r>
        <w:rPr>
          <w:rFonts w:ascii="Times New Roman" w:hAnsi="Times New Roman"/>
          <w:b/>
          <w:sz w:val="20"/>
        </w:rPr>
        <w:t>CONDENSED CONSOLIDATED STATEMENTS OF OPERATIONS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3317"/>
        <w:gridCol w:w="90"/>
        <w:gridCol w:w="170"/>
        <w:gridCol w:w="1276"/>
        <w:gridCol w:w="188"/>
        <w:gridCol w:w="91"/>
        <w:gridCol w:w="173"/>
        <w:gridCol w:w="1276"/>
        <w:gridCol w:w="185"/>
        <w:gridCol w:w="90"/>
        <w:gridCol w:w="170"/>
        <w:gridCol w:w="1250"/>
        <w:gridCol w:w="185"/>
        <w:gridCol w:w="90"/>
        <w:gridCol w:w="170"/>
        <w:gridCol w:w="1250"/>
        <w:gridCol w:w="234"/>
      </w:tblGrid>
      <w:tr>
        <w:trPr/>
        <w:tc>
          <w:tcPr>
            <w:tcW w:w="33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33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33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33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3004" w:type="dxa"/>
            <w:gridSpan w:val="5"/>
            <w:tcBorders>
              <w:bottom w:val="single" w:sz="6" w:space="0" w:color="000000"/>
            </w:tcBorders>
            <w:tcMar>
              <w:bottom w:w="28" w:type="dxa"/>
            </w:tcMar>
            <w:vAlign w:val="center"/>
          </w:tcPr>
          <w:p>
            <w:pPr>
              <w:pStyle w:val="TableContents"/>
              <w:bidi w:val="0"/>
              <w:spacing w:before="0" w:after="283"/>
              <w:jc w:val="center"/>
              <w:rPr>
                <w:b/>
              </w:rPr>
            </w:pPr>
            <w:r>
              <w:rPr>
                <w:b/>
                <w:spacing w:val="0"/>
              </w:rPr>
              <w:t>Three Months ended June 30,</w:t>
            </w:r>
            <w:r>
              <w:rPr>
                <w:b/>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2945" w:type="dxa"/>
            <w:gridSpan w:val="5"/>
            <w:tcBorders>
              <w:bottom w:val="single" w:sz="6" w:space="0" w:color="000000"/>
            </w:tcBorders>
            <w:tcMar>
              <w:bottom w:w="28" w:type="dxa"/>
            </w:tcMar>
            <w:vAlign w:val="center"/>
          </w:tcPr>
          <w:p>
            <w:pPr>
              <w:pStyle w:val="TableContents"/>
              <w:bidi w:val="0"/>
              <w:spacing w:before="0" w:after="283"/>
              <w:jc w:val="center"/>
              <w:rPr>
                <w:b/>
              </w:rPr>
            </w:pPr>
            <w:r>
              <w:rPr>
                <w:b/>
                <w:spacing w:val="0"/>
              </w:rPr>
              <w:t>Six Months ended June 30,</w:t>
            </w:r>
            <w:r>
              <w:rPr>
                <w:b/>
              </w:rPr>
              <w:t xml:space="preserve"> </w:t>
            </w:r>
          </w:p>
        </w:tc>
        <w:tc>
          <w:tcPr>
            <w:tcW w:w="234" w:type="dxa"/>
            <w:tcBorders/>
            <w:vAlign w:val="center"/>
          </w:tcPr>
          <w:p>
            <w:pPr>
              <w:pStyle w:val="TableContents"/>
              <w:bidi w:val="0"/>
              <w:spacing w:before="0" w:after="283"/>
              <w:jc w:val="center"/>
              <w:rPr/>
            </w:pPr>
            <w:r>
              <w:rPr/>
              <w:t> </w:t>
            </w:r>
          </w:p>
        </w:tc>
      </w:tr>
      <w:tr>
        <w:trPr/>
        <w:tc>
          <w:tcPr>
            <w:tcW w:w="33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76" w:type="dxa"/>
            <w:tcBorders>
              <w:bottom w:val="single" w:sz="6" w:space="0" w:color="000000"/>
            </w:tcBorders>
            <w:tcMar>
              <w:bottom w:w="28" w:type="dxa"/>
            </w:tcMar>
            <w:vAlign w:val="center"/>
          </w:tcPr>
          <w:p>
            <w:pPr>
              <w:pStyle w:val="TableContents"/>
              <w:bidi w:val="0"/>
              <w:spacing w:before="0" w:after="283"/>
              <w:jc w:val="center"/>
              <w:rPr>
                <w:b/>
              </w:rPr>
            </w:pPr>
            <w:r>
              <w:rPr>
                <w:b/>
              </w:rPr>
              <w:t xml:space="preserve">2026 </w:t>
            </w:r>
          </w:p>
        </w:tc>
        <w:tc>
          <w:tcPr>
            <w:tcW w:w="188"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center"/>
              <w:rPr/>
            </w:pPr>
            <w:r>
              <w:rPr/>
              <w:t> </w:t>
            </w:r>
          </w:p>
        </w:tc>
        <w:tc>
          <w:tcPr>
            <w:tcW w:w="173"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76" w:type="dxa"/>
            <w:tcBorders>
              <w:bottom w:val="single" w:sz="6" w:space="0" w:color="000000"/>
            </w:tcBorders>
            <w:tcMar>
              <w:bottom w:w="28" w:type="dxa"/>
            </w:tcMar>
            <w:vAlign w:val="center"/>
          </w:tcPr>
          <w:p>
            <w:pPr>
              <w:pStyle w:val="TableContents"/>
              <w:bidi w:val="0"/>
              <w:spacing w:before="0" w:after="283"/>
              <w:jc w:val="center"/>
              <w:rPr>
                <w:b/>
              </w:rPr>
            </w:pPr>
            <w:r>
              <w:rPr>
                <w:b/>
              </w:rPr>
              <w:t xml:space="preserve">2025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50" w:type="dxa"/>
            <w:tcBorders>
              <w:bottom w:val="single" w:sz="6" w:space="0" w:color="000000"/>
            </w:tcBorders>
            <w:tcMar>
              <w:bottom w:w="28" w:type="dxa"/>
            </w:tcMar>
            <w:vAlign w:val="center"/>
          </w:tcPr>
          <w:p>
            <w:pPr>
              <w:pStyle w:val="TableContents"/>
              <w:bidi w:val="0"/>
              <w:spacing w:before="0" w:after="283"/>
              <w:jc w:val="center"/>
              <w:rPr>
                <w:b/>
              </w:rPr>
            </w:pPr>
            <w:r>
              <w:rPr>
                <w:b/>
              </w:rPr>
              <w:t xml:space="preserve">2026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50" w:type="dxa"/>
            <w:tcBorders>
              <w:bottom w:val="single" w:sz="6" w:space="0" w:color="000000"/>
            </w:tcBorders>
            <w:tcMar>
              <w:bottom w:w="28" w:type="dxa"/>
            </w:tcMar>
            <w:vAlign w:val="center"/>
          </w:tcPr>
          <w:p>
            <w:pPr>
              <w:pStyle w:val="TableContents"/>
              <w:bidi w:val="0"/>
              <w:spacing w:before="0" w:after="283"/>
              <w:jc w:val="center"/>
              <w:rPr>
                <w:b/>
              </w:rPr>
            </w:pPr>
            <w:r>
              <w:rPr>
                <w:b/>
              </w:rPr>
              <w:t xml:space="preserve">2025 </w:t>
            </w:r>
          </w:p>
        </w:tc>
        <w:tc>
          <w:tcPr>
            <w:tcW w:w="234" w:type="dxa"/>
            <w:tcBorders/>
            <w:vAlign w:val="center"/>
          </w:tcPr>
          <w:p>
            <w:pPr>
              <w:pStyle w:val="TableContents"/>
              <w:bidi w:val="0"/>
              <w:spacing w:before="0" w:after="283"/>
              <w:jc w:val="center"/>
              <w:rPr/>
            </w:pPr>
            <w:r>
              <w:rPr/>
              <w:t> </w:t>
            </w:r>
          </w:p>
        </w:tc>
      </w:tr>
      <w:tr>
        <w:trPr/>
        <w:tc>
          <w:tcPr>
            <w:tcW w:w="3317" w:type="dxa"/>
            <w:tcBorders/>
            <w:vAlign w:val="center"/>
          </w:tcPr>
          <w:p>
            <w:pPr>
              <w:pStyle w:val="TableContents"/>
              <w:bidi w:val="0"/>
              <w:spacing w:before="0" w:after="0"/>
              <w:ind w:left="0" w:right="0" w:hanging="144"/>
              <w:jc w:val="left"/>
              <w:rPr/>
            </w:pPr>
            <w:r>
              <w:rPr>
                <w:i/>
              </w:rPr>
              <w:t>(In thousands, except share and per share data)</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3317" w:type="dxa"/>
            <w:tcBorders/>
            <w:shd w:fill="CCEEFF" w:val="clear"/>
            <w:vAlign w:val="center"/>
          </w:tcPr>
          <w:p>
            <w:pPr>
              <w:pStyle w:val="TableContents"/>
              <w:bidi w:val="0"/>
              <w:spacing w:before="0" w:after="0"/>
              <w:ind w:left="0" w:right="0" w:hanging="144"/>
              <w:jc w:val="left"/>
              <w:rPr/>
            </w:pPr>
            <w:r>
              <w:rPr>
                <w:b/>
              </w:rPr>
              <w:t>REVENUES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76" w:type="dxa"/>
            <w:tcBorders/>
            <w:shd w:fill="CCEEFF" w:val="clear"/>
            <w:vAlign w:val="center"/>
          </w:tcPr>
          <w:p>
            <w:pPr>
              <w:pStyle w:val="TableContents"/>
              <w:bidi w:val="0"/>
              <w:spacing w:before="0" w:after="283"/>
              <w:jc w:val="right"/>
              <w:rPr/>
            </w:pPr>
            <w:r>
              <w:rPr/>
              <w:t>124,395</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w:t>
            </w:r>
          </w:p>
        </w:tc>
        <w:tc>
          <w:tcPr>
            <w:tcW w:w="1276" w:type="dxa"/>
            <w:tcBorders/>
            <w:shd w:fill="CCEEFF" w:val="clear"/>
            <w:vAlign w:val="center"/>
          </w:tcPr>
          <w:p>
            <w:pPr>
              <w:pStyle w:val="TableContents"/>
              <w:bidi w:val="0"/>
              <w:spacing w:before="0" w:after="283"/>
              <w:jc w:val="right"/>
              <w:rPr/>
            </w:pPr>
            <w:r>
              <w:rPr/>
              <w:t>121,984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238,888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236,786</w:t>
            </w:r>
          </w:p>
        </w:tc>
        <w:tc>
          <w:tcPr>
            <w:tcW w:w="234" w:type="dxa"/>
            <w:tcBorders/>
            <w:shd w:fill="CCEEFF" w:val="clear"/>
            <w:vAlign w:val="center"/>
          </w:tcPr>
          <w:p>
            <w:pPr>
              <w:pStyle w:val="TableContents"/>
              <w:bidi w:val="0"/>
              <w:spacing w:before="0" w:after="283"/>
              <w:jc w:val="left"/>
              <w:rPr/>
            </w:pPr>
            <w:r>
              <w:rPr/>
              <w:t> </w:t>
            </w:r>
          </w:p>
        </w:tc>
      </w:tr>
      <w:tr>
        <w:trPr/>
        <w:tc>
          <w:tcPr>
            <w:tcW w:w="3317" w:type="dxa"/>
            <w:tcBorders/>
            <w:vAlign w:val="center"/>
          </w:tcPr>
          <w:p>
            <w:pPr>
              <w:pStyle w:val="TableContents"/>
              <w:bidi w:val="0"/>
              <w:spacing w:before="0" w:after="0"/>
              <w:ind w:left="0" w:right="0" w:hanging="144"/>
              <w:jc w:val="left"/>
              <w:rPr/>
            </w:pPr>
            <w:r>
              <w:rPr/>
              <w:t xml:space="preserve">Cost of product revenue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76" w:type="dxa"/>
            <w:tcBorders>
              <w:bottom w:val="single" w:sz="6" w:space="0" w:color="000000"/>
            </w:tcBorders>
            <w:tcMar>
              <w:bottom w:w="28" w:type="dxa"/>
            </w:tcMar>
            <w:vAlign w:val="center"/>
          </w:tcPr>
          <w:p>
            <w:pPr>
              <w:pStyle w:val="TableContents"/>
              <w:bidi w:val="0"/>
              <w:spacing w:before="0" w:after="283"/>
              <w:jc w:val="right"/>
              <w:rPr/>
            </w:pPr>
            <w:r>
              <w:rPr/>
              <w:t>38,118</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right"/>
              <w:rPr/>
            </w:pPr>
            <w:r>
              <w:rPr/>
              <w:t> </w:t>
            </w:r>
          </w:p>
        </w:tc>
        <w:tc>
          <w:tcPr>
            <w:tcW w:w="173" w:type="dxa"/>
            <w:tcBorders>
              <w:bottom w:val="single" w:sz="6" w:space="0" w:color="000000"/>
            </w:tcBorders>
            <w:tcMar>
              <w:bottom w:w="28" w:type="dxa"/>
            </w:tcMar>
            <w:vAlign w:val="center"/>
          </w:tcPr>
          <w:p>
            <w:pPr>
              <w:pStyle w:val="TableContents"/>
              <w:bidi w:val="0"/>
              <w:spacing w:before="0" w:after="283"/>
              <w:jc w:val="left"/>
              <w:rPr/>
            </w:pPr>
            <w:r>
              <w:rPr/>
              <w:t> </w:t>
            </w:r>
          </w:p>
        </w:tc>
        <w:tc>
          <w:tcPr>
            <w:tcW w:w="1276" w:type="dxa"/>
            <w:tcBorders>
              <w:bottom w:val="single" w:sz="6" w:space="0" w:color="000000"/>
            </w:tcBorders>
            <w:tcMar>
              <w:bottom w:w="28" w:type="dxa"/>
            </w:tcMar>
            <w:vAlign w:val="center"/>
          </w:tcPr>
          <w:p>
            <w:pPr>
              <w:pStyle w:val="TableContents"/>
              <w:bidi w:val="0"/>
              <w:spacing w:before="0" w:after="283"/>
              <w:jc w:val="right"/>
              <w:rPr/>
            </w:pPr>
            <w:r>
              <w:rPr/>
              <w:t>54,757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71,861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108,463</w:t>
            </w:r>
          </w:p>
        </w:tc>
        <w:tc>
          <w:tcPr>
            <w:tcW w:w="234" w:type="dxa"/>
            <w:tcBorders/>
            <w:vAlign w:val="center"/>
          </w:tcPr>
          <w:p>
            <w:pPr>
              <w:pStyle w:val="TableContents"/>
              <w:bidi w:val="0"/>
              <w:spacing w:before="0" w:after="283"/>
              <w:jc w:val="left"/>
              <w:rPr/>
            </w:pPr>
            <w:r>
              <w:rPr/>
              <w:t> </w:t>
            </w:r>
          </w:p>
        </w:tc>
      </w:tr>
      <w:tr>
        <w:trPr/>
        <w:tc>
          <w:tcPr>
            <w:tcW w:w="3317" w:type="dxa"/>
            <w:tcBorders/>
            <w:shd w:fill="CCEEFF" w:val="clear"/>
            <w:vAlign w:val="center"/>
          </w:tcPr>
          <w:p>
            <w:pPr>
              <w:pStyle w:val="TableContents"/>
              <w:bidi w:val="0"/>
              <w:spacing w:before="0" w:after="0"/>
              <w:jc w:val="left"/>
              <w:rPr/>
            </w:pPr>
            <w:r>
              <w:rPr>
                <w:b/>
              </w:rPr>
              <w:t>Gross profit</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6" w:space="0" w:color="000000"/>
            </w:tcBorders>
            <w:shd w:fill="CCEEFF" w:val="clear"/>
            <w:tcMar>
              <w:bottom w:w="28" w:type="dxa"/>
            </w:tcMar>
            <w:vAlign w:val="center"/>
          </w:tcPr>
          <w:p>
            <w:pPr>
              <w:pStyle w:val="TableContents"/>
              <w:bidi w:val="0"/>
              <w:spacing w:before="0" w:after="283"/>
              <w:jc w:val="right"/>
              <w:rPr/>
            </w:pPr>
            <w:r>
              <w:rPr/>
              <w:t>86,277</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right"/>
              <w:rPr/>
            </w:pPr>
            <w:r>
              <w:rPr/>
              <w:t> </w:t>
            </w:r>
          </w:p>
        </w:tc>
        <w:tc>
          <w:tcPr>
            <w:tcW w:w="173"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6" w:space="0" w:color="000000"/>
            </w:tcBorders>
            <w:shd w:fill="CCEEFF" w:val="clear"/>
            <w:tcMar>
              <w:bottom w:w="28" w:type="dxa"/>
            </w:tcMar>
            <w:vAlign w:val="center"/>
          </w:tcPr>
          <w:p>
            <w:pPr>
              <w:pStyle w:val="TableContents"/>
              <w:bidi w:val="0"/>
              <w:spacing w:before="0" w:after="283"/>
              <w:jc w:val="right"/>
              <w:rPr/>
            </w:pPr>
            <w:r>
              <w:rPr/>
              <w:t>67,227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right"/>
              <w:rPr/>
            </w:pPr>
            <w:r>
              <w:rPr/>
              <w:t>167,027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right"/>
              <w:rPr/>
            </w:pPr>
            <w:r>
              <w:rPr/>
              <w:t>128,323</w:t>
            </w:r>
          </w:p>
        </w:tc>
        <w:tc>
          <w:tcPr>
            <w:tcW w:w="234" w:type="dxa"/>
            <w:tcBorders/>
            <w:shd w:fill="CCEEFF" w:val="clear"/>
            <w:vAlign w:val="center"/>
          </w:tcPr>
          <w:p>
            <w:pPr>
              <w:pStyle w:val="TableContents"/>
              <w:bidi w:val="0"/>
              <w:spacing w:before="0" w:after="283"/>
              <w:jc w:val="left"/>
              <w:rPr/>
            </w:pPr>
            <w:r>
              <w:rPr/>
              <w:t> </w:t>
            </w:r>
          </w:p>
        </w:tc>
      </w:tr>
      <w:tr>
        <w:trPr/>
        <w:tc>
          <w:tcPr>
            <w:tcW w:w="33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76"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right"/>
              <w:rPr/>
            </w:pPr>
            <w:r>
              <w:rPr/>
              <w:t> </w:t>
            </w:r>
          </w:p>
        </w:tc>
        <w:tc>
          <w:tcPr>
            <w:tcW w:w="1276"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right"/>
              <w:rPr/>
            </w:pPr>
            <w:r>
              <w:rPr/>
              <w:t> </w:t>
            </w:r>
          </w:p>
        </w:tc>
      </w:tr>
      <w:tr>
        <w:trPr/>
        <w:tc>
          <w:tcPr>
            <w:tcW w:w="3317" w:type="dxa"/>
            <w:tcBorders/>
            <w:shd w:fill="CCEEFF" w:val="clear"/>
            <w:vAlign w:val="center"/>
          </w:tcPr>
          <w:p>
            <w:pPr>
              <w:pStyle w:val="TableContents"/>
              <w:bidi w:val="0"/>
              <w:spacing w:before="0" w:after="0"/>
              <w:ind w:left="0" w:right="0" w:hanging="144"/>
              <w:jc w:val="left"/>
              <w:rPr/>
            </w:pPr>
            <w:r>
              <w:rPr>
                <w:b/>
              </w:rPr>
              <w:t>OPERATING EXPENSES: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276"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right"/>
              <w:rPr/>
            </w:pPr>
            <w:r>
              <w:rPr/>
              <w:t> </w:t>
            </w:r>
          </w:p>
        </w:tc>
        <w:tc>
          <w:tcPr>
            <w:tcW w:w="12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2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250"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right"/>
              <w:rPr/>
            </w:pPr>
            <w:r>
              <w:rPr/>
              <w:t> </w:t>
            </w:r>
          </w:p>
        </w:tc>
      </w:tr>
      <w:tr>
        <w:trPr/>
        <w:tc>
          <w:tcPr>
            <w:tcW w:w="3317" w:type="dxa"/>
            <w:tcBorders/>
            <w:vAlign w:val="center"/>
          </w:tcPr>
          <w:p>
            <w:pPr>
              <w:pStyle w:val="TableContents"/>
              <w:bidi w:val="0"/>
              <w:spacing w:before="0" w:after="0"/>
              <w:jc w:val="left"/>
              <w:rPr/>
            </w:pPr>
            <w:r>
              <w:rPr/>
              <w:t xml:space="preserve">Research and development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6,014</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1,031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8,611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1,858</w:t>
            </w:r>
          </w:p>
        </w:tc>
        <w:tc>
          <w:tcPr>
            <w:tcW w:w="234" w:type="dxa"/>
            <w:tcBorders/>
            <w:vAlign w:val="center"/>
          </w:tcPr>
          <w:p>
            <w:pPr>
              <w:pStyle w:val="TableContents"/>
              <w:bidi w:val="0"/>
              <w:spacing w:before="0" w:after="283"/>
              <w:jc w:val="left"/>
              <w:rPr/>
            </w:pPr>
            <w:r>
              <w:rPr/>
              <w:t> </w:t>
            </w:r>
          </w:p>
        </w:tc>
      </w:tr>
      <w:tr>
        <w:trPr/>
        <w:tc>
          <w:tcPr>
            <w:tcW w:w="3317" w:type="dxa"/>
            <w:tcBorders/>
            <w:shd w:fill="CCEEFF" w:val="clear"/>
            <w:vAlign w:val="center"/>
          </w:tcPr>
          <w:p>
            <w:pPr>
              <w:pStyle w:val="TableContents"/>
              <w:bidi w:val="0"/>
              <w:spacing w:before="0" w:after="0"/>
              <w:jc w:val="left"/>
              <w:rPr/>
            </w:pPr>
            <w:r>
              <w:rPr/>
              <w:t xml:space="preserve">Plasma center operating expenses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1,026</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1,152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2,088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2,438</w:t>
            </w:r>
          </w:p>
        </w:tc>
        <w:tc>
          <w:tcPr>
            <w:tcW w:w="234" w:type="dxa"/>
            <w:tcBorders/>
            <w:shd w:fill="CCEEFF" w:val="clear"/>
            <w:vAlign w:val="center"/>
          </w:tcPr>
          <w:p>
            <w:pPr>
              <w:pStyle w:val="TableContents"/>
              <w:bidi w:val="0"/>
              <w:spacing w:before="0" w:after="283"/>
              <w:jc w:val="left"/>
              <w:rPr/>
            </w:pPr>
            <w:r>
              <w:rPr/>
              <w:t> </w:t>
            </w:r>
          </w:p>
        </w:tc>
      </w:tr>
      <w:tr>
        <w:trPr/>
        <w:tc>
          <w:tcPr>
            <w:tcW w:w="3317" w:type="dxa"/>
            <w:tcBorders/>
            <w:vAlign w:val="center"/>
          </w:tcPr>
          <w:p>
            <w:pPr>
              <w:pStyle w:val="TableContents"/>
              <w:bidi w:val="0"/>
              <w:spacing w:before="0" w:after="0"/>
              <w:jc w:val="left"/>
              <w:rPr/>
            </w:pPr>
            <w:r>
              <w:rPr/>
              <w:t xml:space="preserve">Amortization of intangible assets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55</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32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110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57</w:t>
            </w:r>
          </w:p>
        </w:tc>
        <w:tc>
          <w:tcPr>
            <w:tcW w:w="234" w:type="dxa"/>
            <w:tcBorders/>
            <w:vAlign w:val="center"/>
          </w:tcPr>
          <w:p>
            <w:pPr>
              <w:pStyle w:val="TableContents"/>
              <w:bidi w:val="0"/>
              <w:spacing w:before="0" w:after="283"/>
              <w:jc w:val="left"/>
              <w:rPr/>
            </w:pPr>
            <w:r>
              <w:rPr/>
              <w:t> </w:t>
            </w:r>
          </w:p>
        </w:tc>
      </w:tr>
      <w:tr>
        <w:trPr/>
        <w:tc>
          <w:tcPr>
            <w:tcW w:w="3317" w:type="dxa"/>
            <w:tcBorders/>
            <w:shd w:fill="CCEEFF" w:val="clear"/>
            <w:vAlign w:val="center"/>
          </w:tcPr>
          <w:p>
            <w:pPr>
              <w:pStyle w:val="TableContents"/>
              <w:bidi w:val="0"/>
              <w:spacing w:before="0" w:after="0"/>
              <w:jc w:val="left"/>
              <w:rPr/>
            </w:pPr>
            <w:r>
              <w:rPr/>
              <w:t xml:space="preserve">Gain on sale of plasma centers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xml:space="preserve">- </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(7,980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xml:space="preserve">- </w:t>
            </w:r>
          </w:p>
        </w:tc>
        <w:tc>
          <w:tcPr>
            <w:tcW w:w="234" w:type="dxa"/>
            <w:tcBorders/>
            <w:shd w:fill="CCEEFF" w:val="clear"/>
            <w:vAlign w:val="center"/>
          </w:tcPr>
          <w:p>
            <w:pPr>
              <w:pStyle w:val="TableContents"/>
              <w:bidi w:val="0"/>
              <w:spacing w:before="0" w:after="283"/>
              <w:jc w:val="left"/>
              <w:rPr/>
            </w:pPr>
            <w:r>
              <w:rPr/>
              <w:t> </w:t>
            </w:r>
          </w:p>
        </w:tc>
      </w:tr>
      <w:tr>
        <w:trPr/>
        <w:tc>
          <w:tcPr>
            <w:tcW w:w="3317" w:type="dxa"/>
            <w:tcBorders/>
            <w:vAlign w:val="center"/>
          </w:tcPr>
          <w:p>
            <w:pPr>
              <w:pStyle w:val="TableContents"/>
              <w:bidi w:val="0"/>
              <w:spacing w:before="0" w:after="0"/>
              <w:jc w:val="left"/>
              <w:rPr/>
            </w:pPr>
            <w:r>
              <w:rPr/>
              <w:t xml:space="preserve">Selling, general and administrative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76" w:type="dxa"/>
            <w:tcBorders>
              <w:bottom w:val="single" w:sz="6" w:space="0" w:color="000000"/>
            </w:tcBorders>
            <w:tcMar>
              <w:bottom w:w="28" w:type="dxa"/>
            </w:tcMar>
            <w:vAlign w:val="center"/>
          </w:tcPr>
          <w:p>
            <w:pPr>
              <w:pStyle w:val="TableContents"/>
              <w:bidi w:val="0"/>
              <w:spacing w:before="0" w:after="283"/>
              <w:jc w:val="right"/>
              <w:rPr/>
            </w:pPr>
            <w:r>
              <w:rPr/>
              <w:t>26,737</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right"/>
              <w:rPr/>
            </w:pPr>
            <w:r>
              <w:rPr/>
              <w:t> </w:t>
            </w:r>
          </w:p>
        </w:tc>
        <w:tc>
          <w:tcPr>
            <w:tcW w:w="173" w:type="dxa"/>
            <w:tcBorders>
              <w:bottom w:val="single" w:sz="6" w:space="0" w:color="000000"/>
            </w:tcBorders>
            <w:tcMar>
              <w:bottom w:w="28" w:type="dxa"/>
            </w:tcMar>
            <w:vAlign w:val="center"/>
          </w:tcPr>
          <w:p>
            <w:pPr>
              <w:pStyle w:val="TableContents"/>
              <w:bidi w:val="0"/>
              <w:spacing w:before="0" w:after="283"/>
              <w:jc w:val="left"/>
              <w:rPr/>
            </w:pPr>
            <w:r>
              <w:rPr/>
              <w:t> </w:t>
            </w:r>
          </w:p>
        </w:tc>
        <w:tc>
          <w:tcPr>
            <w:tcW w:w="1276" w:type="dxa"/>
            <w:tcBorders>
              <w:bottom w:val="single" w:sz="6" w:space="0" w:color="000000"/>
            </w:tcBorders>
            <w:tcMar>
              <w:bottom w:w="28" w:type="dxa"/>
            </w:tcMar>
            <w:vAlign w:val="center"/>
          </w:tcPr>
          <w:p>
            <w:pPr>
              <w:pStyle w:val="TableContents"/>
              <w:bidi w:val="0"/>
              <w:spacing w:before="0" w:after="283"/>
              <w:jc w:val="right"/>
              <w:rPr/>
            </w:pPr>
            <w:r>
              <w:rPr/>
              <w:t>22,214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53,479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46,292</w:t>
            </w:r>
          </w:p>
        </w:tc>
        <w:tc>
          <w:tcPr>
            <w:tcW w:w="234" w:type="dxa"/>
            <w:tcBorders/>
            <w:vAlign w:val="center"/>
          </w:tcPr>
          <w:p>
            <w:pPr>
              <w:pStyle w:val="TableContents"/>
              <w:bidi w:val="0"/>
              <w:spacing w:before="0" w:after="283"/>
              <w:jc w:val="left"/>
              <w:rPr/>
            </w:pPr>
            <w:r>
              <w:rPr/>
              <w:t> </w:t>
            </w:r>
          </w:p>
        </w:tc>
      </w:tr>
      <w:tr>
        <w:trPr/>
        <w:tc>
          <w:tcPr>
            <w:tcW w:w="3317" w:type="dxa"/>
            <w:tcBorders/>
            <w:shd w:fill="CCEEFF" w:val="clear"/>
            <w:vAlign w:val="center"/>
          </w:tcPr>
          <w:p>
            <w:pPr>
              <w:pStyle w:val="TableContents"/>
              <w:bidi w:val="0"/>
              <w:spacing w:before="0" w:after="0"/>
              <w:jc w:val="left"/>
              <w:rPr>
                <w:b/>
              </w:rPr>
            </w:pPr>
            <w:r>
              <w:rPr>
                <w:b/>
              </w:rPr>
              <w:t xml:space="preserve">Total operating expenses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6" w:space="0" w:color="000000"/>
            </w:tcBorders>
            <w:shd w:fill="CCEEFF" w:val="clear"/>
            <w:tcMar>
              <w:bottom w:w="28" w:type="dxa"/>
            </w:tcMar>
            <w:vAlign w:val="center"/>
          </w:tcPr>
          <w:p>
            <w:pPr>
              <w:pStyle w:val="TableContents"/>
              <w:bidi w:val="0"/>
              <w:spacing w:before="0" w:after="283"/>
              <w:jc w:val="right"/>
              <w:rPr/>
            </w:pPr>
            <w:r>
              <w:rPr/>
              <w:t>33,832</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right"/>
              <w:rPr/>
            </w:pPr>
            <w:r>
              <w:rPr/>
              <w:t> </w:t>
            </w:r>
          </w:p>
        </w:tc>
        <w:tc>
          <w:tcPr>
            <w:tcW w:w="173"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6" w:space="0" w:color="000000"/>
            </w:tcBorders>
            <w:shd w:fill="CCEEFF" w:val="clear"/>
            <w:tcMar>
              <w:bottom w:w="28" w:type="dxa"/>
            </w:tcMar>
            <w:vAlign w:val="center"/>
          </w:tcPr>
          <w:p>
            <w:pPr>
              <w:pStyle w:val="TableContents"/>
              <w:bidi w:val="0"/>
              <w:spacing w:before="0" w:after="283"/>
              <w:jc w:val="right"/>
              <w:rPr/>
            </w:pPr>
            <w:r>
              <w:rPr/>
              <w:t>24,429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right"/>
              <w:rPr/>
            </w:pPr>
            <w:r>
              <w:rPr/>
              <w:t>56,308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right"/>
              <w:rPr/>
            </w:pPr>
            <w:r>
              <w:rPr/>
              <w:t>50,645</w:t>
            </w:r>
          </w:p>
        </w:tc>
        <w:tc>
          <w:tcPr>
            <w:tcW w:w="234" w:type="dxa"/>
            <w:tcBorders/>
            <w:shd w:fill="CCEEFF" w:val="clear"/>
            <w:vAlign w:val="center"/>
          </w:tcPr>
          <w:p>
            <w:pPr>
              <w:pStyle w:val="TableContents"/>
              <w:bidi w:val="0"/>
              <w:spacing w:before="0" w:after="283"/>
              <w:jc w:val="left"/>
              <w:rPr/>
            </w:pPr>
            <w:r>
              <w:rPr/>
              <w:t> </w:t>
            </w:r>
          </w:p>
        </w:tc>
      </w:tr>
      <w:tr>
        <w:trPr/>
        <w:tc>
          <w:tcPr>
            <w:tcW w:w="33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3317" w:type="dxa"/>
            <w:tcBorders/>
            <w:shd w:fill="CCEEFF" w:val="clear"/>
            <w:vAlign w:val="center"/>
          </w:tcPr>
          <w:p>
            <w:pPr>
              <w:pStyle w:val="TableContents"/>
              <w:bidi w:val="0"/>
              <w:spacing w:before="0" w:after="0"/>
              <w:ind w:left="0" w:right="0" w:hanging="144"/>
              <w:jc w:val="left"/>
              <w:rPr>
                <w:b/>
              </w:rPr>
            </w:pPr>
            <w:r>
              <w:rPr>
                <w:b/>
              </w:rPr>
              <w:t xml:space="preserve">INCOME FROM OPERATIONS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52,445</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42,798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110,719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77,678</w:t>
            </w:r>
          </w:p>
        </w:tc>
        <w:tc>
          <w:tcPr>
            <w:tcW w:w="234" w:type="dxa"/>
            <w:tcBorders/>
            <w:shd w:fill="CCEEFF" w:val="clear"/>
            <w:vAlign w:val="center"/>
          </w:tcPr>
          <w:p>
            <w:pPr>
              <w:pStyle w:val="TableContents"/>
              <w:bidi w:val="0"/>
              <w:spacing w:before="0" w:after="283"/>
              <w:jc w:val="left"/>
              <w:rPr/>
            </w:pPr>
            <w:r>
              <w:rPr/>
              <w:t> </w:t>
            </w:r>
          </w:p>
        </w:tc>
      </w:tr>
      <w:tr>
        <w:trPr/>
        <w:tc>
          <w:tcPr>
            <w:tcW w:w="33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3317" w:type="dxa"/>
            <w:tcBorders/>
            <w:shd w:fill="CCEEFF" w:val="clear"/>
            <w:vAlign w:val="center"/>
          </w:tcPr>
          <w:p>
            <w:pPr>
              <w:pStyle w:val="TableContents"/>
              <w:bidi w:val="0"/>
              <w:spacing w:before="0" w:after="0"/>
              <w:ind w:left="0" w:right="0" w:hanging="144"/>
              <w:jc w:val="left"/>
              <w:rPr>
                <w:b/>
              </w:rPr>
            </w:pPr>
            <w:r>
              <w:rPr>
                <w:b/>
              </w:rPr>
              <w:t xml:space="preserve">OTHER INCOME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3317" w:type="dxa"/>
            <w:tcBorders/>
            <w:vAlign w:val="center"/>
          </w:tcPr>
          <w:p>
            <w:pPr>
              <w:pStyle w:val="TableContents"/>
              <w:bidi w:val="0"/>
              <w:spacing w:before="0" w:after="0"/>
              <w:jc w:val="left"/>
              <w:rPr/>
            </w:pPr>
            <w:r>
              <w:rPr/>
              <w:t xml:space="preserve">Interest and other income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1,238</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400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2,331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1,008</w:t>
            </w:r>
          </w:p>
        </w:tc>
        <w:tc>
          <w:tcPr>
            <w:tcW w:w="234" w:type="dxa"/>
            <w:tcBorders/>
            <w:vAlign w:val="center"/>
          </w:tcPr>
          <w:p>
            <w:pPr>
              <w:pStyle w:val="TableContents"/>
              <w:bidi w:val="0"/>
              <w:spacing w:before="0" w:after="283"/>
              <w:jc w:val="left"/>
              <w:rPr/>
            </w:pPr>
            <w:r>
              <w:rPr/>
              <w:t> </w:t>
            </w:r>
          </w:p>
        </w:tc>
      </w:tr>
      <w:tr>
        <w:trPr/>
        <w:tc>
          <w:tcPr>
            <w:tcW w:w="3317" w:type="dxa"/>
            <w:tcBorders/>
            <w:shd w:fill="CCEEFF" w:val="clear"/>
            <w:vAlign w:val="center"/>
          </w:tcPr>
          <w:p>
            <w:pPr>
              <w:pStyle w:val="TableContents"/>
              <w:bidi w:val="0"/>
              <w:spacing w:before="0" w:after="0"/>
              <w:jc w:val="left"/>
              <w:rPr/>
            </w:pPr>
            <w:r>
              <w:rPr/>
              <w:t xml:space="preserve">Interest expense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(3,424</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(1,834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(5,524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(3,809</w:t>
            </w:r>
          </w:p>
        </w:tc>
        <w:tc>
          <w:tcPr>
            <w:tcW w:w="234" w:type="dxa"/>
            <w:tcBorders/>
            <w:shd w:fill="CCEEFF" w:val="clear"/>
            <w:vAlign w:val="center"/>
          </w:tcPr>
          <w:p>
            <w:pPr>
              <w:pStyle w:val="TableContents"/>
              <w:bidi w:val="0"/>
              <w:spacing w:before="0" w:after="283"/>
              <w:jc w:val="left"/>
              <w:rPr/>
            </w:pPr>
            <w:r>
              <w:rPr/>
              <w:t>) </w:t>
            </w:r>
          </w:p>
        </w:tc>
      </w:tr>
      <w:tr>
        <w:trPr/>
        <w:tc>
          <w:tcPr>
            <w:tcW w:w="3317" w:type="dxa"/>
            <w:tcBorders/>
            <w:vAlign w:val="center"/>
          </w:tcPr>
          <w:p>
            <w:pPr>
              <w:pStyle w:val="TableContents"/>
              <w:bidi w:val="0"/>
              <w:spacing w:before="0" w:after="0"/>
              <w:jc w:val="left"/>
              <w:rPr/>
            </w:pPr>
            <w:r>
              <w:rPr/>
              <w:t xml:space="preserve">Loss on extinguishment of debt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 xml:space="preserve">- </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(1,159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(1,159</w:t>
            </w:r>
          </w:p>
        </w:tc>
        <w:tc>
          <w:tcPr>
            <w:tcW w:w="234" w:type="dxa"/>
            <w:tcBorders/>
            <w:vAlign w:val="center"/>
          </w:tcPr>
          <w:p>
            <w:pPr>
              <w:pStyle w:val="TableContents"/>
              <w:bidi w:val="0"/>
              <w:spacing w:before="0" w:after="283"/>
              <w:jc w:val="left"/>
              <w:rPr/>
            </w:pPr>
            <w:r>
              <w:rPr/>
              <w:t>) </w:t>
            </w:r>
          </w:p>
        </w:tc>
      </w:tr>
      <w:tr>
        <w:trPr/>
        <w:tc>
          <w:tcPr>
            <w:tcW w:w="3317" w:type="dxa"/>
            <w:tcBorders/>
            <w:shd w:fill="CCEEFF" w:val="clear"/>
            <w:vAlign w:val="center"/>
          </w:tcPr>
          <w:p>
            <w:pPr>
              <w:pStyle w:val="TableContents"/>
              <w:bidi w:val="0"/>
              <w:spacing w:before="0" w:after="0"/>
              <w:jc w:val="left"/>
              <w:rPr/>
            </w:pPr>
            <w:r>
              <w:rPr/>
              <w:t xml:space="preserve">Other expense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6" w:space="0" w:color="000000"/>
            </w:tcBorders>
            <w:shd w:fill="CCEEFF" w:val="clear"/>
            <w:tcMar>
              <w:bottom w:w="28" w:type="dxa"/>
            </w:tcMar>
            <w:vAlign w:val="center"/>
          </w:tcPr>
          <w:p>
            <w:pPr>
              <w:pStyle w:val="TableContents"/>
              <w:bidi w:val="0"/>
              <w:spacing w:before="0" w:after="283"/>
              <w:jc w:val="right"/>
              <w:rPr/>
            </w:pPr>
            <w:r>
              <w:rPr/>
              <w:t>(22</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right"/>
              <w:rPr/>
            </w:pPr>
            <w:r>
              <w:rPr/>
              <w:t> </w:t>
            </w:r>
          </w:p>
        </w:tc>
        <w:tc>
          <w:tcPr>
            <w:tcW w:w="173"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6" w:space="0" w:color="000000"/>
            </w:tcBorders>
            <w:shd w:fill="CCEEFF" w:val="clear"/>
            <w:tcMar>
              <w:bottom w:w="28" w:type="dxa"/>
            </w:tcMar>
            <w:vAlign w:val="center"/>
          </w:tcPr>
          <w:p>
            <w:pPr>
              <w:pStyle w:val="TableContents"/>
              <w:bidi w:val="0"/>
              <w:spacing w:before="0" w:after="283"/>
              <w:jc w:val="right"/>
              <w:rPr/>
            </w:pPr>
            <w:r>
              <w:rPr/>
              <w:t>(108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right"/>
              <w:rPr/>
            </w:pPr>
            <w:r>
              <w:rPr/>
              <w:t>(161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right"/>
              <w:rPr/>
            </w:pPr>
            <w:r>
              <w:rPr/>
              <w:t>(172</w:t>
            </w:r>
          </w:p>
        </w:tc>
        <w:tc>
          <w:tcPr>
            <w:tcW w:w="234" w:type="dxa"/>
            <w:tcBorders/>
            <w:shd w:fill="CCEEFF" w:val="clear"/>
            <w:vAlign w:val="center"/>
          </w:tcPr>
          <w:p>
            <w:pPr>
              <w:pStyle w:val="TableContents"/>
              <w:bidi w:val="0"/>
              <w:spacing w:before="0" w:after="283"/>
              <w:jc w:val="left"/>
              <w:rPr/>
            </w:pPr>
            <w:r>
              <w:rPr/>
              <w:t>) </w:t>
            </w:r>
          </w:p>
        </w:tc>
      </w:tr>
      <w:tr>
        <w:trPr/>
        <w:tc>
          <w:tcPr>
            <w:tcW w:w="3317" w:type="dxa"/>
            <w:tcBorders/>
            <w:vAlign w:val="center"/>
          </w:tcPr>
          <w:p>
            <w:pPr>
              <w:pStyle w:val="TableContents"/>
              <w:bidi w:val="0"/>
              <w:spacing w:before="0" w:after="0"/>
              <w:jc w:val="left"/>
              <w:rPr>
                <w:b/>
              </w:rPr>
            </w:pPr>
            <w:r>
              <w:rPr>
                <w:b/>
              </w:rPr>
              <w:t xml:space="preserve">Other income (expense), net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76" w:type="dxa"/>
            <w:tcBorders>
              <w:bottom w:val="single" w:sz="6" w:space="0" w:color="000000"/>
            </w:tcBorders>
            <w:tcMar>
              <w:bottom w:w="28" w:type="dxa"/>
            </w:tcMar>
            <w:vAlign w:val="center"/>
          </w:tcPr>
          <w:p>
            <w:pPr>
              <w:pStyle w:val="TableContents"/>
              <w:bidi w:val="0"/>
              <w:spacing w:before="0" w:after="283"/>
              <w:jc w:val="right"/>
              <w:rPr/>
            </w:pPr>
            <w:r>
              <w:rPr/>
              <w:t>(2,208</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right"/>
              <w:rPr/>
            </w:pPr>
            <w:r>
              <w:rPr/>
              <w:t> </w:t>
            </w:r>
          </w:p>
        </w:tc>
        <w:tc>
          <w:tcPr>
            <w:tcW w:w="173" w:type="dxa"/>
            <w:tcBorders>
              <w:bottom w:val="single" w:sz="6" w:space="0" w:color="000000"/>
            </w:tcBorders>
            <w:tcMar>
              <w:bottom w:w="28" w:type="dxa"/>
            </w:tcMar>
            <w:vAlign w:val="center"/>
          </w:tcPr>
          <w:p>
            <w:pPr>
              <w:pStyle w:val="TableContents"/>
              <w:bidi w:val="0"/>
              <w:spacing w:before="0" w:after="283"/>
              <w:jc w:val="left"/>
              <w:rPr/>
            </w:pPr>
            <w:r>
              <w:rPr/>
              <w:t> </w:t>
            </w:r>
          </w:p>
        </w:tc>
        <w:tc>
          <w:tcPr>
            <w:tcW w:w="1276" w:type="dxa"/>
            <w:tcBorders>
              <w:bottom w:val="single" w:sz="6" w:space="0" w:color="000000"/>
            </w:tcBorders>
            <w:tcMar>
              <w:bottom w:w="28" w:type="dxa"/>
            </w:tcMar>
            <w:vAlign w:val="center"/>
          </w:tcPr>
          <w:p>
            <w:pPr>
              <w:pStyle w:val="TableContents"/>
              <w:bidi w:val="0"/>
              <w:spacing w:before="0" w:after="283"/>
              <w:jc w:val="right"/>
              <w:rPr/>
            </w:pPr>
            <w:r>
              <w:rPr/>
              <w:t>(2,701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(3,354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(4,132</w:t>
            </w:r>
          </w:p>
        </w:tc>
        <w:tc>
          <w:tcPr>
            <w:tcW w:w="234" w:type="dxa"/>
            <w:tcBorders/>
            <w:vAlign w:val="center"/>
          </w:tcPr>
          <w:p>
            <w:pPr>
              <w:pStyle w:val="TableContents"/>
              <w:bidi w:val="0"/>
              <w:spacing w:before="0" w:after="283"/>
              <w:jc w:val="left"/>
              <w:rPr/>
            </w:pPr>
            <w:r>
              <w:rPr/>
              <w:t>) </w:t>
            </w:r>
          </w:p>
        </w:tc>
      </w:tr>
      <w:tr>
        <w:trPr/>
        <w:tc>
          <w:tcPr>
            <w:tcW w:w="331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3317" w:type="dxa"/>
            <w:tcBorders/>
            <w:vAlign w:val="center"/>
          </w:tcPr>
          <w:p>
            <w:pPr>
              <w:pStyle w:val="TableContents"/>
              <w:bidi w:val="0"/>
              <w:spacing w:before="0" w:after="0"/>
              <w:ind w:left="0" w:right="0" w:hanging="144"/>
              <w:jc w:val="left"/>
              <w:rPr>
                <w:b/>
              </w:rPr>
            </w:pPr>
            <w:r>
              <w:rPr>
                <w:b/>
              </w:rPr>
              <w:t xml:space="preserve">INCOME BEFORE INCOME TAXES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50,237</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40,097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107,365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73,546</w:t>
            </w:r>
          </w:p>
        </w:tc>
        <w:tc>
          <w:tcPr>
            <w:tcW w:w="234" w:type="dxa"/>
            <w:tcBorders/>
            <w:vAlign w:val="center"/>
          </w:tcPr>
          <w:p>
            <w:pPr>
              <w:pStyle w:val="TableContents"/>
              <w:bidi w:val="0"/>
              <w:spacing w:before="0" w:after="283"/>
              <w:jc w:val="left"/>
              <w:rPr/>
            </w:pPr>
            <w:r>
              <w:rPr/>
              <w:t> </w:t>
            </w:r>
          </w:p>
        </w:tc>
      </w:tr>
      <w:tr>
        <w:trPr/>
        <w:tc>
          <w:tcPr>
            <w:tcW w:w="331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3317" w:type="dxa"/>
            <w:tcBorders/>
            <w:vAlign w:val="center"/>
          </w:tcPr>
          <w:p>
            <w:pPr>
              <w:pStyle w:val="TableContents"/>
              <w:bidi w:val="0"/>
              <w:spacing w:before="0" w:after="0"/>
              <w:jc w:val="left"/>
              <w:rPr/>
            </w:pPr>
            <w:r>
              <w:rPr/>
              <w:t xml:space="preserve">Provision for income taxes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76" w:type="dxa"/>
            <w:tcBorders>
              <w:bottom w:val="single" w:sz="6" w:space="0" w:color="000000"/>
            </w:tcBorders>
            <w:tcMar>
              <w:bottom w:w="28" w:type="dxa"/>
            </w:tcMar>
            <w:vAlign w:val="center"/>
          </w:tcPr>
          <w:p>
            <w:pPr>
              <w:pStyle w:val="TableContents"/>
              <w:bidi w:val="0"/>
              <w:spacing w:before="0" w:after="283"/>
              <w:jc w:val="right"/>
              <w:rPr/>
            </w:pPr>
            <w:r>
              <w:rPr/>
              <w:t>12,415</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right"/>
              <w:rPr/>
            </w:pPr>
            <w:r>
              <w:rPr/>
              <w:t> </w:t>
            </w:r>
          </w:p>
        </w:tc>
        <w:tc>
          <w:tcPr>
            <w:tcW w:w="173" w:type="dxa"/>
            <w:tcBorders>
              <w:bottom w:val="single" w:sz="6" w:space="0" w:color="000000"/>
            </w:tcBorders>
            <w:tcMar>
              <w:bottom w:w="28" w:type="dxa"/>
            </w:tcMar>
            <w:vAlign w:val="center"/>
          </w:tcPr>
          <w:p>
            <w:pPr>
              <w:pStyle w:val="TableContents"/>
              <w:bidi w:val="0"/>
              <w:spacing w:before="0" w:after="283"/>
              <w:jc w:val="left"/>
              <w:rPr/>
            </w:pPr>
            <w:r>
              <w:rPr/>
              <w:t> </w:t>
            </w:r>
          </w:p>
        </w:tc>
        <w:tc>
          <w:tcPr>
            <w:tcW w:w="1276" w:type="dxa"/>
            <w:tcBorders>
              <w:bottom w:val="single" w:sz="6" w:space="0" w:color="000000"/>
            </w:tcBorders>
            <w:tcMar>
              <w:bottom w:w="28" w:type="dxa"/>
            </w:tcMar>
            <w:vAlign w:val="center"/>
          </w:tcPr>
          <w:p>
            <w:pPr>
              <w:pStyle w:val="TableContents"/>
              <w:bidi w:val="0"/>
              <w:spacing w:before="0" w:after="283"/>
              <w:jc w:val="right"/>
              <w:rPr/>
            </w:pPr>
            <w:r>
              <w:rPr/>
              <w:t>5,878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24,215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12,424</w:t>
            </w:r>
          </w:p>
        </w:tc>
        <w:tc>
          <w:tcPr>
            <w:tcW w:w="234" w:type="dxa"/>
            <w:tcBorders/>
            <w:vAlign w:val="center"/>
          </w:tcPr>
          <w:p>
            <w:pPr>
              <w:pStyle w:val="TableContents"/>
              <w:bidi w:val="0"/>
              <w:spacing w:before="0" w:after="283"/>
              <w:jc w:val="left"/>
              <w:rPr/>
            </w:pPr>
            <w:r>
              <w:rPr/>
              <w:t> </w:t>
            </w:r>
          </w:p>
        </w:tc>
      </w:tr>
      <w:tr>
        <w:trPr/>
        <w:tc>
          <w:tcPr>
            <w:tcW w:w="3317" w:type="dxa"/>
            <w:tcBorders/>
            <w:shd w:fill="CCEEFF" w:val="clear"/>
            <w:vAlign w:val="center"/>
          </w:tcPr>
          <w:p>
            <w:pPr>
              <w:pStyle w:val="TableContents"/>
              <w:bidi w:val="0"/>
              <w:spacing w:before="0" w:after="0"/>
              <w:ind w:left="0" w:right="0" w:hanging="144"/>
              <w:jc w:val="left"/>
              <w:rPr>
                <w:b/>
              </w:rPr>
            </w:pPr>
            <w:r>
              <w:rPr>
                <w:b/>
              </w:rPr>
              <w:t xml:space="preserve">NET INCOME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shd w:fill="CCEEFF" w:val="clear"/>
            <w:tcMar>
              <w:bottom w:w="28" w:type="dxa"/>
            </w:tcMar>
            <w:vAlign w:val="center"/>
          </w:tcPr>
          <w:p>
            <w:pPr>
              <w:pStyle w:val="TableContents"/>
              <w:bidi w:val="0"/>
              <w:spacing w:before="0" w:after="283"/>
              <w:jc w:val="right"/>
              <w:rPr/>
            </w:pPr>
            <w:r>
              <w:rPr/>
              <w:t>37,822</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right"/>
              <w:rPr/>
            </w:pPr>
            <w:r>
              <w:rPr/>
              <w:t> </w:t>
            </w:r>
          </w:p>
        </w:tc>
        <w:tc>
          <w:tcPr>
            <w:tcW w:w="173"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shd w:fill="CCEEFF" w:val="clear"/>
            <w:tcMar>
              <w:bottom w:w="28" w:type="dxa"/>
            </w:tcMar>
            <w:vAlign w:val="center"/>
          </w:tcPr>
          <w:p>
            <w:pPr>
              <w:pStyle w:val="TableContents"/>
              <w:bidi w:val="0"/>
              <w:spacing w:before="0" w:after="283"/>
              <w:jc w:val="right"/>
              <w:rPr/>
            </w:pPr>
            <w:r>
              <w:rPr/>
              <w:t>34,219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right"/>
              <w:rPr/>
            </w:pPr>
            <w:r>
              <w:rPr/>
              <w:t>83,150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right"/>
              <w:rPr/>
            </w:pPr>
            <w:r>
              <w:rPr/>
              <w:t>61,122</w:t>
            </w:r>
          </w:p>
        </w:tc>
        <w:tc>
          <w:tcPr>
            <w:tcW w:w="234" w:type="dxa"/>
            <w:tcBorders/>
            <w:shd w:fill="CCEEFF" w:val="clear"/>
            <w:vAlign w:val="center"/>
          </w:tcPr>
          <w:p>
            <w:pPr>
              <w:pStyle w:val="TableContents"/>
              <w:bidi w:val="0"/>
              <w:spacing w:before="0" w:after="283"/>
              <w:jc w:val="left"/>
              <w:rPr/>
            </w:pPr>
            <w:r>
              <w:rPr/>
              <w:t> </w:t>
            </w:r>
          </w:p>
        </w:tc>
      </w:tr>
      <w:tr>
        <w:trPr/>
        <w:tc>
          <w:tcPr>
            <w:tcW w:w="33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3317" w:type="dxa"/>
            <w:tcBorders/>
            <w:shd w:fill="CCEEFF" w:val="clear"/>
            <w:vAlign w:val="center"/>
          </w:tcPr>
          <w:p>
            <w:pPr>
              <w:pStyle w:val="TableContents"/>
              <w:bidi w:val="0"/>
              <w:spacing w:before="0" w:after="0"/>
              <w:ind w:left="0" w:right="0" w:hanging="144"/>
              <w:jc w:val="left"/>
              <w:rPr>
                <w:b/>
              </w:rPr>
            </w:pPr>
            <w:r>
              <w:rPr>
                <w:b/>
              </w:rPr>
              <w:t xml:space="preserve">BASIC EARNINGS PER COMMON SHARE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shd w:fill="CCEEFF" w:val="clear"/>
            <w:tcMar>
              <w:bottom w:w="28" w:type="dxa"/>
            </w:tcMar>
            <w:vAlign w:val="center"/>
          </w:tcPr>
          <w:p>
            <w:pPr>
              <w:pStyle w:val="TableContents"/>
              <w:bidi w:val="0"/>
              <w:spacing w:before="0" w:after="283"/>
              <w:jc w:val="right"/>
              <w:rPr/>
            </w:pPr>
            <w:r>
              <w:rPr/>
              <w:t>0.17</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right"/>
              <w:rPr/>
            </w:pPr>
            <w:r>
              <w:rPr/>
              <w:t> </w:t>
            </w:r>
          </w:p>
        </w:tc>
        <w:tc>
          <w:tcPr>
            <w:tcW w:w="173"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shd w:fill="CCEEFF" w:val="clear"/>
            <w:tcMar>
              <w:bottom w:w="28" w:type="dxa"/>
            </w:tcMar>
            <w:vAlign w:val="center"/>
          </w:tcPr>
          <w:p>
            <w:pPr>
              <w:pStyle w:val="TableContents"/>
              <w:bidi w:val="0"/>
              <w:spacing w:before="0" w:after="283"/>
              <w:jc w:val="right"/>
              <w:rPr/>
            </w:pPr>
            <w:r>
              <w:rPr/>
              <w:t>0.14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right"/>
              <w:rPr/>
            </w:pPr>
            <w:r>
              <w:rPr/>
              <w:t>0.36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right"/>
              <w:rPr/>
            </w:pPr>
            <w:r>
              <w:rPr/>
              <w:t>0.26</w:t>
            </w:r>
          </w:p>
        </w:tc>
        <w:tc>
          <w:tcPr>
            <w:tcW w:w="234" w:type="dxa"/>
            <w:tcBorders/>
            <w:shd w:fill="CCEEFF" w:val="clear"/>
            <w:vAlign w:val="center"/>
          </w:tcPr>
          <w:p>
            <w:pPr>
              <w:pStyle w:val="TableContents"/>
              <w:bidi w:val="0"/>
              <w:spacing w:before="0" w:after="283"/>
              <w:jc w:val="left"/>
              <w:rPr/>
            </w:pPr>
            <w:r>
              <w:rPr/>
              <w:t> </w:t>
            </w:r>
          </w:p>
        </w:tc>
      </w:tr>
      <w:tr>
        <w:trPr/>
        <w:tc>
          <w:tcPr>
            <w:tcW w:w="3317" w:type="dxa"/>
            <w:tcBorders/>
            <w:vAlign w:val="center"/>
          </w:tcPr>
          <w:p>
            <w:pPr>
              <w:pStyle w:val="TableContents"/>
              <w:bidi w:val="0"/>
              <w:spacing w:before="0" w:after="0"/>
              <w:ind w:left="0" w:right="0" w:hanging="144"/>
              <w:jc w:val="left"/>
              <w:rPr>
                <w:b/>
              </w:rPr>
            </w:pPr>
            <w:r>
              <w:rPr>
                <w:b/>
              </w:rPr>
              <w:t xml:space="preserve">DILUTED EARNINGS PER COMMON SHARE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tcMar>
              <w:bottom w:w="28" w:type="dxa"/>
            </w:tcMar>
            <w:vAlign w:val="center"/>
          </w:tcPr>
          <w:p>
            <w:pPr>
              <w:pStyle w:val="TableContents"/>
              <w:bidi w:val="0"/>
              <w:spacing w:before="0" w:after="283"/>
              <w:jc w:val="right"/>
              <w:rPr/>
            </w:pPr>
            <w:r>
              <w:rPr/>
              <w:t>0.16</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right"/>
              <w:rPr/>
            </w:pPr>
            <w:r>
              <w:rPr/>
              <w:t> </w:t>
            </w:r>
          </w:p>
        </w:tc>
        <w:tc>
          <w:tcPr>
            <w:tcW w:w="173" w:type="dxa"/>
            <w:tcBorders>
              <w:bottom w:val="single" w:sz="6" w:space="0" w:color="000000"/>
            </w:tcBorders>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tcMar>
              <w:bottom w:w="28" w:type="dxa"/>
            </w:tcMar>
            <w:vAlign w:val="center"/>
          </w:tcPr>
          <w:p>
            <w:pPr>
              <w:pStyle w:val="TableContents"/>
              <w:bidi w:val="0"/>
              <w:spacing w:before="0" w:after="283"/>
              <w:jc w:val="right"/>
              <w:rPr/>
            </w:pPr>
            <w:r>
              <w:rPr/>
              <w:t>0.14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0.35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0.25</w:t>
            </w:r>
          </w:p>
        </w:tc>
        <w:tc>
          <w:tcPr>
            <w:tcW w:w="234" w:type="dxa"/>
            <w:tcBorders/>
            <w:vAlign w:val="center"/>
          </w:tcPr>
          <w:p>
            <w:pPr>
              <w:pStyle w:val="TableContents"/>
              <w:bidi w:val="0"/>
              <w:spacing w:before="0" w:after="283"/>
              <w:jc w:val="left"/>
              <w:rPr/>
            </w:pPr>
            <w:r>
              <w:rPr/>
              <w:t> </w:t>
            </w:r>
          </w:p>
        </w:tc>
      </w:tr>
      <w:tr>
        <w:trPr/>
        <w:tc>
          <w:tcPr>
            <w:tcW w:w="331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3317" w:type="dxa"/>
            <w:tcBorders/>
            <w:vAlign w:val="center"/>
          </w:tcPr>
          <w:p>
            <w:pPr>
              <w:pStyle w:val="TableContents"/>
              <w:bidi w:val="0"/>
              <w:spacing w:before="0" w:after="0"/>
              <w:ind w:left="0" w:right="0" w:hanging="144"/>
              <w:jc w:val="left"/>
              <w:rPr>
                <w:b/>
              </w:rPr>
            </w:pPr>
            <w:r>
              <w:rPr>
                <w:b/>
              </w:rPr>
              <w:t xml:space="preserve">WEIGHTED AVERAGE COMMON SHARES OUTSTANDING: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3317" w:type="dxa"/>
            <w:tcBorders/>
            <w:shd w:fill="CCEEFF" w:val="clear"/>
            <w:vAlign w:val="center"/>
          </w:tcPr>
          <w:p>
            <w:pPr>
              <w:pStyle w:val="TableContents"/>
              <w:bidi w:val="0"/>
              <w:spacing w:before="0" w:after="0"/>
              <w:jc w:val="left"/>
              <w:rPr>
                <w:b/>
              </w:rPr>
            </w:pPr>
            <w:r>
              <w:rPr>
                <w:b/>
              </w:rPr>
              <w:t xml:space="preserve">Basic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6" w:space="0" w:color="000000"/>
            </w:tcBorders>
            <w:shd w:fill="CCEEFF" w:val="clear"/>
            <w:tcMar>
              <w:bottom w:w="28" w:type="dxa"/>
            </w:tcMar>
            <w:vAlign w:val="center"/>
          </w:tcPr>
          <w:p>
            <w:pPr>
              <w:pStyle w:val="TableContents"/>
              <w:bidi w:val="0"/>
              <w:spacing w:before="0" w:after="283"/>
              <w:jc w:val="right"/>
              <w:rPr/>
            </w:pPr>
            <w:r>
              <w:rPr/>
              <w:t>228,232,503</w:t>
            </w:r>
          </w:p>
        </w:tc>
        <w:tc>
          <w:tcPr>
            <w:tcW w:w="18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right"/>
              <w:rPr/>
            </w:pPr>
            <w:r>
              <w:rPr/>
              <w:t> </w:t>
            </w:r>
          </w:p>
        </w:tc>
        <w:tc>
          <w:tcPr>
            <w:tcW w:w="173"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6" w:space="0" w:color="000000"/>
            </w:tcBorders>
            <w:shd w:fill="CCEEFF" w:val="clear"/>
            <w:tcMar>
              <w:bottom w:w="28" w:type="dxa"/>
            </w:tcMar>
            <w:vAlign w:val="center"/>
          </w:tcPr>
          <w:p>
            <w:pPr>
              <w:pStyle w:val="TableContents"/>
              <w:bidi w:val="0"/>
              <w:spacing w:before="0" w:after="283"/>
              <w:jc w:val="right"/>
              <w:rPr/>
            </w:pPr>
            <w:r>
              <w:rPr/>
              <w:t>241,490,715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right"/>
              <w:rPr/>
            </w:pPr>
            <w:r>
              <w:rPr/>
              <w:t>232,136,480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right"/>
              <w:rPr/>
            </w:pPr>
            <w:r>
              <w:rPr/>
              <w:t>238,309,156</w:t>
            </w:r>
          </w:p>
        </w:tc>
        <w:tc>
          <w:tcPr>
            <w:tcW w:w="234" w:type="dxa"/>
            <w:tcBorders/>
            <w:shd w:fill="CCEEFF" w:val="clear"/>
            <w:vAlign w:val="center"/>
          </w:tcPr>
          <w:p>
            <w:pPr>
              <w:pStyle w:val="TableContents"/>
              <w:bidi w:val="0"/>
              <w:spacing w:before="0" w:after="283"/>
              <w:jc w:val="left"/>
              <w:rPr/>
            </w:pPr>
            <w:r>
              <w:rPr/>
              <w:t> </w:t>
            </w:r>
          </w:p>
        </w:tc>
      </w:tr>
      <w:tr>
        <w:trPr/>
        <w:tc>
          <w:tcPr>
            <w:tcW w:w="3317" w:type="dxa"/>
            <w:tcBorders/>
            <w:vAlign w:val="center"/>
          </w:tcPr>
          <w:p>
            <w:pPr>
              <w:pStyle w:val="TableContents"/>
              <w:bidi w:val="0"/>
              <w:spacing w:before="0" w:after="0"/>
              <w:jc w:val="left"/>
              <w:rPr>
                <w:b/>
              </w:rPr>
            </w:pPr>
            <w:r>
              <w:rPr>
                <w:b/>
              </w:rPr>
              <w:t xml:space="preserve">Diluted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76" w:type="dxa"/>
            <w:tcBorders>
              <w:bottom w:val="single" w:sz="6" w:space="0" w:color="000000"/>
            </w:tcBorders>
            <w:tcMar>
              <w:bottom w:w="28" w:type="dxa"/>
            </w:tcMar>
            <w:vAlign w:val="center"/>
          </w:tcPr>
          <w:p>
            <w:pPr>
              <w:pStyle w:val="TableContents"/>
              <w:bidi w:val="0"/>
              <w:spacing w:before="0" w:after="283"/>
              <w:jc w:val="right"/>
              <w:rPr/>
            </w:pPr>
            <w:r>
              <w:rPr/>
              <w:t>230,337,048</w:t>
            </w:r>
          </w:p>
        </w:tc>
        <w:tc>
          <w:tcPr>
            <w:tcW w:w="1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right"/>
              <w:rPr/>
            </w:pPr>
            <w:r>
              <w:rPr/>
              <w:t> </w:t>
            </w:r>
          </w:p>
        </w:tc>
        <w:tc>
          <w:tcPr>
            <w:tcW w:w="173" w:type="dxa"/>
            <w:tcBorders>
              <w:bottom w:val="single" w:sz="6" w:space="0" w:color="000000"/>
            </w:tcBorders>
            <w:tcMar>
              <w:bottom w:w="28" w:type="dxa"/>
            </w:tcMar>
            <w:vAlign w:val="center"/>
          </w:tcPr>
          <w:p>
            <w:pPr>
              <w:pStyle w:val="TableContents"/>
              <w:bidi w:val="0"/>
              <w:spacing w:before="0" w:after="283"/>
              <w:jc w:val="left"/>
              <w:rPr/>
            </w:pPr>
            <w:r>
              <w:rPr/>
              <w:t> </w:t>
            </w:r>
          </w:p>
        </w:tc>
        <w:tc>
          <w:tcPr>
            <w:tcW w:w="1276" w:type="dxa"/>
            <w:tcBorders>
              <w:bottom w:val="single" w:sz="6" w:space="0" w:color="000000"/>
            </w:tcBorders>
            <w:tcMar>
              <w:bottom w:w="28" w:type="dxa"/>
            </w:tcMar>
            <w:vAlign w:val="center"/>
          </w:tcPr>
          <w:p>
            <w:pPr>
              <w:pStyle w:val="TableContents"/>
              <w:bidi w:val="0"/>
              <w:spacing w:before="0" w:after="283"/>
              <w:jc w:val="right"/>
              <w:rPr/>
            </w:pPr>
            <w:r>
              <w:rPr/>
              <w:t>248,608,460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235,240,375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245,750,155</w:t>
            </w:r>
          </w:p>
        </w:tc>
        <w:tc>
          <w:tcPr>
            <w:tcW w:w="234"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center"/>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ADMA BIOLOGICS, INC. AND SUBSIDIARIES</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CONDENSED CONSOLIDATED STATEMENTS OF CHANGES IN</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bookmarkStart w:id="8" w:name="STOCKHOLDERS_EQUITY"/>
      <w:bookmarkEnd w:id="8"/>
      <w:r>
        <w:rPr>
          <w:rFonts w:ascii="Times New Roman" w:hAnsi="Times New Roman"/>
          <w:b/>
          <w:sz w:val="20"/>
        </w:rPr>
        <w:t>STOCKHOLDERS’ EQUITY (Unaudited)</w:t>
      </w:r>
      <w:r>
        <w:rPr>
          <w:rFonts w:ascii="Times New Roman" w:hAnsi="Times New Roman"/>
          <w:sz w:val="20"/>
        </w:rPr>
        <w:t xml:space="preserve"> </w:t>
      </w:r>
    </w:p>
    <w:p>
      <w:pPr>
        <w:pStyle w:val="TextBody"/>
        <w:bidi w:val="0"/>
        <w:spacing w:before="0" w:after="0"/>
        <w:ind w:left="0" w:right="0" w:hanging="0"/>
        <w:jc w:val="center"/>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i/>
          <w:sz w:val="20"/>
        </w:rPr>
        <w:t>(In thousands, except share data)</w:t>
      </w:r>
      <w:r>
        <w:rPr>
          <w:rFonts w:ascii="Times New Roman" w:hAnsi="Times New Roman"/>
          <w:sz w:val="20"/>
        </w:rPr>
        <w:t xml:space="preserve"> </w:t>
      </w:r>
    </w:p>
    <w:p>
      <w:pPr>
        <w:pStyle w:val="TextBody"/>
        <w:bidi w:val="0"/>
        <w:spacing w:before="0" w:after="0"/>
        <w:jc w:val="both"/>
        <w:rPr/>
      </w:pPr>
      <w:r>
        <w:rPr/>
        <w:t xml:space="preserve">  </w:t>
      </w:r>
    </w:p>
    <w:tbl>
      <w:tblPr>
        <w:tblW w:w="12186" w:type="dxa"/>
        <w:jc w:val="left"/>
        <w:tblInd w:w="0" w:type="dxa"/>
        <w:tblLayout w:type="fixed"/>
        <w:tblCellMar>
          <w:top w:w="0" w:type="dxa"/>
          <w:left w:w="0" w:type="dxa"/>
          <w:bottom w:w="0" w:type="dxa"/>
          <w:right w:w="0" w:type="dxa"/>
        </w:tblCellMar>
      </w:tblPr>
      <w:tblGrid>
        <w:gridCol w:w="1226"/>
        <w:gridCol w:w="90"/>
        <w:gridCol w:w="90"/>
        <w:gridCol w:w="1250"/>
        <w:gridCol w:w="90"/>
        <w:gridCol w:w="90"/>
        <w:gridCol w:w="170"/>
        <w:gridCol w:w="890"/>
        <w:gridCol w:w="90"/>
        <w:gridCol w:w="90"/>
        <w:gridCol w:w="170"/>
        <w:gridCol w:w="1130"/>
        <w:gridCol w:w="185"/>
        <w:gridCol w:w="90"/>
        <w:gridCol w:w="170"/>
        <w:gridCol w:w="1400"/>
        <w:gridCol w:w="185"/>
        <w:gridCol w:w="90"/>
        <w:gridCol w:w="90"/>
        <w:gridCol w:w="1205"/>
        <w:gridCol w:w="185"/>
        <w:gridCol w:w="90"/>
        <w:gridCol w:w="170"/>
        <w:gridCol w:w="905"/>
        <w:gridCol w:w="185"/>
        <w:gridCol w:w="90"/>
        <w:gridCol w:w="170"/>
        <w:gridCol w:w="1370"/>
        <w:gridCol w:w="230"/>
      </w:tblGrid>
      <w:tr>
        <w:trPr/>
        <w:tc>
          <w:tcPr>
            <w:tcW w:w="12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1956" w:type="dxa"/>
            <w:gridSpan w:val="28"/>
            <w:tcBorders>
              <w:bottom w:val="single" w:sz="6" w:space="0" w:color="000000"/>
            </w:tcBorders>
            <w:tcMar>
              <w:bottom w:w="28" w:type="dxa"/>
            </w:tcMar>
            <w:vAlign w:val="center"/>
          </w:tcPr>
          <w:p>
            <w:pPr>
              <w:pStyle w:val="TableContents"/>
              <w:bidi w:val="0"/>
              <w:spacing w:before="0" w:after="283"/>
              <w:jc w:val="center"/>
              <w:rPr/>
            </w:pPr>
            <w:r>
              <w:rPr>
                <w:b/>
                <w:spacing w:val="0"/>
              </w:rPr>
              <w:t>For the Three and Six Months Ended June 30, 2026</w:t>
            </w:r>
            <w:r>
              <w:rPr/>
              <w:t xml:space="preserve"> </w:t>
            </w:r>
          </w:p>
        </w:tc>
        <w:tc>
          <w:tcPr>
            <w:tcW w:w="230" w:type="dxa"/>
            <w:tcBorders/>
            <w:vAlign w:val="center"/>
          </w:tcPr>
          <w:p>
            <w:pPr>
              <w:pStyle w:val="TableContents"/>
              <w:bidi w:val="0"/>
              <w:spacing w:before="0" w:after="283"/>
              <w:jc w:val="center"/>
              <w:rPr/>
            </w:pPr>
            <w:r>
              <w:rPr/>
              <w:t> </w:t>
            </w:r>
          </w:p>
        </w:tc>
      </w:tr>
      <w:tr>
        <w:trPr/>
        <w:tc>
          <w:tcPr>
            <w:tcW w:w="12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pPr>
            <w:r>
              <w:rPr>
                <w:b/>
              </w:rPr>
              <w:t>Additional</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370" w:type="dxa"/>
            <w:tcBorders/>
            <w:vAlign w:val="center"/>
          </w:tcPr>
          <w:p>
            <w:pPr>
              <w:pStyle w:val="TableContents"/>
              <w:bidi w:val="0"/>
              <w:spacing w:before="0" w:after="283"/>
              <w:jc w:val="center"/>
              <w:rPr/>
            </w:pPr>
            <w:r>
              <w:rPr>
                <w:b/>
              </w:rPr>
              <w:t>Total</w:t>
            </w:r>
            <w:r>
              <w:rPr/>
              <w:t xml:space="preserve"> </w:t>
            </w:r>
          </w:p>
        </w:tc>
        <w:tc>
          <w:tcPr>
            <w:tcW w:w="230" w:type="dxa"/>
            <w:tcBorders/>
            <w:vAlign w:val="center"/>
          </w:tcPr>
          <w:p>
            <w:pPr>
              <w:pStyle w:val="TableContents"/>
              <w:bidi w:val="0"/>
              <w:spacing w:before="0" w:after="283"/>
              <w:jc w:val="center"/>
              <w:rPr/>
            </w:pPr>
            <w:r>
              <w:rPr/>
              <w:t> </w:t>
            </w:r>
          </w:p>
        </w:tc>
      </w:tr>
      <w:tr>
        <w:trPr/>
        <w:tc>
          <w:tcPr>
            <w:tcW w:w="12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2490" w:type="dxa"/>
            <w:gridSpan w:val="5"/>
            <w:tcBorders>
              <w:bottom w:val="single" w:sz="6" w:space="0" w:color="000000"/>
            </w:tcBorders>
            <w:tcMar>
              <w:bottom w:w="28" w:type="dxa"/>
            </w:tcMar>
            <w:vAlign w:val="center"/>
          </w:tcPr>
          <w:p>
            <w:pPr>
              <w:pStyle w:val="TableContents"/>
              <w:bidi w:val="0"/>
              <w:spacing w:before="0" w:after="283"/>
              <w:jc w:val="center"/>
              <w:rPr/>
            </w:pPr>
            <w:r>
              <w:rPr>
                <w:b/>
                <w:spacing w:val="0"/>
              </w:rPr>
              <w:t>Common Stock</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b/>
                <w:spacing w:val="0"/>
              </w:rPr>
            </w:pPr>
            <w:r>
              <w:rPr>
                <w:b/>
                <w:spacing w:val="0"/>
              </w:rPr>
              <w:t>Paid-in</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400" w:type="dxa"/>
            <w:tcBorders/>
            <w:vAlign w:val="center"/>
          </w:tcPr>
          <w:p>
            <w:pPr>
              <w:pStyle w:val="TableContents"/>
              <w:bidi w:val="0"/>
              <w:spacing w:before="0" w:after="283"/>
              <w:jc w:val="center"/>
              <w:rPr>
                <w:b/>
                <w:spacing w:val="0"/>
              </w:rPr>
            </w:pPr>
            <w:r>
              <w:rPr>
                <w:b/>
                <w:spacing w:val="0"/>
              </w:rPr>
              <w:t>Accumulated</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2555" w:type="dxa"/>
            <w:gridSpan w:val="5"/>
            <w:tcBorders>
              <w:bottom w:val="single" w:sz="6" w:space="0" w:color="000000"/>
            </w:tcBorders>
            <w:tcMar>
              <w:bottom w:w="28" w:type="dxa"/>
            </w:tcMar>
            <w:vAlign w:val="center"/>
          </w:tcPr>
          <w:p>
            <w:pPr>
              <w:pStyle w:val="TableContents"/>
              <w:bidi w:val="0"/>
              <w:spacing w:before="0" w:after="283"/>
              <w:jc w:val="center"/>
              <w:rPr/>
            </w:pPr>
            <w:r>
              <w:rPr>
                <w:b/>
                <w:spacing w:val="0"/>
              </w:rPr>
              <w:t>Treasury Stock</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370" w:type="dxa"/>
            <w:tcBorders/>
            <w:vAlign w:val="center"/>
          </w:tcPr>
          <w:p>
            <w:pPr>
              <w:pStyle w:val="TableContents"/>
              <w:bidi w:val="0"/>
              <w:spacing w:before="0" w:after="283"/>
              <w:jc w:val="center"/>
              <w:rPr>
                <w:b/>
                <w:spacing w:val="0"/>
              </w:rPr>
            </w:pPr>
            <w:r>
              <w:rPr>
                <w:b/>
                <w:spacing w:val="0"/>
              </w:rPr>
              <w:t>Stockholders'</w:t>
            </w:r>
          </w:p>
        </w:tc>
        <w:tc>
          <w:tcPr>
            <w:tcW w:w="230" w:type="dxa"/>
            <w:tcBorders/>
            <w:vAlign w:val="center"/>
          </w:tcPr>
          <w:p>
            <w:pPr>
              <w:pStyle w:val="TableContents"/>
              <w:bidi w:val="0"/>
              <w:spacing w:before="0" w:after="283"/>
              <w:jc w:val="center"/>
              <w:rPr/>
            </w:pPr>
            <w:r>
              <w:rPr/>
              <w:t> </w:t>
            </w:r>
          </w:p>
        </w:tc>
      </w:tr>
      <w:tr>
        <w:trPr/>
        <w:tc>
          <w:tcPr>
            <w:tcW w:w="12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50" w:type="dxa"/>
            <w:tcBorders>
              <w:bottom w:val="single" w:sz="6" w:space="0" w:color="000000"/>
            </w:tcBorders>
            <w:tcMar>
              <w:bottom w:w="28" w:type="dxa"/>
            </w:tcMar>
            <w:vAlign w:val="center"/>
          </w:tcPr>
          <w:p>
            <w:pPr>
              <w:pStyle w:val="TableContents"/>
              <w:bidi w:val="0"/>
              <w:spacing w:before="0" w:after="283"/>
              <w:jc w:val="center"/>
              <w:rPr/>
            </w:pPr>
            <w:r>
              <w:rPr>
                <w:b/>
              </w:rPr>
              <w:t>Shares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90" w:type="dxa"/>
            <w:tcBorders>
              <w:bottom w:val="single" w:sz="6" w:space="0" w:color="000000"/>
            </w:tcBorders>
            <w:tcMar>
              <w:bottom w:w="28" w:type="dxa"/>
            </w:tcMar>
            <w:vAlign w:val="center"/>
          </w:tcPr>
          <w:p>
            <w:pPr>
              <w:pStyle w:val="TableContents"/>
              <w:bidi w:val="0"/>
              <w:spacing w:before="0" w:after="283"/>
              <w:jc w:val="center"/>
              <w:rPr/>
            </w:pPr>
            <w:r>
              <w:rPr>
                <w:b/>
              </w:rPr>
              <w:t>Amount</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6" w:space="0" w:color="000000"/>
            </w:tcBorders>
            <w:tcMar>
              <w:bottom w:w="28" w:type="dxa"/>
            </w:tcMar>
            <w:vAlign w:val="center"/>
          </w:tcPr>
          <w:p>
            <w:pPr>
              <w:pStyle w:val="TableContents"/>
              <w:bidi w:val="0"/>
              <w:spacing w:before="0" w:after="283"/>
              <w:jc w:val="center"/>
              <w:rPr/>
            </w:pPr>
            <w:r>
              <w:rPr>
                <w:b/>
              </w:rPr>
              <w:t>Capital</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00" w:type="dxa"/>
            <w:tcBorders>
              <w:bottom w:val="single" w:sz="6" w:space="0" w:color="000000"/>
            </w:tcBorders>
            <w:tcMar>
              <w:bottom w:w="28" w:type="dxa"/>
            </w:tcMar>
            <w:vAlign w:val="center"/>
          </w:tcPr>
          <w:p>
            <w:pPr>
              <w:pStyle w:val="TableContents"/>
              <w:bidi w:val="0"/>
              <w:spacing w:before="0" w:after="283"/>
              <w:jc w:val="center"/>
              <w:rPr/>
            </w:pPr>
            <w:r>
              <w:rPr>
                <w:b/>
              </w:rPr>
              <w:t>Deficit</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05" w:type="dxa"/>
            <w:tcBorders>
              <w:bottom w:val="single" w:sz="6" w:space="0" w:color="000000"/>
            </w:tcBorders>
            <w:tcMar>
              <w:bottom w:w="28" w:type="dxa"/>
            </w:tcMar>
            <w:vAlign w:val="center"/>
          </w:tcPr>
          <w:p>
            <w:pPr>
              <w:pStyle w:val="TableContents"/>
              <w:bidi w:val="0"/>
              <w:spacing w:before="0" w:after="283"/>
              <w:jc w:val="center"/>
              <w:rPr/>
            </w:pPr>
            <w:r>
              <w:rPr>
                <w:b/>
              </w:rPr>
              <w:t>Shares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5" w:type="dxa"/>
            <w:tcBorders>
              <w:bottom w:val="single" w:sz="6" w:space="0" w:color="000000"/>
            </w:tcBorders>
            <w:tcMar>
              <w:bottom w:w="28" w:type="dxa"/>
            </w:tcMar>
            <w:vAlign w:val="center"/>
          </w:tcPr>
          <w:p>
            <w:pPr>
              <w:pStyle w:val="TableContents"/>
              <w:bidi w:val="0"/>
              <w:spacing w:before="0" w:after="283"/>
              <w:jc w:val="center"/>
              <w:rPr/>
            </w:pPr>
            <w:r>
              <w:rPr>
                <w:b/>
              </w:rPr>
              <w:t>Amount</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370" w:type="dxa"/>
            <w:tcBorders>
              <w:bottom w:val="single" w:sz="6" w:space="0" w:color="000000"/>
            </w:tcBorders>
            <w:tcMar>
              <w:bottom w:w="28" w:type="dxa"/>
            </w:tcMar>
            <w:vAlign w:val="center"/>
          </w:tcPr>
          <w:p>
            <w:pPr>
              <w:pStyle w:val="TableContents"/>
              <w:bidi w:val="0"/>
              <w:spacing w:before="0" w:after="283"/>
              <w:jc w:val="center"/>
              <w:rPr/>
            </w:pPr>
            <w:r>
              <w:rPr>
                <w:b/>
              </w:rPr>
              <w:t>Equity</w:t>
            </w:r>
            <w:r>
              <w:rPr/>
              <w:t xml:space="preserve"> </w:t>
            </w:r>
          </w:p>
        </w:tc>
        <w:tc>
          <w:tcPr>
            <w:tcW w:w="230" w:type="dxa"/>
            <w:tcBorders/>
            <w:vAlign w:val="center"/>
          </w:tcPr>
          <w:p>
            <w:pPr>
              <w:pStyle w:val="TableContents"/>
              <w:bidi w:val="0"/>
              <w:spacing w:before="0" w:after="283"/>
              <w:jc w:val="center"/>
              <w:rPr/>
            </w:pPr>
            <w:r>
              <w:rPr/>
              <w:t> </w:t>
            </w:r>
          </w:p>
        </w:tc>
      </w:tr>
      <w:tr>
        <w:trPr/>
        <w:tc>
          <w:tcPr>
            <w:tcW w:w="1226" w:type="dxa"/>
            <w:tcBorders/>
            <w:shd w:fill="CCEEFF" w:val="clear"/>
            <w:vAlign w:val="center"/>
          </w:tcPr>
          <w:p>
            <w:pPr>
              <w:pStyle w:val="TableContents"/>
              <w:bidi w:val="0"/>
              <w:spacing w:before="0" w:after="0"/>
              <w:ind w:left="0" w:right="0" w:hanging="144"/>
              <w:jc w:val="left"/>
              <w:rPr/>
            </w:pPr>
            <w:r>
              <w:rPr>
                <w:b/>
              </w:rPr>
              <w:t>Balance at December 31, 2025</w:t>
            </w:r>
            <w:r>
              <w:rPr/>
              <w:t xml:space="preserve">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239,793,566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671,039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(161,653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(1,919,070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(32,090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477,320</w:t>
            </w:r>
          </w:p>
        </w:tc>
        <w:tc>
          <w:tcPr>
            <w:tcW w:w="230" w:type="dxa"/>
            <w:tcBorders/>
            <w:shd w:fill="CCEEFF" w:val="clear"/>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0"/>
              <w:ind w:left="0" w:right="0" w:hanging="144"/>
              <w:jc w:val="left"/>
              <w:rPr/>
            </w:pPr>
            <w:r>
              <w:rPr/>
              <w:t xml:space="preserve">Stock-based compensation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6,329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6,329</w:t>
            </w:r>
          </w:p>
        </w:tc>
        <w:tc>
          <w:tcPr>
            <w:tcW w:w="230" w:type="dxa"/>
            <w:tcBorders/>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t xml:space="preserve">Cashless exercise of warrants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xml:space="preserve">- </w:t>
            </w:r>
          </w:p>
        </w:tc>
        <w:tc>
          <w:tcPr>
            <w:tcW w:w="230" w:type="dxa"/>
            <w:tcBorders/>
            <w:shd w:fill="CCEEFF" w:val="clear"/>
            <w:vAlign w:val="center"/>
          </w:tcPr>
          <w:p>
            <w:pPr>
              <w:pStyle w:val="TableContents"/>
              <w:bidi w:val="0"/>
              <w:spacing w:before="0" w:after="283"/>
              <w:ind w:left="0" w:right="0" w:hanging="150"/>
              <w:jc w:val="left"/>
              <w:rPr/>
            </w:pPr>
            <w:r>
              <w:rPr/>
              <w:t> </w:t>
            </w:r>
          </w:p>
        </w:tc>
      </w:tr>
      <w:tr>
        <w:trPr/>
        <w:tc>
          <w:tcPr>
            <w:tcW w:w="1226" w:type="dxa"/>
            <w:tcBorders/>
            <w:vAlign w:val="center"/>
          </w:tcPr>
          <w:p>
            <w:pPr>
              <w:pStyle w:val="TableContents"/>
              <w:bidi w:val="0"/>
              <w:spacing w:before="0" w:after="0"/>
              <w:jc w:val="left"/>
              <w:rPr/>
            </w:pPr>
            <w:r>
              <w:rPr/>
              <w:t xml:space="preserve">Vesting of Restricted Stock Units, net of shares withheld for taxes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979,735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(8,362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(8,362</w:t>
            </w:r>
          </w:p>
        </w:tc>
        <w:tc>
          <w:tcPr>
            <w:tcW w:w="230" w:type="dxa"/>
            <w:tcBorders/>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t xml:space="preserve">Exercise of stock options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188,902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588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588</w:t>
            </w:r>
          </w:p>
        </w:tc>
        <w:tc>
          <w:tcPr>
            <w:tcW w:w="230" w:type="dxa"/>
            <w:tcBorders/>
            <w:shd w:fill="CCEEFF" w:val="clear"/>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0"/>
              <w:ind w:left="0" w:right="0" w:hanging="144"/>
              <w:jc w:val="left"/>
              <w:rPr/>
            </w:pPr>
            <w:r>
              <w:rPr/>
              <w:t xml:space="preserve">Acquisition of treasury stock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(19,798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(6,754,156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(111,080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(130,878</w:t>
            </w:r>
          </w:p>
        </w:tc>
        <w:tc>
          <w:tcPr>
            <w:tcW w:w="230" w:type="dxa"/>
            <w:tcBorders/>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t xml:space="preserve">Net income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6" w:space="0" w:color="000000"/>
            </w:tcBorders>
            <w:shd w:fill="CCEEFF" w:val="clear"/>
            <w:tcMar>
              <w:bottom w:w="28" w:type="dxa"/>
            </w:tcMar>
            <w:vAlign w:val="center"/>
          </w:tcPr>
          <w:p>
            <w:pPr>
              <w:pStyle w:val="TableContents"/>
              <w:bidi w:val="0"/>
              <w:spacing w:before="0" w:after="283"/>
              <w:jc w:val="right"/>
              <w:rPr/>
            </w:pPr>
            <w:r>
              <w:rPr/>
              <w:t>45,328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6" w:space="0" w:color="000000"/>
            </w:tcBorders>
            <w:shd w:fill="CCEEFF" w:val="clear"/>
            <w:tcMar>
              <w:bottom w:w="28" w:type="dxa"/>
            </w:tcMar>
            <w:vAlign w:val="center"/>
          </w:tcPr>
          <w:p>
            <w:pPr>
              <w:pStyle w:val="TableContents"/>
              <w:bidi w:val="0"/>
              <w:spacing w:before="0" w:after="283"/>
              <w:jc w:val="right"/>
              <w:rPr/>
            </w:pPr>
            <w:r>
              <w:rPr/>
              <w:t>45,328</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0"/>
              <w:ind w:left="0" w:right="0" w:hanging="144"/>
              <w:jc w:val="left"/>
              <w:rPr/>
            </w:pPr>
            <w:r>
              <w:rPr>
                <w:b/>
              </w:rPr>
              <w:t>Balance at March 31, 2026</w:t>
            </w:r>
            <w:r>
              <w:rPr/>
              <w:t xml:space="preserv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240,962,203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right"/>
              <w:rPr/>
            </w:pPr>
            <w:r>
              <w:rPr/>
              <w:t>24</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right"/>
              <w:rPr/>
            </w:pPr>
            <w:r>
              <w:rPr/>
              <w:t>649,796</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right"/>
              <w:rPr/>
            </w:pPr>
            <w:r>
              <w:rPr/>
              <w:t>(116,325</w:t>
            </w:r>
          </w:p>
        </w:tc>
        <w:tc>
          <w:tcPr>
            <w:tcW w:w="18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(8,673,226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right"/>
              <w:rPr/>
            </w:pPr>
            <w:r>
              <w:rPr/>
              <w:t>(143,170</w:t>
            </w:r>
          </w:p>
        </w:tc>
        <w:tc>
          <w:tcPr>
            <w:tcW w:w="18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right"/>
              <w:rPr/>
            </w:pPr>
            <w:r>
              <w:rPr/>
              <w:t>390,325</w:t>
            </w:r>
          </w:p>
        </w:tc>
        <w:tc>
          <w:tcPr>
            <w:tcW w:w="230" w:type="dxa"/>
            <w:tcBorders/>
            <w:vAlign w:val="center"/>
          </w:tcPr>
          <w:p>
            <w:pPr>
              <w:pStyle w:val="TableContents"/>
              <w:bidi w:val="0"/>
              <w:spacing w:before="0" w:after="283"/>
              <w:jc w:val="left"/>
              <w:rPr>
                <w:sz w:val="4"/>
                <w:szCs w:val="4"/>
              </w:rPr>
            </w:pPr>
            <w:r>
              <w:rPr>
                <w:sz w:val="4"/>
                <w:szCs w:val="4"/>
              </w:rPr>
            </w:r>
          </w:p>
        </w:tc>
      </w:tr>
      <w:tr>
        <w:trPr/>
        <w:tc>
          <w:tcPr>
            <w:tcW w:w="1226" w:type="dxa"/>
            <w:tcBorders/>
            <w:shd w:fill="CCEEFF" w:val="clear"/>
            <w:vAlign w:val="center"/>
          </w:tcPr>
          <w:p>
            <w:pPr>
              <w:pStyle w:val="TableContents"/>
              <w:bidi w:val="0"/>
              <w:spacing w:before="0" w:after="0"/>
              <w:ind w:left="0" w:right="0" w:hanging="144"/>
              <w:jc w:val="left"/>
              <w:rPr/>
            </w:pPr>
            <w:r>
              <w:rPr/>
              <w:t xml:space="preserve">Stock-based compensation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6,135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6,135</w:t>
            </w:r>
          </w:p>
        </w:tc>
        <w:tc>
          <w:tcPr>
            <w:tcW w:w="230" w:type="dxa"/>
            <w:tcBorders/>
            <w:shd w:fill="CCEEFF" w:val="clear"/>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0"/>
              <w:ind w:left="0" w:right="0" w:hanging="144"/>
              <w:jc w:val="left"/>
              <w:rPr/>
            </w:pPr>
            <w:r>
              <w:rPr/>
              <w:t xml:space="preserve">Cashless exercise of warrants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xml:space="preserve">- </w:t>
            </w:r>
          </w:p>
        </w:tc>
        <w:tc>
          <w:tcPr>
            <w:tcW w:w="230" w:type="dxa"/>
            <w:tcBorders/>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t xml:space="preserve">Vesting of Restricted Stock Units, net of shares withheld for taxes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111,079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(625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(625</w:t>
            </w:r>
          </w:p>
        </w:tc>
        <w:tc>
          <w:tcPr>
            <w:tcW w:w="230" w:type="dxa"/>
            <w:tcBorders/>
            <w:shd w:fill="CCEEFF" w:val="clear"/>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0"/>
              <w:ind w:left="0" w:right="0" w:hanging="144"/>
              <w:jc w:val="left"/>
              <w:rPr/>
            </w:pPr>
            <w:r>
              <w:rPr/>
              <w:t xml:space="preserve">Exercise of stock options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16,710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35</w:t>
            </w:r>
          </w:p>
        </w:tc>
        <w:tc>
          <w:tcPr>
            <w:tcW w:w="230" w:type="dxa"/>
            <w:tcBorders/>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t xml:space="preserve">Acquisition of treasury stock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19,798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(7,061,538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(45,282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(25,484</w:t>
            </w:r>
          </w:p>
        </w:tc>
        <w:tc>
          <w:tcPr>
            <w:tcW w:w="230" w:type="dxa"/>
            <w:tcBorders/>
            <w:shd w:fill="CCEEFF" w:val="clear"/>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0"/>
              <w:ind w:left="0" w:right="0" w:hanging="144"/>
              <w:jc w:val="left"/>
              <w:rPr/>
            </w:pPr>
            <w:r>
              <w:rPr/>
              <w:t xml:space="preserve">Net income </w:t>
            </w:r>
          </w:p>
        </w:tc>
        <w:tc>
          <w:tcPr>
            <w:tcW w:w="90" w:type="dxa"/>
            <w:tcBorders/>
            <w:vAlign w:val="center"/>
          </w:tcPr>
          <w:p>
            <w:pPr>
              <w:pStyle w:val="TableContents"/>
              <w:bidi w:val="0"/>
              <w:spacing w:before="0" w:after="283"/>
              <w:jc w:val="righ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0" w:type="dxa"/>
            <w:tcBorders>
              <w:bottom w:val="single" w:sz="6" w:space="0" w:color="000000"/>
            </w:tcBorders>
            <w:tcMar>
              <w:bottom w:w="28" w:type="dxa"/>
            </w:tcMar>
            <w:vAlign w:val="center"/>
          </w:tcPr>
          <w:p>
            <w:pPr>
              <w:pStyle w:val="TableContents"/>
              <w:bidi w:val="0"/>
              <w:spacing w:before="0" w:after="283"/>
              <w:jc w:val="right"/>
              <w:rPr/>
            </w:pPr>
            <w:r>
              <w:rPr/>
              <w:t>37,822</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70" w:type="dxa"/>
            <w:tcBorders>
              <w:bottom w:val="single" w:sz="6" w:space="0" w:color="000000"/>
            </w:tcBorders>
            <w:tcMar>
              <w:bottom w:w="28" w:type="dxa"/>
            </w:tcMar>
            <w:vAlign w:val="center"/>
          </w:tcPr>
          <w:p>
            <w:pPr>
              <w:pStyle w:val="TableContents"/>
              <w:bidi w:val="0"/>
              <w:spacing w:before="0" w:after="283"/>
              <w:jc w:val="right"/>
              <w:rPr/>
            </w:pPr>
            <w:r>
              <w:rPr/>
              <w:t>37,822</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b/>
              </w:rPr>
              <w:t>Balance at June 30, 2026</w:t>
            </w:r>
            <w:r>
              <w:rPr/>
              <w:t xml:space="preserve">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right"/>
              <w:rPr/>
            </w:pPr>
            <w:r>
              <w:rPr/>
              <w:t>241,089,992</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single" w:sz="6" w:space="0" w:color="000000"/>
            </w:tcBorders>
            <w:shd w:fill="CCEEFF" w:val="clear"/>
            <w:tcMar>
              <w:bottom w:w="28" w:type="dxa"/>
            </w:tcMar>
            <w:vAlign w:val="center"/>
          </w:tcPr>
          <w:p>
            <w:pPr>
              <w:pStyle w:val="TableContents"/>
              <w:bidi w:val="0"/>
              <w:spacing w:before="0" w:after="283"/>
              <w:jc w:val="right"/>
              <w:rPr/>
            </w:pPr>
            <w:r>
              <w:rPr/>
              <w:t>24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6" w:space="0" w:color="000000"/>
            </w:tcBorders>
            <w:shd w:fill="CCEEFF" w:val="clear"/>
            <w:tcMar>
              <w:bottom w:w="28" w:type="dxa"/>
            </w:tcMar>
            <w:vAlign w:val="center"/>
          </w:tcPr>
          <w:p>
            <w:pPr>
              <w:pStyle w:val="TableContents"/>
              <w:bidi w:val="0"/>
              <w:spacing w:before="0" w:after="283"/>
              <w:jc w:val="right"/>
              <w:rPr/>
            </w:pPr>
            <w:r>
              <w:rPr/>
              <w:t>675,139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single" w:sz="6" w:space="0" w:color="000000"/>
            </w:tcBorders>
            <w:shd w:fill="CCEEFF" w:val="clear"/>
            <w:tcMar>
              <w:bottom w:w="28" w:type="dxa"/>
            </w:tcMar>
            <w:vAlign w:val="center"/>
          </w:tcPr>
          <w:p>
            <w:pPr>
              <w:pStyle w:val="TableContents"/>
              <w:bidi w:val="0"/>
              <w:spacing w:before="0" w:after="283"/>
              <w:jc w:val="right"/>
              <w:rPr/>
            </w:pPr>
            <w:r>
              <w:rPr/>
              <w:t>(78,503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shd w:fill="CCEEFF" w:val="clear"/>
            <w:tcMar>
              <w:bottom w:w="28" w:type="dxa"/>
            </w:tcMar>
            <w:vAlign w:val="center"/>
          </w:tcPr>
          <w:p>
            <w:pPr>
              <w:pStyle w:val="TableContents"/>
              <w:bidi w:val="0"/>
              <w:spacing w:before="0" w:after="283"/>
              <w:jc w:val="right"/>
              <w:rPr/>
            </w:pPr>
            <w:r>
              <w:rPr/>
              <w:t>(15,734,764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single" w:sz="6" w:space="0" w:color="000000"/>
            </w:tcBorders>
            <w:shd w:fill="CCEEFF" w:val="clear"/>
            <w:tcMar>
              <w:bottom w:w="28" w:type="dxa"/>
            </w:tcMar>
            <w:vAlign w:val="center"/>
          </w:tcPr>
          <w:p>
            <w:pPr>
              <w:pStyle w:val="TableContents"/>
              <w:bidi w:val="0"/>
              <w:spacing w:before="0" w:after="283"/>
              <w:jc w:val="right"/>
              <w:rPr/>
            </w:pPr>
            <w:r>
              <w:rPr/>
              <w:t>(188,452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370" w:type="dxa"/>
            <w:tcBorders>
              <w:bottom w:val="single" w:sz="6" w:space="0" w:color="000000"/>
            </w:tcBorders>
            <w:shd w:fill="CCEEFF" w:val="clear"/>
            <w:tcMar>
              <w:bottom w:w="28" w:type="dxa"/>
            </w:tcMar>
            <w:vAlign w:val="center"/>
          </w:tcPr>
          <w:p>
            <w:pPr>
              <w:pStyle w:val="TableContents"/>
              <w:bidi w:val="0"/>
              <w:spacing w:before="0" w:after="283"/>
              <w:jc w:val="right"/>
              <w:rPr/>
            </w:pPr>
            <w:r>
              <w:rPr/>
              <w:t>408,208</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11871" w:type="dxa"/>
        <w:jc w:val="left"/>
        <w:tblInd w:w="0" w:type="dxa"/>
        <w:tblLayout w:type="fixed"/>
        <w:tblCellMar>
          <w:top w:w="0" w:type="dxa"/>
          <w:left w:w="0" w:type="dxa"/>
          <w:bottom w:w="0" w:type="dxa"/>
          <w:right w:w="0" w:type="dxa"/>
        </w:tblCellMar>
      </w:tblPr>
      <w:tblGrid>
        <w:gridCol w:w="1226"/>
        <w:gridCol w:w="90"/>
        <w:gridCol w:w="90"/>
        <w:gridCol w:w="1250"/>
        <w:gridCol w:w="90"/>
        <w:gridCol w:w="90"/>
        <w:gridCol w:w="170"/>
        <w:gridCol w:w="890"/>
        <w:gridCol w:w="90"/>
        <w:gridCol w:w="90"/>
        <w:gridCol w:w="170"/>
        <w:gridCol w:w="1130"/>
        <w:gridCol w:w="185"/>
        <w:gridCol w:w="90"/>
        <w:gridCol w:w="170"/>
        <w:gridCol w:w="1400"/>
        <w:gridCol w:w="185"/>
        <w:gridCol w:w="90"/>
        <w:gridCol w:w="90"/>
        <w:gridCol w:w="905"/>
        <w:gridCol w:w="185"/>
        <w:gridCol w:w="90"/>
        <w:gridCol w:w="170"/>
        <w:gridCol w:w="890"/>
        <w:gridCol w:w="185"/>
        <w:gridCol w:w="90"/>
        <w:gridCol w:w="170"/>
        <w:gridCol w:w="1370"/>
        <w:gridCol w:w="230"/>
      </w:tblGrid>
      <w:tr>
        <w:trPr/>
        <w:tc>
          <w:tcPr>
            <w:tcW w:w="12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1641" w:type="dxa"/>
            <w:gridSpan w:val="28"/>
            <w:tcBorders>
              <w:bottom w:val="single" w:sz="6" w:space="0" w:color="000000"/>
            </w:tcBorders>
            <w:tcMar>
              <w:bottom w:w="28" w:type="dxa"/>
            </w:tcMar>
            <w:vAlign w:val="center"/>
          </w:tcPr>
          <w:p>
            <w:pPr>
              <w:pStyle w:val="TableContents"/>
              <w:bidi w:val="0"/>
              <w:spacing w:before="0" w:after="283"/>
              <w:jc w:val="center"/>
              <w:rPr/>
            </w:pPr>
            <w:r>
              <w:rPr>
                <w:b/>
                <w:spacing w:val="0"/>
                <w:sz w:val="20"/>
              </w:rPr>
              <w:t>For the Three and Six Months Ended June 30, 2025</w:t>
            </w:r>
            <w:r>
              <w:rPr/>
              <w:t xml:space="preserve">  </w:t>
            </w:r>
          </w:p>
        </w:tc>
        <w:tc>
          <w:tcPr>
            <w:tcW w:w="230" w:type="dxa"/>
            <w:tcBorders/>
            <w:vAlign w:val="center"/>
          </w:tcPr>
          <w:p>
            <w:pPr>
              <w:pStyle w:val="TableContents"/>
              <w:bidi w:val="0"/>
              <w:spacing w:before="0" w:after="283"/>
              <w:jc w:val="center"/>
              <w:rPr/>
            </w:pPr>
            <w:r>
              <w:rPr/>
              <w:t> </w:t>
            </w:r>
          </w:p>
        </w:tc>
      </w:tr>
      <w:tr>
        <w:trPr/>
        <w:tc>
          <w:tcPr>
            <w:tcW w:w="12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pPr>
            <w:r>
              <w:rPr>
                <w:b/>
              </w:rPr>
              <w:t>Additional</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370" w:type="dxa"/>
            <w:tcBorders/>
            <w:vAlign w:val="center"/>
          </w:tcPr>
          <w:p>
            <w:pPr>
              <w:pStyle w:val="TableContents"/>
              <w:bidi w:val="0"/>
              <w:spacing w:before="0" w:after="283"/>
              <w:jc w:val="center"/>
              <w:rPr/>
            </w:pPr>
            <w:r>
              <w:rPr>
                <w:b/>
              </w:rPr>
              <w:t>Total</w:t>
            </w:r>
            <w:r>
              <w:rPr/>
              <w:t xml:space="preserve"> </w:t>
            </w:r>
          </w:p>
        </w:tc>
        <w:tc>
          <w:tcPr>
            <w:tcW w:w="230" w:type="dxa"/>
            <w:tcBorders/>
            <w:vAlign w:val="center"/>
          </w:tcPr>
          <w:p>
            <w:pPr>
              <w:pStyle w:val="TableContents"/>
              <w:bidi w:val="0"/>
              <w:spacing w:before="0" w:after="283"/>
              <w:jc w:val="center"/>
              <w:rPr/>
            </w:pPr>
            <w:r>
              <w:rPr/>
              <w:t> </w:t>
            </w:r>
          </w:p>
        </w:tc>
      </w:tr>
      <w:tr>
        <w:trPr/>
        <w:tc>
          <w:tcPr>
            <w:tcW w:w="12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2490" w:type="dxa"/>
            <w:gridSpan w:val="5"/>
            <w:tcBorders>
              <w:bottom w:val="single" w:sz="6" w:space="0" w:color="000000"/>
            </w:tcBorders>
            <w:tcMar>
              <w:bottom w:w="28" w:type="dxa"/>
            </w:tcMar>
            <w:vAlign w:val="center"/>
          </w:tcPr>
          <w:p>
            <w:pPr>
              <w:pStyle w:val="TableContents"/>
              <w:bidi w:val="0"/>
              <w:spacing w:before="0" w:after="283"/>
              <w:jc w:val="center"/>
              <w:rPr/>
            </w:pPr>
            <w:r>
              <w:rPr>
                <w:b/>
                <w:spacing w:val="0"/>
              </w:rPr>
              <w:t>Common Stock</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b/>
                <w:spacing w:val="0"/>
              </w:rPr>
            </w:pPr>
            <w:r>
              <w:rPr>
                <w:b/>
                <w:spacing w:val="0"/>
              </w:rPr>
              <w:t>Paid-in</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400" w:type="dxa"/>
            <w:tcBorders/>
            <w:vAlign w:val="center"/>
          </w:tcPr>
          <w:p>
            <w:pPr>
              <w:pStyle w:val="TableContents"/>
              <w:bidi w:val="0"/>
              <w:spacing w:before="0" w:after="283"/>
              <w:jc w:val="center"/>
              <w:rPr>
                <w:b/>
                <w:spacing w:val="0"/>
              </w:rPr>
            </w:pPr>
            <w:r>
              <w:rPr>
                <w:b/>
                <w:spacing w:val="0"/>
              </w:rPr>
              <w:t>Accumulated</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2240" w:type="dxa"/>
            <w:gridSpan w:val="5"/>
            <w:tcBorders>
              <w:bottom w:val="single" w:sz="6" w:space="0" w:color="000000"/>
            </w:tcBorders>
            <w:tcMar>
              <w:bottom w:w="28" w:type="dxa"/>
            </w:tcMar>
            <w:vAlign w:val="center"/>
          </w:tcPr>
          <w:p>
            <w:pPr>
              <w:pStyle w:val="TableContents"/>
              <w:bidi w:val="0"/>
              <w:spacing w:before="0" w:after="283"/>
              <w:jc w:val="center"/>
              <w:rPr/>
            </w:pPr>
            <w:r>
              <w:rPr>
                <w:b/>
                <w:spacing w:val="0"/>
              </w:rPr>
              <w:t>Treasury Stock</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370" w:type="dxa"/>
            <w:tcBorders/>
            <w:vAlign w:val="center"/>
          </w:tcPr>
          <w:p>
            <w:pPr>
              <w:pStyle w:val="TableContents"/>
              <w:bidi w:val="0"/>
              <w:spacing w:before="0" w:after="283"/>
              <w:jc w:val="center"/>
              <w:rPr>
                <w:b/>
                <w:spacing w:val="0"/>
              </w:rPr>
            </w:pPr>
            <w:r>
              <w:rPr>
                <w:b/>
                <w:spacing w:val="0"/>
              </w:rPr>
              <w:t>Stockholders'</w:t>
            </w:r>
          </w:p>
        </w:tc>
        <w:tc>
          <w:tcPr>
            <w:tcW w:w="230" w:type="dxa"/>
            <w:tcBorders/>
            <w:vAlign w:val="center"/>
          </w:tcPr>
          <w:p>
            <w:pPr>
              <w:pStyle w:val="TableContents"/>
              <w:bidi w:val="0"/>
              <w:spacing w:before="0" w:after="283"/>
              <w:jc w:val="center"/>
              <w:rPr/>
            </w:pPr>
            <w:r>
              <w:rPr/>
              <w:t> </w:t>
            </w:r>
          </w:p>
        </w:tc>
      </w:tr>
      <w:tr>
        <w:trPr/>
        <w:tc>
          <w:tcPr>
            <w:tcW w:w="12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50" w:type="dxa"/>
            <w:tcBorders>
              <w:bottom w:val="single" w:sz="6" w:space="0" w:color="000000"/>
            </w:tcBorders>
            <w:tcMar>
              <w:bottom w:w="28" w:type="dxa"/>
            </w:tcMar>
            <w:vAlign w:val="center"/>
          </w:tcPr>
          <w:p>
            <w:pPr>
              <w:pStyle w:val="TableContents"/>
              <w:bidi w:val="0"/>
              <w:spacing w:before="0" w:after="283"/>
              <w:jc w:val="center"/>
              <w:rPr/>
            </w:pPr>
            <w:r>
              <w:rPr>
                <w:b/>
              </w:rPr>
              <w:t>Shares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90" w:type="dxa"/>
            <w:tcBorders>
              <w:bottom w:val="single" w:sz="6" w:space="0" w:color="000000"/>
            </w:tcBorders>
            <w:tcMar>
              <w:bottom w:w="28" w:type="dxa"/>
            </w:tcMar>
            <w:vAlign w:val="center"/>
          </w:tcPr>
          <w:p>
            <w:pPr>
              <w:pStyle w:val="TableContents"/>
              <w:bidi w:val="0"/>
              <w:spacing w:before="0" w:after="283"/>
              <w:jc w:val="center"/>
              <w:rPr/>
            </w:pPr>
            <w:r>
              <w:rPr>
                <w:b/>
              </w:rPr>
              <w:t>Amount</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6" w:space="0" w:color="000000"/>
            </w:tcBorders>
            <w:tcMar>
              <w:bottom w:w="28" w:type="dxa"/>
            </w:tcMar>
            <w:vAlign w:val="center"/>
          </w:tcPr>
          <w:p>
            <w:pPr>
              <w:pStyle w:val="TableContents"/>
              <w:bidi w:val="0"/>
              <w:spacing w:before="0" w:after="283"/>
              <w:jc w:val="center"/>
              <w:rPr/>
            </w:pPr>
            <w:r>
              <w:rPr>
                <w:b/>
              </w:rPr>
              <w:t>Capital</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00" w:type="dxa"/>
            <w:tcBorders>
              <w:bottom w:val="single" w:sz="6" w:space="0" w:color="000000"/>
            </w:tcBorders>
            <w:tcMar>
              <w:bottom w:w="28" w:type="dxa"/>
            </w:tcMar>
            <w:vAlign w:val="center"/>
          </w:tcPr>
          <w:p>
            <w:pPr>
              <w:pStyle w:val="TableContents"/>
              <w:bidi w:val="0"/>
              <w:spacing w:before="0" w:after="283"/>
              <w:jc w:val="center"/>
              <w:rPr/>
            </w:pPr>
            <w:r>
              <w:rPr>
                <w:b/>
              </w:rPr>
              <w:t>Deficit</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5" w:type="dxa"/>
            <w:tcBorders>
              <w:bottom w:val="single" w:sz="6" w:space="0" w:color="000000"/>
            </w:tcBorders>
            <w:tcMar>
              <w:bottom w:w="28" w:type="dxa"/>
            </w:tcMar>
            <w:vAlign w:val="center"/>
          </w:tcPr>
          <w:p>
            <w:pPr>
              <w:pStyle w:val="TableContents"/>
              <w:bidi w:val="0"/>
              <w:spacing w:before="0" w:after="283"/>
              <w:jc w:val="center"/>
              <w:rPr/>
            </w:pPr>
            <w:r>
              <w:rPr>
                <w:b/>
              </w:rPr>
              <w:t>Shares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90" w:type="dxa"/>
            <w:tcBorders>
              <w:bottom w:val="single" w:sz="6" w:space="0" w:color="000000"/>
            </w:tcBorders>
            <w:tcMar>
              <w:bottom w:w="28" w:type="dxa"/>
            </w:tcMar>
            <w:vAlign w:val="center"/>
          </w:tcPr>
          <w:p>
            <w:pPr>
              <w:pStyle w:val="TableContents"/>
              <w:bidi w:val="0"/>
              <w:spacing w:before="0" w:after="283"/>
              <w:jc w:val="center"/>
              <w:rPr/>
            </w:pPr>
            <w:r>
              <w:rPr>
                <w:b/>
              </w:rPr>
              <w:t>Amount</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370" w:type="dxa"/>
            <w:tcBorders>
              <w:bottom w:val="single" w:sz="6" w:space="0" w:color="000000"/>
            </w:tcBorders>
            <w:tcMar>
              <w:bottom w:w="28" w:type="dxa"/>
            </w:tcMar>
            <w:vAlign w:val="center"/>
          </w:tcPr>
          <w:p>
            <w:pPr>
              <w:pStyle w:val="TableContents"/>
              <w:bidi w:val="0"/>
              <w:spacing w:before="0" w:after="283"/>
              <w:jc w:val="center"/>
              <w:rPr/>
            </w:pPr>
            <w:r>
              <w:rPr>
                <w:b/>
              </w:rPr>
              <w:t>Equity</w:t>
            </w:r>
            <w:r>
              <w:rPr/>
              <w:t xml:space="preserve"> </w:t>
            </w:r>
          </w:p>
        </w:tc>
        <w:tc>
          <w:tcPr>
            <w:tcW w:w="230" w:type="dxa"/>
            <w:tcBorders/>
            <w:vAlign w:val="center"/>
          </w:tcPr>
          <w:p>
            <w:pPr>
              <w:pStyle w:val="TableContents"/>
              <w:bidi w:val="0"/>
              <w:spacing w:before="0" w:after="283"/>
              <w:jc w:val="center"/>
              <w:rPr/>
            </w:pPr>
            <w:r>
              <w:rPr/>
              <w:t> </w:t>
            </w:r>
          </w:p>
        </w:tc>
      </w:tr>
      <w:tr>
        <w:trPr/>
        <w:tc>
          <w:tcPr>
            <w:tcW w:w="1226" w:type="dxa"/>
            <w:tcBorders/>
            <w:shd w:fill="CCEEFF" w:val="clear"/>
            <w:vAlign w:val="center"/>
          </w:tcPr>
          <w:p>
            <w:pPr>
              <w:pStyle w:val="TableContents"/>
              <w:bidi w:val="0"/>
              <w:spacing w:before="0" w:after="0"/>
              <w:ind w:left="0" w:right="0" w:hanging="144"/>
              <w:jc w:val="left"/>
              <w:rPr/>
            </w:pPr>
            <w:r>
              <w:rPr>
                <w:b/>
              </w:rPr>
              <w:t>Balance at December 31, 2024</w:t>
            </w:r>
            <w:r>
              <w:rPr/>
              <w:t xml:space="preserve">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236,620,545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657,577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(308,583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349,018</w:t>
            </w:r>
          </w:p>
        </w:tc>
        <w:tc>
          <w:tcPr>
            <w:tcW w:w="230" w:type="dxa"/>
            <w:tcBorders/>
            <w:shd w:fill="CCEEFF" w:val="clear"/>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0"/>
              <w:ind w:left="0" w:right="0" w:hanging="144"/>
              <w:jc w:val="left"/>
              <w:rPr/>
            </w:pPr>
            <w:r>
              <w:rPr/>
              <w:t xml:space="preserve">Stock-based compensation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4,624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4,624</w:t>
            </w:r>
          </w:p>
        </w:tc>
        <w:tc>
          <w:tcPr>
            <w:tcW w:w="230" w:type="dxa"/>
            <w:tcBorders/>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t xml:space="preserve">Cashless exercise of warrants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866,302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xml:space="preserve">- </w:t>
            </w:r>
          </w:p>
        </w:tc>
        <w:tc>
          <w:tcPr>
            <w:tcW w:w="230" w:type="dxa"/>
            <w:tcBorders/>
            <w:shd w:fill="CCEEFF" w:val="clear"/>
            <w:vAlign w:val="center"/>
          </w:tcPr>
          <w:p>
            <w:pPr>
              <w:pStyle w:val="TableContents"/>
              <w:bidi w:val="0"/>
              <w:spacing w:before="0" w:after="283"/>
              <w:ind w:left="0" w:right="0" w:hanging="150"/>
              <w:jc w:val="left"/>
              <w:rPr/>
            </w:pPr>
            <w:r>
              <w:rPr/>
              <w:t> </w:t>
            </w:r>
          </w:p>
        </w:tc>
      </w:tr>
      <w:tr>
        <w:trPr/>
        <w:tc>
          <w:tcPr>
            <w:tcW w:w="1226" w:type="dxa"/>
            <w:tcBorders/>
            <w:vAlign w:val="center"/>
          </w:tcPr>
          <w:p>
            <w:pPr>
              <w:pStyle w:val="TableContents"/>
              <w:bidi w:val="0"/>
              <w:spacing w:before="0" w:after="0"/>
              <w:jc w:val="left"/>
              <w:rPr/>
            </w:pPr>
            <w:r>
              <w:rPr/>
              <w:t xml:space="preserve">Vesting of Restricted Stock Units, net of shares withheld for taxes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1,016,005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(7,228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(7,228</w:t>
            </w:r>
          </w:p>
        </w:tc>
        <w:tc>
          <w:tcPr>
            <w:tcW w:w="230" w:type="dxa"/>
            <w:tcBorders/>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t xml:space="preserve">Exercise of stock options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29,400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101</w:t>
            </w:r>
          </w:p>
        </w:tc>
        <w:tc>
          <w:tcPr>
            <w:tcW w:w="230" w:type="dxa"/>
            <w:tcBorders/>
            <w:shd w:fill="CCEEFF" w:val="clear"/>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0"/>
              <w:ind w:left="0" w:right="0" w:hanging="144"/>
              <w:jc w:val="left"/>
              <w:rPr/>
            </w:pPr>
            <w:r>
              <w:rPr/>
              <w:t xml:space="preserve">Net income </w:t>
            </w:r>
          </w:p>
        </w:tc>
        <w:tc>
          <w:tcPr>
            <w:tcW w:w="90" w:type="dxa"/>
            <w:tcBorders/>
            <w:vAlign w:val="center"/>
          </w:tcPr>
          <w:p>
            <w:pPr>
              <w:pStyle w:val="TableContents"/>
              <w:bidi w:val="0"/>
              <w:spacing w:before="0" w:after="283"/>
              <w:jc w:val="righ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0" w:type="dxa"/>
            <w:tcBorders>
              <w:bottom w:val="single" w:sz="6" w:space="0" w:color="000000"/>
            </w:tcBorders>
            <w:tcMar>
              <w:bottom w:w="28" w:type="dxa"/>
            </w:tcMar>
            <w:vAlign w:val="center"/>
          </w:tcPr>
          <w:p>
            <w:pPr>
              <w:pStyle w:val="TableContents"/>
              <w:bidi w:val="0"/>
              <w:spacing w:before="0" w:after="283"/>
              <w:jc w:val="right"/>
              <w:rPr/>
            </w:pPr>
            <w:r>
              <w:rPr/>
              <w:t>26,904</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70" w:type="dxa"/>
            <w:tcBorders>
              <w:bottom w:val="single" w:sz="6" w:space="0" w:color="000000"/>
            </w:tcBorders>
            <w:tcMar>
              <w:bottom w:w="28" w:type="dxa"/>
            </w:tcMar>
            <w:vAlign w:val="center"/>
          </w:tcPr>
          <w:p>
            <w:pPr>
              <w:pStyle w:val="TableContents"/>
              <w:bidi w:val="0"/>
              <w:spacing w:before="0" w:after="283"/>
              <w:jc w:val="right"/>
              <w:rPr/>
            </w:pPr>
            <w:r>
              <w:rPr/>
              <w:t>26,904</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b/>
              </w:rPr>
              <w:t>Balance at March 31, 2025</w:t>
            </w:r>
            <w:r>
              <w:rPr/>
              <w:t xml:space="preserve">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238,532,252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90" w:type="dxa"/>
            <w:tcBorders/>
            <w:shd w:fill="CCEEFF" w:val="clear"/>
            <w:vAlign w:val="center"/>
          </w:tcPr>
          <w:p>
            <w:pPr>
              <w:pStyle w:val="TableContents"/>
              <w:bidi w:val="0"/>
              <w:spacing w:before="0" w:after="283"/>
              <w:jc w:val="right"/>
              <w:rPr/>
            </w:pPr>
            <w:r>
              <w:rPr/>
              <w:t>24</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right"/>
              <w:rPr/>
            </w:pPr>
            <w:r>
              <w:rPr/>
              <w:t>655,074</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right"/>
              <w:rPr/>
            </w:pPr>
            <w:r>
              <w:rPr/>
              <w:t>(281,679</w:t>
            </w:r>
          </w:p>
        </w:tc>
        <w:tc>
          <w:tcPr>
            <w:tcW w:w="18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9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right"/>
              <w:rPr/>
            </w:pPr>
            <w:r>
              <w:rPr/>
              <w:t>373,419</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1226" w:type="dxa"/>
            <w:tcBorders/>
            <w:vAlign w:val="center"/>
          </w:tcPr>
          <w:p>
            <w:pPr>
              <w:pStyle w:val="TableContents"/>
              <w:bidi w:val="0"/>
              <w:spacing w:before="0" w:after="0"/>
              <w:ind w:left="0" w:right="0" w:hanging="144"/>
              <w:jc w:val="left"/>
              <w:rPr/>
            </w:pPr>
            <w:r>
              <w:rPr/>
              <w:t xml:space="preserve">Stock-based compensation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4,963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4,963</w:t>
            </w:r>
          </w:p>
        </w:tc>
        <w:tc>
          <w:tcPr>
            <w:tcW w:w="230" w:type="dxa"/>
            <w:tcBorders/>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t xml:space="preserve">Cashless exercise of warrants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xml:space="preserve">- </w:t>
            </w:r>
          </w:p>
        </w:tc>
        <w:tc>
          <w:tcPr>
            <w:tcW w:w="230" w:type="dxa"/>
            <w:tcBorders/>
            <w:shd w:fill="CCEEFF" w:val="clear"/>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0"/>
              <w:ind w:left="0" w:right="0" w:hanging="144"/>
              <w:jc w:val="left"/>
              <w:rPr/>
            </w:pPr>
            <w:r>
              <w:rPr/>
              <w:t xml:space="preserve">Vesting of Restricted Stock Units, net of shares withheld for taxes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105,543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(1,192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(1,192</w:t>
            </w:r>
          </w:p>
        </w:tc>
        <w:tc>
          <w:tcPr>
            <w:tcW w:w="230" w:type="dxa"/>
            <w:tcBorders/>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t xml:space="preserve">Exercise of stock options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745,750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2,064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2,064</w:t>
            </w:r>
          </w:p>
        </w:tc>
        <w:tc>
          <w:tcPr>
            <w:tcW w:w="230" w:type="dxa"/>
            <w:tcBorders/>
            <w:shd w:fill="CCEEFF" w:val="clear"/>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0"/>
              <w:ind w:left="0" w:right="0" w:hanging="144"/>
              <w:jc w:val="left"/>
              <w:rPr/>
            </w:pPr>
            <w:r>
              <w:rPr/>
              <w:t xml:space="preserve">Acquisition of treasury stock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(816,237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(15,148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(15,148</w:t>
            </w:r>
          </w:p>
        </w:tc>
        <w:tc>
          <w:tcPr>
            <w:tcW w:w="230" w:type="dxa"/>
            <w:tcBorders/>
            <w:vAlign w:val="center"/>
          </w:tcPr>
          <w:p>
            <w:pPr>
              <w:pStyle w:val="TableContents"/>
              <w:bidi w:val="0"/>
              <w:spacing w:before="0" w:after="283"/>
              <w:jc w:val="left"/>
              <w:rPr/>
            </w:pPr>
            <w:r>
              <w:rPr/>
              <w:t>) </w:t>
            </w:r>
          </w:p>
        </w:tc>
      </w:tr>
      <w:tr>
        <w:trPr/>
        <w:tc>
          <w:tcPr>
            <w:tcW w:w="1226" w:type="dxa"/>
            <w:tcBorders/>
            <w:shd w:fill="CCEEFF" w:val="clear"/>
            <w:vAlign w:val="center"/>
          </w:tcPr>
          <w:p>
            <w:pPr>
              <w:pStyle w:val="TableContents"/>
              <w:bidi w:val="0"/>
              <w:spacing w:before="0" w:after="0"/>
              <w:ind w:left="0" w:right="0" w:hanging="144"/>
              <w:jc w:val="left"/>
              <w:rPr/>
            </w:pPr>
            <w:r>
              <w:rPr/>
              <w:t xml:space="preserve">Net income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6" w:space="0" w:color="000000"/>
            </w:tcBorders>
            <w:shd w:fill="CCEEFF" w:val="clear"/>
            <w:tcMar>
              <w:bottom w:w="28" w:type="dxa"/>
            </w:tcMar>
            <w:vAlign w:val="center"/>
          </w:tcPr>
          <w:p>
            <w:pPr>
              <w:pStyle w:val="TableContents"/>
              <w:bidi w:val="0"/>
              <w:spacing w:before="0" w:after="283"/>
              <w:jc w:val="right"/>
              <w:rPr/>
            </w:pPr>
            <w:r>
              <w:rPr/>
              <w:t>34,219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6" w:space="0" w:color="000000"/>
            </w:tcBorders>
            <w:shd w:fill="CCEEFF" w:val="clear"/>
            <w:tcMar>
              <w:bottom w:w="28" w:type="dxa"/>
            </w:tcMar>
            <w:vAlign w:val="center"/>
          </w:tcPr>
          <w:p>
            <w:pPr>
              <w:pStyle w:val="TableContents"/>
              <w:bidi w:val="0"/>
              <w:spacing w:before="0" w:after="283"/>
              <w:jc w:val="right"/>
              <w:rPr/>
            </w:pPr>
            <w:r>
              <w:rPr/>
              <w:t>34,219</w:t>
            </w:r>
          </w:p>
        </w:tc>
        <w:tc>
          <w:tcPr>
            <w:tcW w:w="230" w:type="dxa"/>
            <w:tcBorders/>
            <w:shd w:fill="CCEEFF" w:val="clear"/>
            <w:vAlign w:val="center"/>
          </w:tcPr>
          <w:p>
            <w:pPr>
              <w:pStyle w:val="TableContents"/>
              <w:bidi w:val="0"/>
              <w:spacing w:before="0" w:after="283"/>
              <w:jc w:val="left"/>
              <w:rPr/>
            </w:pPr>
            <w:r>
              <w:rPr/>
              <w:t> </w:t>
            </w:r>
          </w:p>
        </w:tc>
      </w:tr>
      <w:tr>
        <w:trPr/>
        <w:tc>
          <w:tcPr>
            <w:tcW w:w="1226" w:type="dxa"/>
            <w:tcBorders/>
            <w:vAlign w:val="center"/>
          </w:tcPr>
          <w:p>
            <w:pPr>
              <w:pStyle w:val="TableContents"/>
              <w:bidi w:val="0"/>
              <w:spacing w:before="0" w:after="0"/>
              <w:ind w:left="0" w:right="0" w:hanging="144"/>
              <w:jc w:val="left"/>
              <w:rPr/>
            </w:pPr>
            <w:r>
              <w:rPr>
                <w:b/>
              </w:rPr>
              <w:t>Balance at June 30, 2025</w:t>
            </w:r>
            <w:r>
              <w:rPr/>
              <w:t xml:space="preserve"> </w:t>
            </w:r>
          </w:p>
        </w:tc>
        <w:tc>
          <w:tcPr>
            <w:tcW w:w="90" w:type="dxa"/>
            <w:tcBorders/>
            <w:vAlign w:val="center"/>
          </w:tcPr>
          <w:p>
            <w:pPr>
              <w:pStyle w:val="TableContents"/>
              <w:bidi w:val="0"/>
              <w:spacing w:before="0" w:after="283"/>
              <w:jc w:val="righ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239,383,545</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890" w:type="dxa"/>
            <w:tcBorders>
              <w:bottom w:val="single" w:sz="6" w:space="0" w:color="000000"/>
            </w:tcBorders>
            <w:tcMar>
              <w:bottom w:w="28" w:type="dxa"/>
            </w:tcMar>
            <w:vAlign w:val="center"/>
          </w:tcPr>
          <w:p>
            <w:pPr>
              <w:pStyle w:val="TableContents"/>
              <w:bidi w:val="0"/>
              <w:spacing w:before="0" w:after="283"/>
              <w:jc w:val="right"/>
              <w:rPr/>
            </w:pPr>
            <w:r>
              <w:rPr/>
              <w:t>24</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130" w:type="dxa"/>
            <w:tcBorders>
              <w:bottom w:val="single" w:sz="6" w:space="0" w:color="000000"/>
            </w:tcBorders>
            <w:tcMar>
              <w:bottom w:w="28" w:type="dxa"/>
            </w:tcMar>
            <w:vAlign w:val="center"/>
          </w:tcPr>
          <w:p>
            <w:pPr>
              <w:pStyle w:val="TableContents"/>
              <w:bidi w:val="0"/>
              <w:spacing w:before="0" w:after="283"/>
              <w:jc w:val="right"/>
              <w:rPr/>
            </w:pPr>
            <w:r>
              <w:rPr/>
              <w:t>660,909</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400" w:type="dxa"/>
            <w:tcBorders>
              <w:bottom w:val="single" w:sz="6" w:space="0" w:color="000000"/>
            </w:tcBorders>
            <w:tcMar>
              <w:bottom w:w="28" w:type="dxa"/>
            </w:tcMar>
            <w:vAlign w:val="center"/>
          </w:tcPr>
          <w:p>
            <w:pPr>
              <w:pStyle w:val="TableContents"/>
              <w:bidi w:val="0"/>
              <w:spacing w:before="0" w:after="283"/>
              <w:jc w:val="right"/>
              <w:rPr/>
            </w:pPr>
            <w:r>
              <w:rPr/>
              <w:t>(247,460</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tcMar>
              <w:bottom w:w="28" w:type="dxa"/>
            </w:tcMar>
            <w:vAlign w:val="center"/>
          </w:tcPr>
          <w:p>
            <w:pPr>
              <w:pStyle w:val="TableContents"/>
              <w:bidi w:val="0"/>
              <w:spacing w:before="0" w:after="283"/>
              <w:jc w:val="right"/>
              <w:rPr/>
            </w:pPr>
            <w:r>
              <w:rPr/>
              <w:t>(816,237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890" w:type="dxa"/>
            <w:tcBorders>
              <w:bottom w:val="single" w:sz="6" w:space="0" w:color="000000"/>
            </w:tcBorders>
            <w:tcMar>
              <w:bottom w:w="28" w:type="dxa"/>
            </w:tcMar>
            <w:vAlign w:val="center"/>
          </w:tcPr>
          <w:p>
            <w:pPr>
              <w:pStyle w:val="TableContents"/>
              <w:bidi w:val="0"/>
              <w:spacing w:before="0" w:after="283"/>
              <w:jc w:val="right"/>
              <w:rPr/>
            </w:pPr>
            <w:r>
              <w:rPr/>
              <w:t>(15,148</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370" w:type="dxa"/>
            <w:tcBorders>
              <w:bottom w:val="single" w:sz="6" w:space="0" w:color="000000"/>
            </w:tcBorders>
            <w:tcMar>
              <w:bottom w:w="28" w:type="dxa"/>
            </w:tcMar>
            <w:vAlign w:val="center"/>
          </w:tcPr>
          <w:p>
            <w:pPr>
              <w:pStyle w:val="TableContents"/>
              <w:bidi w:val="0"/>
              <w:spacing w:before="0" w:after="283"/>
              <w:jc w:val="right"/>
              <w:rPr/>
            </w:pPr>
            <w:r>
              <w:rPr/>
              <w:t>398,325</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ADMA BIOLOGICS,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9" w:name="STATEMENTS_OF_CASH_FLOWS"/>
      <w:bookmarkEnd w:id="9"/>
      <w:r>
        <w:rPr>
          <w:rFonts w:ascii="Times New Roman" w:hAnsi="Times New Roman"/>
          <w:b/>
          <w:sz w:val="20"/>
        </w:rPr>
        <w:t>CONDENSED 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bidi w:val="0"/>
        <w:spacing w:before="0" w:after="0"/>
        <w:jc w:val="center"/>
        <w:rPr/>
      </w:pPr>
      <w:r>
        <w:rPr/>
        <w:t xml:space="preserve">  </w:t>
      </w:r>
    </w:p>
    <w:tbl>
      <w:tblPr>
        <w:tblW w:w="10205" w:type="dxa"/>
        <w:jc w:val="left"/>
        <w:tblInd w:w="0" w:type="dxa"/>
        <w:tblLayout w:type="fixed"/>
        <w:tblCellMar>
          <w:top w:w="0" w:type="dxa"/>
          <w:left w:w="0" w:type="dxa"/>
          <w:bottom w:w="0" w:type="dxa"/>
          <w:right w:w="0" w:type="dxa"/>
        </w:tblCellMar>
      </w:tblPr>
      <w:tblGrid>
        <w:gridCol w:w="6898"/>
        <w:gridCol w:w="90"/>
        <w:gridCol w:w="170"/>
        <w:gridCol w:w="1169"/>
        <w:gridCol w:w="238"/>
        <w:gridCol w:w="116"/>
        <w:gridCol w:w="219"/>
        <w:gridCol w:w="1072"/>
        <w:gridCol w:w="233"/>
      </w:tblGrid>
      <w:tr>
        <w:trPr/>
        <w:tc>
          <w:tcPr>
            <w:tcW w:w="68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68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68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2814" w:type="dxa"/>
            <w:gridSpan w:val="5"/>
            <w:tcBorders>
              <w:bottom w:val="single" w:sz="6" w:space="0" w:color="000000"/>
            </w:tcBorders>
            <w:tcMar>
              <w:bottom w:w="28" w:type="dxa"/>
            </w:tcMar>
            <w:vAlign w:val="center"/>
          </w:tcPr>
          <w:p>
            <w:pPr>
              <w:pStyle w:val="TableContents"/>
              <w:bidi w:val="0"/>
              <w:spacing w:before="0" w:after="283"/>
              <w:jc w:val="center"/>
              <w:rPr/>
            </w:pPr>
            <w:r>
              <w:rPr>
                <w:b/>
                <w:spacing w:val="0"/>
              </w:rPr>
              <w:t>Six Months Ended June 30,</w:t>
            </w:r>
            <w:r>
              <w:rPr/>
              <w:t xml:space="preserve"> </w:t>
            </w:r>
          </w:p>
        </w:tc>
        <w:tc>
          <w:tcPr>
            <w:tcW w:w="233" w:type="dxa"/>
            <w:tcBorders/>
            <w:vAlign w:val="center"/>
          </w:tcPr>
          <w:p>
            <w:pPr>
              <w:pStyle w:val="TableContents"/>
              <w:bidi w:val="0"/>
              <w:spacing w:before="0" w:after="283"/>
              <w:jc w:val="center"/>
              <w:rPr/>
            </w:pPr>
            <w:r>
              <w:rPr/>
              <w:t> </w:t>
            </w:r>
          </w:p>
        </w:tc>
      </w:tr>
      <w:tr>
        <w:trPr/>
        <w:tc>
          <w:tcPr>
            <w:tcW w:w="68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69" w:type="dxa"/>
            <w:tcBorders>
              <w:bottom w:val="single" w:sz="6" w:space="0" w:color="000000"/>
            </w:tcBorders>
            <w:tcMar>
              <w:bottom w:w="28" w:type="dxa"/>
            </w:tcMar>
            <w:vAlign w:val="center"/>
          </w:tcPr>
          <w:p>
            <w:pPr>
              <w:pStyle w:val="TableContents"/>
              <w:bidi w:val="0"/>
              <w:spacing w:before="0" w:after="283"/>
              <w:jc w:val="center"/>
              <w:rPr/>
            </w:pPr>
            <w:r>
              <w:rPr>
                <w:b/>
              </w:rPr>
              <w:t>2026</w:t>
            </w:r>
            <w:r>
              <w:rPr/>
              <w:t xml:space="preserve"> </w:t>
            </w:r>
          </w:p>
        </w:tc>
        <w:tc>
          <w:tcPr>
            <w:tcW w:w="238" w:type="dxa"/>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center"/>
              <w:rPr/>
            </w:pPr>
            <w:r>
              <w:rPr/>
              <w:t> </w:t>
            </w:r>
          </w:p>
        </w:tc>
        <w:tc>
          <w:tcPr>
            <w:tcW w:w="219"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72" w:type="dxa"/>
            <w:tcBorders>
              <w:bottom w:val="single" w:sz="6"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33" w:type="dxa"/>
            <w:tcBorders/>
            <w:vAlign w:val="center"/>
          </w:tcPr>
          <w:p>
            <w:pPr>
              <w:pStyle w:val="TableContents"/>
              <w:bidi w:val="0"/>
              <w:spacing w:before="0" w:after="283"/>
              <w:jc w:val="center"/>
              <w:rPr/>
            </w:pPr>
            <w:r>
              <w:rPr/>
              <w:t> </w:t>
            </w:r>
          </w:p>
        </w:tc>
      </w:tr>
      <w:tr>
        <w:trPr/>
        <w:tc>
          <w:tcPr>
            <w:tcW w:w="6898" w:type="dxa"/>
            <w:tcBorders/>
            <w:vAlign w:val="center"/>
          </w:tcPr>
          <w:p>
            <w:pPr>
              <w:pStyle w:val="TableContents"/>
              <w:bidi w:val="0"/>
              <w:spacing w:before="0" w:after="0"/>
              <w:ind w:left="0" w:right="0" w:hanging="144"/>
              <w:jc w:val="left"/>
              <w:rPr/>
            </w:pPr>
            <w:r>
              <w:rPr>
                <w:i/>
              </w:rPr>
              <w:t>(In thousands)</w:t>
            </w:r>
            <w:r>
              <w:rPr/>
              <w:t xml:space="preserve">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69" w:type="dxa"/>
            <w:tcBorders/>
            <w:vAlign w:val="center"/>
          </w:tcPr>
          <w:p>
            <w:pPr>
              <w:pStyle w:val="TableContents"/>
              <w:bidi w:val="0"/>
              <w:spacing w:before="0" w:after="283"/>
              <w:jc w:val="center"/>
              <w:rPr/>
            </w:pPr>
            <w:r>
              <w:rPr/>
              <w:t> </w:t>
            </w:r>
          </w:p>
        </w:tc>
        <w:tc>
          <w:tcPr>
            <w:tcW w:w="238" w:type="dxa"/>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center"/>
              <w:rPr/>
            </w:pPr>
            <w:r>
              <w:rPr/>
              <w:t> </w:t>
            </w:r>
          </w:p>
        </w:tc>
        <w:tc>
          <w:tcPr>
            <w:tcW w:w="219" w:type="dxa"/>
            <w:tcBorders/>
            <w:vAlign w:val="center"/>
          </w:tcPr>
          <w:p>
            <w:pPr>
              <w:pStyle w:val="TableContents"/>
              <w:bidi w:val="0"/>
              <w:spacing w:before="0" w:after="283"/>
              <w:jc w:val="center"/>
              <w:rPr/>
            </w:pPr>
            <w:r>
              <w:rPr/>
              <w:t> </w:t>
            </w:r>
          </w:p>
        </w:tc>
        <w:tc>
          <w:tcPr>
            <w:tcW w:w="1072" w:type="dxa"/>
            <w:tcBorders/>
            <w:vAlign w:val="center"/>
          </w:tcPr>
          <w:p>
            <w:pPr>
              <w:pStyle w:val="TableContents"/>
              <w:bidi w:val="0"/>
              <w:spacing w:before="0" w:after="283"/>
              <w:jc w:val="center"/>
              <w:rPr/>
            </w:pPr>
            <w:r>
              <w:rPr/>
              <w:t> </w:t>
            </w:r>
          </w:p>
        </w:tc>
        <w:tc>
          <w:tcPr>
            <w:tcW w:w="233" w:type="dxa"/>
            <w:tcBorders/>
            <w:vAlign w:val="center"/>
          </w:tcPr>
          <w:p>
            <w:pPr>
              <w:pStyle w:val="TableContents"/>
              <w:bidi w:val="0"/>
              <w:spacing w:before="0" w:after="283"/>
              <w:jc w:val="center"/>
              <w:rPr/>
            </w:pPr>
            <w:r>
              <w:rPr/>
              <w:t> </w:t>
            </w:r>
          </w:p>
        </w:tc>
      </w:tr>
      <w:tr>
        <w:trPr/>
        <w:tc>
          <w:tcPr>
            <w:tcW w:w="6898" w:type="dxa"/>
            <w:tcBorders/>
            <w:vAlign w:val="center"/>
          </w:tcPr>
          <w:p>
            <w:pPr>
              <w:pStyle w:val="TableContents"/>
              <w:bidi w:val="0"/>
              <w:spacing w:before="0" w:after="0"/>
              <w:ind w:left="0" w:right="0" w:hanging="144"/>
              <w:jc w:val="left"/>
              <w:rPr/>
            </w:pPr>
            <w:r>
              <w:rPr>
                <w:b/>
              </w:rPr>
              <w:t>CASH FLOWS FROM OPERATING ACTIVITIES:</w:t>
            </w:r>
            <w:r>
              <w:rPr/>
              <w:t xml:space="preserve">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69" w:type="dxa"/>
            <w:tcBorders/>
            <w:vAlign w:val="center"/>
          </w:tcPr>
          <w:p>
            <w:pPr>
              <w:pStyle w:val="TableContents"/>
              <w:bidi w:val="0"/>
              <w:spacing w:before="0" w:after="283"/>
              <w:jc w:val="center"/>
              <w:rPr/>
            </w:pPr>
            <w:r>
              <w:rPr/>
              <w:t> </w:t>
            </w:r>
          </w:p>
        </w:tc>
        <w:tc>
          <w:tcPr>
            <w:tcW w:w="238" w:type="dxa"/>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center"/>
              <w:rPr/>
            </w:pPr>
            <w:r>
              <w:rPr/>
              <w:t> </w:t>
            </w:r>
          </w:p>
        </w:tc>
        <w:tc>
          <w:tcPr>
            <w:tcW w:w="219" w:type="dxa"/>
            <w:tcBorders/>
            <w:vAlign w:val="center"/>
          </w:tcPr>
          <w:p>
            <w:pPr>
              <w:pStyle w:val="TableContents"/>
              <w:bidi w:val="0"/>
              <w:spacing w:before="0" w:after="283"/>
              <w:jc w:val="center"/>
              <w:rPr/>
            </w:pPr>
            <w:r>
              <w:rPr/>
              <w:t> </w:t>
            </w:r>
          </w:p>
        </w:tc>
        <w:tc>
          <w:tcPr>
            <w:tcW w:w="1072" w:type="dxa"/>
            <w:tcBorders/>
            <w:vAlign w:val="center"/>
          </w:tcPr>
          <w:p>
            <w:pPr>
              <w:pStyle w:val="TableContents"/>
              <w:bidi w:val="0"/>
              <w:spacing w:before="0" w:after="283"/>
              <w:jc w:val="center"/>
              <w:rPr/>
            </w:pPr>
            <w:r>
              <w:rPr/>
              <w:t> </w:t>
            </w:r>
          </w:p>
        </w:tc>
        <w:tc>
          <w:tcPr>
            <w:tcW w:w="233" w:type="dxa"/>
            <w:tcBorders/>
            <w:vAlign w:val="center"/>
          </w:tcPr>
          <w:p>
            <w:pPr>
              <w:pStyle w:val="TableContents"/>
              <w:bidi w:val="0"/>
              <w:spacing w:before="0" w:after="283"/>
              <w:jc w:val="center"/>
              <w:rPr/>
            </w:pPr>
            <w:r>
              <w:rPr/>
              <w:t> </w:t>
            </w:r>
          </w:p>
        </w:tc>
      </w:tr>
      <w:tr>
        <w:trPr/>
        <w:tc>
          <w:tcPr>
            <w:tcW w:w="6898" w:type="dxa"/>
            <w:tcBorders/>
            <w:shd w:fill="CCEEFF" w:val="clear"/>
            <w:vAlign w:val="center"/>
          </w:tcPr>
          <w:p>
            <w:pPr>
              <w:pStyle w:val="TableContents"/>
              <w:bidi w:val="0"/>
              <w:spacing w:before="0" w:after="0"/>
              <w:jc w:val="left"/>
              <w:rPr/>
            </w:pPr>
            <w:r>
              <w:rPr/>
              <w:t xml:space="preserve">Net income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83,150</w:t>
            </w:r>
          </w:p>
        </w:tc>
        <w:tc>
          <w:tcPr>
            <w:tcW w:w="23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left"/>
              <w:rPr/>
            </w:pPr>
            <w:r>
              <w:rPr/>
              <w:t>$</w:t>
            </w:r>
          </w:p>
        </w:tc>
        <w:tc>
          <w:tcPr>
            <w:tcW w:w="1072" w:type="dxa"/>
            <w:tcBorders/>
            <w:shd w:fill="CCEEFF" w:val="clear"/>
            <w:vAlign w:val="center"/>
          </w:tcPr>
          <w:p>
            <w:pPr>
              <w:pStyle w:val="TableContents"/>
              <w:bidi w:val="0"/>
              <w:spacing w:before="0" w:after="283"/>
              <w:jc w:val="right"/>
              <w:rPr/>
            </w:pPr>
            <w:r>
              <w:rPr/>
              <w:t>61,122</w:t>
            </w:r>
          </w:p>
        </w:tc>
        <w:tc>
          <w:tcPr>
            <w:tcW w:w="233" w:type="dxa"/>
            <w:tcBorders/>
            <w:shd w:fill="CCEEFF" w:val="clear"/>
            <w:vAlign w:val="center"/>
          </w:tcPr>
          <w:p>
            <w:pPr>
              <w:pStyle w:val="TableContents"/>
              <w:bidi w:val="0"/>
              <w:spacing w:before="0" w:after="283"/>
              <w:jc w:val="left"/>
              <w:rPr/>
            </w:pPr>
            <w:r>
              <w:rPr/>
              <w:t> </w:t>
            </w:r>
          </w:p>
        </w:tc>
      </w:tr>
      <w:tr>
        <w:trPr/>
        <w:tc>
          <w:tcPr>
            <w:tcW w:w="6898" w:type="dxa"/>
            <w:tcBorders/>
            <w:vAlign w:val="center"/>
          </w:tcPr>
          <w:p>
            <w:pPr>
              <w:pStyle w:val="TableContents"/>
              <w:bidi w:val="0"/>
              <w:spacing w:before="0" w:after="0"/>
              <w:jc w:val="left"/>
              <w:rPr/>
            </w:pPr>
            <w:r>
              <w:rPr/>
              <w:t xml:space="preserve">Adjustments to reconcile net income to net cash provided by operating activities: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69"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right"/>
              <w:rPr/>
            </w:pPr>
            <w:r>
              <w:rPr/>
              <w:t> </w:t>
            </w:r>
          </w:p>
        </w:tc>
        <w:tc>
          <w:tcPr>
            <w:tcW w:w="219" w:type="dxa"/>
            <w:tcBorders/>
            <w:vAlign w:val="center"/>
          </w:tcPr>
          <w:p>
            <w:pPr>
              <w:pStyle w:val="TableContents"/>
              <w:bidi w:val="0"/>
              <w:spacing w:before="0" w:after="283"/>
              <w:jc w:val="right"/>
              <w:rPr/>
            </w:pPr>
            <w:r>
              <w:rPr/>
              <w:t> </w:t>
            </w:r>
          </w:p>
        </w:tc>
        <w:tc>
          <w:tcPr>
            <w:tcW w:w="1072" w:type="dxa"/>
            <w:tcBorders/>
            <w:vAlign w:val="center"/>
          </w:tcPr>
          <w:p>
            <w:pPr>
              <w:pStyle w:val="TableContents"/>
              <w:bidi w:val="0"/>
              <w:spacing w:before="0" w:after="283"/>
              <w:jc w:val="right"/>
              <w:rPr/>
            </w:pPr>
            <w:r>
              <w:rPr/>
              <w:t> </w:t>
            </w:r>
          </w:p>
        </w:tc>
        <w:tc>
          <w:tcPr>
            <w:tcW w:w="233" w:type="dxa"/>
            <w:tcBorders/>
            <w:vAlign w:val="center"/>
          </w:tcPr>
          <w:p>
            <w:pPr>
              <w:pStyle w:val="TableContents"/>
              <w:bidi w:val="0"/>
              <w:spacing w:before="0" w:after="283"/>
              <w:jc w:val="right"/>
              <w:rPr/>
            </w:pPr>
            <w:r>
              <w:rPr/>
              <w:t> </w:t>
            </w:r>
          </w:p>
        </w:tc>
      </w:tr>
      <w:tr>
        <w:trPr/>
        <w:tc>
          <w:tcPr>
            <w:tcW w:w="6898" w:type="dxa"/>
            <w:tcBorders/>
            <w:shd w:fill="CCEEFF" w:val="clear"/>
            <w:vAlign w:val="center"/>
          </w:tcPr>
          <w:p>
            <w:pPr>
              <w:pStyle w:val="TableContents"/>
              <w:bidi w:val="0"/>
              <w:spacing w:before="0" w:after="0"/>
              <w:jc w:val="left"/>
              <w:rPr/>
            </w:pPr>
            <w:r>
              <w:rPr/>
              <w:t xml:space="preserve">Depreciation and amortization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3,620</w:t>
            </w:r>
          </w:p>
        </w:tc>
        <w:tc>
          <w:tcPr>
            <w:tcW w:w="23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4,027</w:t>
            </w:r>
          </w:p>
        </w:tc>
        <w:tc>
          <w:tcPr>
            <w:tcW w:w="233" w:type="dxa"/>
            <w:tcBorders/>
            <w:shd w:fill="CCEEFF" w:val="clear"/>
            <w:vAlign w:val="center"/>
          </w:tcPr>
          <w:p>
            <w:pPr>
              <w:pStyle w:val="TableContents"/>
              <w:bidi w:val="0"/>
              <w:spacing w:before="0" w:after="283"/>
              <w:jc w:val="left"/>
              <w:rPr/>
            </w:pPr>
            <w:r>
              <w:rPr/>
              <w:t> </w:t>
            </w:r>
          </w:p>
        </w:tc>
      </w:tr>
      <w:tr>
        <w:trPr/>
        <w:tc>
          <w:tcPr>
            <w:tcW w:w="6898" w:type="dxa"/>
            <w:tcBorders/>
            <w:vAlign w:val="center"/>
          </w:tcPr>
          <w:p>
            <w:pPr>
              <w:pStyle w:val="TableContents"/>
              <w:bidi w:val="0"/>
              <w:spacing w:before="0" w:after="0"/>
              <w:jc w:val="left"/>
              <w:rPr/>
            </w:pPr>
            <w:r>
              <w:rPr/>
              <w:t xml:space="preserve">Gain on sale of plasma centers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(7,980</w:t>
            </w:r>
          </w:p>
        </w:tc>
        <w:tc>
          <w:tcPr>
            <w:tcW w:w="2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right"/>
              <w:rPr/>
            </w:pPr>
            <w:r>
              <w:rPr/>
              <w:t> </w:t>
            </w:r>
          </w:p>
        </w:tc>
        <w:tc>
          <w:tcPr>
            <w:tcW w:w="219"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pPr>
            <w:r>
              <w:rPr/>
              <w:t xml:space="preserve">- </w:t>
            </w:r>
          </w:p>
        </w:tc>
        <w:tc>
          <w:tcPr>
            <w:tcW w:w="233" w:type="dxa"/>
            <w:tcBorders/>
            <w:vAlign w:val="center"/>
          </w:tcPr>
          <w:p>
            <w:pPr>
              <w:pStyle w:val="TableContents"/>
              <w:bidi w:val="0"/>
              <w:spacing w:before="0" w:after="283"/>
              <w:jc w:val="left"/>
              <w:rPr/>
            </w:pPr>
            <w:r>
              <w:rPr/>
              <w:t> </w:t>
            </w:r>
          </w:p>
        </w:tc>
      </w:tr>
      <w:tr>
        <w:trPr/>
        <w:tc>
          <w:tcPr>
            <w:tcW w:w="6898" w:type="dxa"/>
            <w:tcBorders/>
            <w:shd w:fill="CCEEFF" w:val="clear"/>
            <w:vAlign w:val="center"/>
          </w:tcPr>
          <w:p>
            <w:pPr>
              <w:pStyle w:val="TableContents"/>
              <w:bidi w:val="0"/>
              <w:spacing w:before="0" w:after="0"/>
              <w:jc w:val="left"/>
              <w:rPr/>
            </w:pPr>
            <w:r>
              <w:rPr/>
              <w:t xml:space="preserve">Loss on disposal of fixed assets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42</w:t>
            </w:r>
          </w:p>
        </w:tc>
        <w:tc>
          <w:tcPr>
            <w:tcW w:w="23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xml:space="preserve">- </w:t>
            </w:r>
          </w:p>
        </w:tc>
        <w:tc>
          <w:tcPr>
            <w:tcW w:w="233" w:type="dxa"/>
            <w:tcBorders/>
            <w:shd w:fill="CCEEFF" w:val="clear"/>
            <w:vAlign w:val="center"/>
          </w:tcPr>
          <w:p>
            <w:pPr>
              <w:pStyle w:val="TableContents"/>
              <w:bidi w:val="0"/>
              <w:spacing w:before="0" w:after="283"/>
              <w:jc w:val="left"/>
              <w:rPr/>
            </w:pPr>
            <w:r>
              <w:rPr/>
              <w:t> </w:t>
            </w:r>
          </w:p>
        </w:tc>
      </w:tr>
      <w:tr>
        <w:trPr/>
        <w:tc>
          <w:tcPr>
            <w:tcW w:w="6898" w:type="dxa"/>
            <w:tcBorders/>
            <w:vAlign w:val="center"/>
          </w:tcPr>
          <w:p>
            <w:pPr>
              <w:pStyle w:val="TableContents"/>
              <w:bidi w:val="0"/>
              <w:spacing w:before="0" w:after="0"/>
              <w:jc w:val="left"/>
              <w:rPr/>
            </w:pPr>
            <w:r>
              <w:rPr/>
              <w:t xml:space="preserve">Deferred income tax provision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3,295</w:t>
            </w:r>
          </w:p>
        </w:tc>
        <w:tc>
          <w:tcPr>
            <w:tcW w:w="2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right"/>
              <w:rPr/>
            </w:pPr>
            <w:r>
              <w:rPr/>
              <w:t> </w:t>
            </w:r>
          </w:p>
        </w:tc>
        <w:tc>
          <w:tcPr>
            <w:tcW w:w="219"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pPr>
            <w:r>
              <w:rPr/>
              <w:t>5,045</w:t>
            </w:r>
          </w:p>
        </w:tc>
        <w:tc>
          <w:tcPr>
            <w:tcW w:w="233" w:type="dxa"/>
            <w:tcBorders/>
            <w:vAlign w:val="center"/>
          </w:tcPr>
          <w:p>
            <w:pPr>
              <w:pStyle w:val="TableContents"/>
              <w:bidi w:val="0"/>
              <w:spacing w:before="0" w:after="283"/>
              <w:jc w:val="left"/>
              <w:rPr/>
            </w:pPr>
            <w:r>
              <w:rPr/>
              <w:t> </w:t>
            </w:r>
          </w:p>
        </w:tc>
      </w:tr>
      <w:tr>
        <w:trPr/>
        <w:tc>
          <w:tcPr>
            <w:tcW w:w="6898" w:type="dxa"/>
            <w:tcBorders/>
            <w:shd w:fill="CCEEFF" w:val="clear"/>
            <w:vAlign w:val="center"/>
          </w:tcPr>
          <w:p>
            <w:pPr>
              <w:pStyle w:val="TableContents"/>
              <w:bidi w:val="0"/>
              <w:spacing w:before="0" w:after="0"/>
              <w:jc w:val="left"/>
              <w:rPr/>
            </w:pPr>
            <w:r>
              <w:rPr/>
              <w:t xml:space="preserve">Stock-based compensation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12,464</w:t>
            </w:r>
          </w:p>
        </w:tc>
        <w:tc>
          <w:tcPr>
            <w:tcW w:w="23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9,587</w:t>
            </w:r>
          </w:p>
        </w:tc>
        <w:tc>
          <w:tcPr>
            <w:tcW w:w="233" w:type="dxa"/>
            <w:tcBorders/>
            <w:shd w:fill="CCEEFF" w:val="clear"/>
            <w:vAlign w:val="center"/>
          </w:tcPr>
          <w:p>
            <w:pPr>
              <w:pStyle w:val="TableContents"/>
              <w:bidi w:val="0"/>
              <w:spacing w:before="0" w:after="283"/>
              <w:jc w:val="left"/>
              <w:rPr/>
            </w:pPr>
            <w:r>
              <w:rPr/>
              <w:t> </w:t>
            </w:r>
          </w:p>
        </w:tc>
      </w:tr>
      <w:tr>
        <w:trPr/>
        <w:tc>
          <w:tcPr>
            <w:tcW w:w="6898" w:type="dxa"/>
            <w:tcBorders/>
            <w:vAlign w:val="center"/>
          </w:tcPr>
          <w:p>
            <w:pPr>
              <w:pStyle w:val="TableContents"/>
              <w:bidi w:val="0"/>
              <w:spacing w:before="0" w:after="0"/>
              <w:jc w:val="left"/>
              <w:rPr/>
            </w:pPr>
            <w:r>
              <w:rPr/>
              <w:t xml:space="preserve">Amortization of debt discount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383</w:t>
            </w:r>
          </w:p>
        </w:tc>
        <w:tc>
          <w:tcPr>
            <w:tcW w:w="2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right"/>
              <w:rPr/>
            </w:pPr>
            <w:r>
              <w:rPr/>
              <w:t> </w:t>
            </w:r>
          </w:p>
        </w:tc>
        <w:tc>
          <w:tcPr>
            <w:tcW w:w="219"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pPr>
            <w:r>
              <w:rPr/>
              <w:t>350</w:t>
            </w:r>
          </w:p>
        </w:tc>
        <w:tc>
          <w:tcPr>
            <w:tcW w:w="233" w:type="dxa"/>
            <w:tcBorders/>
            <w:vAlign w:val="center"/>
          </w:tcPr>
          <w:p>
            <w:pPr>
              <w:pStyle w:val="TableContents"/>
              <w:bidi w:val="0"/>
              <w:spacing w:before="0" w:after="283"/>
              <w:jc w:val="left"/>
              <w:rPr/>
            </w:pPr>
            <w:r>
              <w:rPr/>
              <w:t> </w:t>
            </w:r>
          </w:p>
        </w:tc>
      </w:tr>
      <w:tr>
        <w:trPr/>
        <w:tc>
          <w:tcPr>
            <w:tcW w:w="6898" w:type="dxa"/>
            <w:tcBorders/>
            <w:shd w:fill="CCEEFF" w:val="clear"/>
            <w:vAlign w:val="center"/>
          </w:tcPr>
          <w:p>
            <w:pPr>
              <w:pStyle w:val="TableContents"/>
              <w:bidi w:val="0"/>
              <w:spacing w:before="0" w:after="0"/>
              <w:jc w:val="left"/>
              <w:rPr/>
            </w:pPr>
            <w:r>
              <w:rPr/>
              <w:t xml:space="preserve">Loss on extinguishment of debt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xml:space="preserve">- </w:t>
            </w:r>
          </w:p>
        </w:tc>
        <w:tc>
          <w:tcPr>
            <w:tcW w:w="23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1,159</w:t>
            </w:r>
          </w:p>
        </w:tc>
        <w:tc>
          <w:tcPr>
            <w:tcW w:w="233" w:type="dxa"/>
            <w:tcBorders/>
            <w:shd w:fill="CCEEFF" w:val="clear"/>
            <w:vAlign w:val="center"/>
          </w:tcPr>
          <w:p>
            <w:pPr>
              <w:pStyle w:val="TableContents"/>
              <w:bidi w:val="0"/>
              <w:spacing w:before="0" w:after="283"/>
              <w:jc w:val="left"/>
              <w:rPr/>
            </w:pPr>
            <w:r>
              <w:rPr/>
              <w:t> </w:t>
            </w:r>
          </w:p>
        </w:tc>
      </w:tr>
      <w:tr>
        <w:trPr/>
        <w:tc>
          <w:tcPr>
            <w:tcW w:w="6898" w:type="dxa"/>
            <w:tcBorders/>
            <w:vAlign w:val="center"/>
          </w:tcPr>
          <w:p>
            <w:pPr>
              <w:pStyle w:val="TableContents"/>
              <w:bidi w:val="0"/>
              <w:spacing w:before="0" w:after="0"/>
              <w:jc w:val="left"/>
              <w:rPr/>
            </w:pPr>
            <w:r>
              <w:rPr/>
              <w:t xml:space="preserve">Amortization of license revenue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(71</w:t>
            </w:r>
          </w:p>
        </w:tc>
        <w:tc>
          <w:tcPr>
            <w:tcW w:w="2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right"/>
              <w:rPr/>
            </w:pPr>
            <w:r>
              <w:rPr/>
              <w:t> </w:t>
            </w:r>
          </w:p>
        </w:tc>
        <w:tc>
          <w:tcPr>
            <w:tcW w:w="219"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pPr>
            <w:r>
              <w:rPr/>
              <w:t>(71</w:t>
            </w:r>
          </w:p>
        </w:tc>
        <w:tc>
          <w:tcPr>
            <w:tcW w:w="233" w:type="dxa"/>
            <w:tcBorders/>
            <w:vAlign w:val="center"/>
          </w:tcPr>
          <w:p>
            <w:pPr>
              <w:pStyle w:val="TableContents"/>
              <w:bidi w:val="0"/>
              <w:spacing w:before="0" w:after="283"/>
              <w:jc w:val="left"/>
              <w:rPr/>
            </w:pPr>
            <w:r>
              <w:rPr/>
              <w:t>) </w:t>
            </w:r>
          </w:p>
        </w:tc>
      </w:tr>
      <w:tr>
        <w:trPr/>
        <w:tc>
          <w:tcPr>
            <w:tcW w:w="6898" w:type="dxa"/>
            <w:tcBorders/>
            <w:shd w:fill="CCEEFF" w:val="clear"/>
            <w:vAlign w:val="center"/>
          </w:tcPr>
          <w:p>
            <w:pPr>
              <w:pStyle w:val="TableContents"/>
              <w:bidi w:val="0"/>
              <w:spacing w:before="0" w:after="0"/>
              <w:jc w:val="left"/>
              <w:rPr/>
            </w:pPr>
            <w:r>
              <w:rPr/>
              <w:t xml:space="preserve">Changes in operating assets and liabilities: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69"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right"/>
              <w:rPr/>
            </w:pPr>
            <w:r>
              <w:rPr/>
              <w:t> </w:t>
            </w:r>
          </w:p>
        </w:tc>
        <w:tc>
          <w:tcPr>
            <w:tcW w:w="1072"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right"/>
              <w:rPr/>
            </w:pPr>
            <w:r>
              <w:rPr/>
              <w:t> </w:t>
            </w:r>
          </w:p>
        </w:tc>
      </w:tr>
      <w:tr>
        <w:trPr/>
        <w:tc>
          <w:tcPr>
            <w:tcW w:w="6898" w:type="dxa"/>
            <w:tcBorders/>
            <w:vAlign w:val="center"/>
          </w:tcPr>
          <w:p>
            <w:pPr>
              <w:pStyle w:val="TableContents"/>
              <w:bidi w:val="0"/>
              <w:spacing w:before="0" w:after="0"/>
              <w:jc w:val="left"/>
              <w:rPr/>
            </w:pPr>
            <w:r>
              <w:rPr/>
              <w:t xml:space="preserve">Accounts receivable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20,198</w:t>
            </w:r>
          </w:p>
        </w:tc>
        <w:tc>
          <w:tcPr>
            <w:tcW w:w="2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right"/>
              <w:rPr/>
            </w:pPr>
            <w:r>
              <w:rPr/>
              <w:t> </w:t>
            </w:r>
          </w:p>
        </w:tc>
        <w:tc>
          <w:tcPr>
            <w:tcW w:w="219"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pPr>
            <w:r>
              <w:rPr/>
              <w:t>(59,726</w:t>
            </w:r>
          </w:p>
        </w:tc>
        <w:tc>
          <w:tcPr>
            <w:tcW w:w="233" w:type="dxa"/>
            <w:tcBorders/>
            <w:vAlign w:val="center"/>
          </w:tcPr>
          <w:p>
            <w:pPr>
              <w:pStyle w:val="TableContents"/>
              <w:bidi w:val="0"/>
              <w:spacing w:before="0" w:after="283"/>
              <w:jc w:val="left"/>
              <w:rPr/>
            </w:pPr>
            <w:r>
              <w:rPr/>
              <w:t>) </w:t>
            </w:r>
          </w:p>
        </w:tc>
      </w:tr>
      <w:tr>
        <w:trPr/>
        <w:tc>
          <w:tcPr>
            <w:tcW w:w="6898" w:type="dxa"/>
            <w:tcBorders/>
            <w:shd w:fill="CCEEFF" w:val="clear"/>
            <w:vAlign w:val="center"/>
          </w:tcPr>
          <w:p>
            <w:pPr>
              <w:pStyle w:val="TableContents"/>
              <w:bidi w:val="0"/>
              <w:spacing w:before="0" w:after="0"/>
              <w:jc w:val="left"/>
              <w:rPr/>
            </w:pPr>
            <w:r>
              <w:rPr/>
              <w:t xml:space="preserve">Inventories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(32,848</w:t>
            </w:r>
          </w:p>
        </w:tc>
        <w:tc>
          <w:tcPr>
            <w:tcW w:w="23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(21,229</w:t>
            </w:r>
          </w:p>
        </w:tc>
        <w:tc>
          <w:tcPr>
            <w:tcW w:w="233" w:type="dxa"/>
            <w:tcBorders/>
            <w:shd w:fill="CCEEFF" w:val="clear"/>
            <w:vAlign w:val="center"/>
          </w:tcPr>
          <w:p>
            <w:pPr>
              <w:pStyle w:val="TableContents"/>
              <w:bidi w:val="0"/>
              <w:spacing w:before="0" w:after="283"/>
              <w:jc w:val="left"/>
              <w:rPr/>
            </w:pPr>
            <w:r>
              <w:rPr/>
              <w:t>) </w:t>
            </w:r>
          </w:p>
        </w:tc>
      </w:tr>
      <w:tr>
        <w:trPr/>
        <w:tc>
          <w:tcPr>
            <w:tcW w:w="6898" w:type="dxa"/>
            <w:tcBorders/>
            <w:vAlign w:val="center"/>
          </w:tcPr>
          <w:p>
            <w:pPr>
              <w:pStyle w:val="TableContents"/>
              <w:bidi w:val="0"/>
              <w:spacing w:before="0" w:after="0"/>
              <w:jc w:val="left"/>
              <w:rPr/>
            </w:pPr>
            <w:r>
              <w:rPr/>
              <w:t xml:space="preserve">Prepaid expenses and other current assets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(1,181</w:t>
            </w:r>
          </w:p>
        </w:tc>
        <w:tc>
          <w:tcPr>
            <w:tcW w:w="2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right"/>
              <w:rPr/>
            </w:pPr>
            <w:r>
              <w:rPr/>
              <w:t> </w:t>
            </w:r>
          </w:p>
        </w:tc>
        <w:tc>
          <w:tcPr>
            <w:tcW w:w="219"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pPr>
            <w:r>
              <w:rPr/>
              <w:t>(2,095</w:t>
            </w:r>
          </w:p>
        </w:tc>
        <w:tc>
          <w:tcPr>
            <w:tcW w:w="233" w:type="dxa"/>
            <w:tcBorders/>
            <w:vAlign w:val="center"/>
          </w:tcPr>
          <w:p>
            <w:pPr>
              <w:pStyle w:val="TableContents"/>
              <w:bidi w:val="0"/>
              <w:spacing w:before="0" w:after="283"/>
              <w:jc w:val="left"/>
              <w:rPr/>
            </w:pPr>
            <w:r>
              <w:rPr/>
              <w:t>) </w:t>
            </w:r>
          </w:p>
        </w:tc>
      </w:tr>
      <w:tr>
        <w:trPr/>
        <w:tc>
          <w:tcPr>
            <w:tcW w:w="6898" w:type="dxa"/>
            <w:tcBorders/>
            <w:shd w:fill="CCEEFF" w:val="clear"/>
            <w:vAlign w:val="center"/>
          </w:tcPr>
          <w:p>
            <w:pPr>
              <w:pStyle w:val="TableContents"/>
              <w:bidi w:val="0"/>
              <w:spacing w:before="0" w:after="0"/>
              <w:jc w:val="left"/>
              <w:rPr/>
            </w:pPr>
            <w:r>
              <w:rPr/>
              <w:t xml:space="preserve">Deposits and other assets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(22</w:t>
            </w:r>
          </w:p>
        </w:tc>
        <w:tc>
          <w:tcPr>
            <w:tcW w:w="23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(306</w:t>
            </w:r>
          </w:p>
        </w:tc>
        <w:tc>
          <w:tcPr>
            <w:tcW w:w="233" w:type="dxa"/>
            <w:tcBorders/>
            <w:shd w:fill="CCEEFF" w:val="clear"/>
            <w:vAlign w:val="center"/>
          </w:tcPr>
          <w:p>
            <w:pPr>
              <w:pStyle w:val="TableContents"/>
              <w:bidi w:val="0"/>
              <w:spacing w:before="0" w:after="283"/>
              <w:jc w:val="left"/>
              <w:rPr/>
            </w:pPr>
            <w:r>
              <w:rPr/>
              <w:t>) </w:t>
            </w:r>
          </w:p>
        </w:tc>
      </w:tr>
      <w:tr>
        <w:trPr/>
        <w:tc>
          <w:tcPr>
            <w:tcW w:w="6898" w:type="dxa"/>
            <w:tcBorders/>
            <w:vAlign w:val="center"/>
          </w:tcPr>
          <w:p>
            <w:pPr>
              <w:pStyle w:val="TableContents"/>
              <w:bidi w:val="0"/>
              <w:spacing w:before="0" w:after="0"/>
              <w:jc w:val="left"/>
              <w:rPr/>
            </w:pPr>
            <w:r>
              <w:rPr/>
              <w:t xml:space="preserve">Accounts payable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8,846</w:t>
            </w:r>
          </w:p>
        </w:tc>
        <w:tc>
          <w:tcPr>
            <w:tcW w:w="2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right"/>
              <w:rPr/>
            </w:pPr>
            <w:r>
              <w:rPr/>
              <w:t> </w:t>
            </w:r>
          </w:p>
        </w:tc>
        <w:tc>
          <w:tcPr>
            <w:tcW w:w="219"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pPr>
            <w:r>
              <w:rPr/>
              <w:t>9,409</w:t>
            </w:r>
          </w:p>
        </w:tc>
        <w:tc>
          <w:tcPr>
            <w:tcW w:w="233" w:type="dxa"/>
            <w:tcBorders/>
            <w:vAlign w:val="center"/>
          </w:tcPr>
          <w:p>
            <w:pPr>
              <w:pStyle w:val="TableContents"/>
              <w:bidi w:val="0"/>
              <w:spacing w:before="0" w:after="283"/>
              <w:jc w:val="left"/>
              <w:rPr/>
            </w:pPr>
            <w:r>
              <w:rPr/>
              <w:t> </w:t>
            </w:r>
          </w:p>
        </w:tc>
      </w:tr>
      <w:tr>
        <w:trPr/>
        <w:tc>
          <w:tcPr>
            <w:tcW w:w="6898" w:type="dxa"/>
            <w:tcBorders/>
            <w:shd w:fill="CCEEFF" w:val="clear"/>
            <w:vAlign w:val="center"/>
          </w:tcPr>
          <w:p>
            <w:pPr>
              <w:pStyle w:val="TableContents"/>
              <w:bidi w:val="0"/>
              <w:spacing w:before="0" w:after="0"/>
              <w:jc w:val="left"/>
              <w:rPr/>
            </w:pPr>
            <w:r>
              <w:rPr/>
              <w:t xml:space="preserve">Accrued expenses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(1,478</w:t>
            </w:r>
          </w:p>
        </w:tc>
        <w:tc>
          <w:tcPr>
            <w:tcW w:w="23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(5,206</w:t>
            </w:r>
          </w:p>
        </w:tc>
        <w:tc>
          <w:tcPr>
            <w:tcW w:w="233" w:type="dxa"/>
            <w:tcBorders/>
            <w:shd w:fill="CCEEFF" w:val="clear"/>
            <w:vAlign w:val="center"/>
          </w:tcPr>
          <w:p>
            <w:pPr>
              <w:pStyle w:val="TableContents"/>
              <w:bidi w:val="0"/>
              <w:spacing w:before="0" w:after="283"/>
              <w:jc w:val="left"/>
              <w:rPr/>
            </w:pPr>
            <w:r>
              <w:rPr/>
              <w:t>) </w:t>
            </w:r>
          </w:p>
        </w:tc>
      </w:tr>
      <w:tr>
        <w:trPr/>
        <w:tc>
          <w:tcPr>
            <w:tcW w:w="6898" w:type="dxa"/>
            <w:tcBorders/>
            <w:vAlign w:val="center"/>
          </w:tcPr>
          <w:p>
            <w:pPr>
              <w:pStyle w:val="TableContents"/>
              <w:bidi w:val="0"/>
              <w:spacing w:before="0" w:after="0"/>
              <w:jc w:val="left"/>
              <w:rPr/>
            </w:pPr>
            <w:r>
              <w:rPr/>
              <w:t xml:space="preserve">Other current and non-current liabilities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9" w:type="dxa"/>
            <w:tcBorders>
              <w:bottom w:val="single" w:sz="6" w:space="0" w:color="000000"/>
            </w:tcBorders>
            <w:tcMar>
              <w:bottom w:w="28" w:type="dxa"/>
            </w:tcMar>
            <w:vAlign w:val="center"/>
          </w:tcPr>
          <w:p>
            <w:pPr>
              <w:pStyle w:val="TableContents"/>
              <w:bidi w:val="0"/>
              <w:spacing w:before="0" w:after="283"/>
              <w:jc w:val="right"/>
              <w:rPr/>
            </w:pPr>
            <w:r>
              <w:rPr/>
              <w:t>(630</w:t>
            </w:r>
          </w:p>
        </w:tc>
        <w:tc>
          <w:tcPr>
            <w:tcW w:w="2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right"/>
              <w:rPr/>
            </w:pPr>
            <w:r>
              <w:rPr/>
              <w:t> </w:t>
            </w:r>
          </w:p>
        </w:tc>
        <w:tc>
          <w:tcPr>
            <w:tcW w:w="219" w:type="dxa"/>
            <w:tcBorders>
              <w:bottom w:val="single" w:sz="6" w:space="0" w:color="000000"/>
            </w:tcBorders>
            <w:tcMar>
              <w:bottom w:w="28" w:type="dxa"/>
            </w:tcMar>
            <w:vAlign w:val="center"/>
          </w:tcPr>
          <w:p>
            <w:pPr>
              <w:pStyle w:val="TableContents"/>
              <w:bidi w:val="0"/>
              <w:spacing w:before="0" w:after="283"/>
              <w:jc w:val="left"/>
              <w:rPr/>
            </w:pPr>
            <w:r>
              <w:rPr/>
              <w:t> </w:t>
            </w:r>
          </w:p>
        </w:tc>
        <w:tc>
          <w:tcPr>
            <w:tcW w:w="1072" w:type="dxa"/>
            <w:tcBorders>
              <w:bottom w:val="single" w:sz="6" w:space="0" w:color="000000"/>
            </w:tcBorders>
            <w:tcMar>
              <w:bottom w:w="28" w:type="dxa"/>
            </w:tcMar>
            <w:vAlign w:val="center"/>
          </w:tcPr>
          <w:p>
            <w:pPr>
              <w:pStyle w:val="TableContents"/>
              <w:bidi w:val="0"/>
              <w:spacing w:before="0" w:after="283"/>
              <w:jc w:val="right"/>
              <w:rPr/>
            </w:pPr>
            <w:r>
              <w:rPr/>
              <w:t>(602</w:t>
            </w:r>
          </w:p>
        </w:tc>
        <w:tc>
          <w:tcPr>
            <w:tcW w:w="233" w:type="dxa"/>
            <w:tcBorders/>
            <w:vAlign w:val="center"/>
          </w:tcPr>
          <w:p>
            <w:pPr>
              <w:pStyle w:val="TableContents"/>
              <w:bidi w:val="0"/>
              <w:spacing w:before="0" w:after="283"/>
              <w:jc w:val="left"/>
              <w:rPr/>
            </w:pPr>
            <w:r>
              <w:rPr/>
              <w:t>) </w:t>
            </w:r>
          </w:p>
        </w:tc>
      </w:tr>
      <w:tr>
        <w:trPr/>
        <w:tc>
          <w:tcPr>
            <w:tcW w:w="6898" w:type="dxa"/>
            <w:tcBorders/>
            <w:shd w:fill="CCEEFF" w:val="clear"/>
            <w:vAlign w:val="center"/>
          </w:tcPr>
          <w:p>
            <w:pPr>
              <w:pStyle w:val="TableContents"/>
              <w:bidi w:val="0"/>
              <w:spacing w:before="0" w:after="0"/>
              <w:jc w:val="left"/>
              <w:rPr/>
            </w:pPr>
            <w:r>
              <w:rPr/>
              <w:t xml:space="preserve">Net cash provided by operating activities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6" w:space="0" w:color="000000"/>
            </w:tcBorders>
            <w:shd w:fill="CCEEFF" w:val="clear"/>
            <w:tcMar>
              <w:bottom w:w="28" w:type="dxa"/>
            </w:tcMar>
            <w:vAlign w:val="center"/>
          </w:tcPr>
          <w:p>
            <w:pPr>
              <w:pStyle w:val="TableContents"/>
              <w:bidi w:val="0"/>
              <w:spacing w:before="0" w:after="283"/>
              <w:jc w:val="right"/>
              <w:rPr/>
            </w:pPr>
            <w:r>
              <w:rPr/>
              <w:t>87,788</w:t>
            </w:r>
          </w:p>
        </w:tc>
        <w:tc>
          <w:tcPr>
            <w:tcW w:w="23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6" w:space="0" w:color="000000"/>
            </w:tcBorders>
            <w:shd w:fill="CCEEFF" w:val="clear"/>
            <w:tcMar>
              <w:bottom w:w="28" w:type="dxa"/>
            </w:tcMar>
            <w:vAlign w:val="center"/>
          </w:tcPr>
          <w:p>
            <w:pPr>
              <w:pStyle w:val="TableContents"/>
              <w:bidi w:val="0"/>
              <w:spacing w:before="0" w:after="283"/>
              <w:jc w:val="right"/>
              <w:rPr/>
            </w:pPr>
            <w:r>
              <w:rPr/>
              <w:t>1,464</w:t>
            </w:r>
          </w:p>
        </w:tc>
        <w:tc>
          <w:tcPr>
            <w:tcW w:w="233" w:type="dxa"/>
            <w:tcBorders/>
            <w:shd w:fill="CCEEFF" w:val="clear"/>
            <w:vAlign w:val="center"/>
          </w:tcPr>
          <w:p>
            <w:pPr>
              <w:pStyle w:val="TableContents"/>
              <w:bidi w:val="0"/>
              <w:spacing w:before="0" w:after="283"/>
              <w:jc w:val="left"/>
              <w:rPr/>
            </w:pPr>
            <w:r>
              <w:rPr/>
              <w:t> </w:t>
            </w:r>
          </w:p>
        </w:tc>
      </w:tr>
      <w:tr>
        <w:trPr/>
        <w:tc>
          <w:tcPr>
            <w:tcW w:w="68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69"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right"/>
              <w:rPr/>
            </w:pPr>
            <w:r>
              <w:rPr/>
              <w:t> </w:t>
            </w:r>
          </w:p>
        </w:tc>
        <w:tc>
          <w:tcPr>
            <w:tcW w:w="219" w:type="dxa"/>
            <w:tcBorders/>
            <w:vAlign w:val="center"/>
          </w:tcPr>
          <w:p>
            <w:pPr>
              <w:pStyle w:val="TableContents"/>
              <w:bidi w:val="0"/>
              <w:spacing w:before="0" w:after="283"/>
              <w:jc w:val="right"/>
              <w:rPr/>
            </w:pPr>
            <w:r>
              <w:rPr/>
              <w:t> </w:t>
            </w:r>
          </w:p>
        </w:tc>
        <w:tc>
          <w:tcPr>
            <w:tcW w:w="1072" w:type="dxa"/>
            <w:tcBorders/>
            <w:vAlign w:val="center"/>
          </w:tcPr>
          <w:p>
            <w:pPr>
              <w:pStyle w:val="TableContents"/>
              <w:bidi w:val="0"/>
              <w:spacing w:before="0" w:after="283"/>
              <w:jc w:val="right"/>
              <w:rPr/>
            </w:pPr>
            <w:r>
              <w:rPr/>
              <w:t> </w:t>
            </w:r>
          </w:p>
        </w:tc>
        <w:tc>
          <w:tcPr>
            <w:tcW w:w="233" w:type="dxa"/>
            <w:tcBorders/>
            <w:vAlign w:val="center"/>
          </w:tcPr>
          <w:p>
            <w:pPr>
              <w:pStyle w:val="TableContents"/>
              <w:bidi w:val="0"/>
              <w:spacing w:before="0" w:after="283"/>
              <w:jc w:val="right"/>
              <w:rPr/>
            </w:pPr>
            <w:r>
              <w:rPr/>
              <w:t> </w:t>
            </w:r>
          </w:p>
        </w:tc>
      </w:tr>
      <w:tr>
        <w:trPr/>
        <w:tc>
          <w:tcPr>
            <w:tcW w:w="6898" w:type="dxa"/>
            <w:tcBorders/>
            <w:shd w:fill="CCEEFF" w:val="clear"/>
            <w:vAlign w:val="center"/>
          </w:tcPr>
          <w:p>
            <w:pPr>
              <w:pStyle w:val="TableContents"/>
              <w:bidi w:val="0"/>
              <w:spacing w:before="0" w:after="0"/>
              <w:ind w:left="0" w:right="0" w:hanging="144"/>
              <w:jc w:val="left"/>
              <w:rPr/>
            </w:pPr>
            <w:r>
              <w:rPr>
                <w:b/>
              </w:rPr>
              <w:t>CASH FLOWS FROM INVESTING ACTIVITIES: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69"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right"/>
              <w:rPr/>
            </w:pPr>
            <w:r>
              <w:rPr/>
              <w:t> </w:t>
            </w:r>
          </w:p>
        </w:tc>
        <w:tc>
          <w:tcPr>
            <w:tcW w:w="1072"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right"/>
              <w:rPr/>
            </w:pPr>
            <w:r>
              <w:rPr/>
              <w:t> </w:t>
            </w:r>
          </w:p>
        </w:tc>
      </w:tr>
      <w:tr>
        <w:trPr/>
        <w:tc>
          <w:tcPr>
            <w:tcW w:w="6898" w:type="dxa"/>
            <w:tcBorders/>
            <w:vAlign w:val="center"/>
          </w:tcPr>
          <w:p>
            <w:pPr>
              <w:pStyle w:val="TableContents"/>
              <w:bidi w:val="0"/>
              <w:spacing w:before="0" w:after="0"/>
              <w:jc w:val="left"/>
              <w:rPr/>
            </w:pPr>
            <w:r>
              <w:rPr/>
              <w:t xml:space="preserve">Purchase of property and equipment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(4,799</w:t>
            </w:r>
          </w:p>
        </w:tc>
        <w:tc>
          <w:tcPr>
            <w:tcW w:w="2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right"/>
              <w:rPr/>
            </w:pPr>
            <w:r>
              <w:rPr/>
              <w:t> </w:t>
            </w:r>
          </w:p>
        </w:tc>
        <w:tc>
          <w:tcPr>
            <w:tcW w:w="219"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pPr>
            <w:r>
              <w:rPr/>
              <w:t>(7,123</w:t>
            </w:r>
          </w:p>
        </w:tc>
        <w:tc>
          <w:tcPr>
            <w:tcW w:w="233" w:type="dxa"/>
            <w:tcBorders/>
            <w:vAlign w:val="center"/>
          </w:tcPr>
          <w:p>
            <w:pPr>
              <w:pStyle w:val="TableContents"/>
              <w:bidi w:val="0"/>
              <w:spacing w:before="0" w:after="283"/>
              <w:jc w:val="left"/>
              <w:rPr/>
            </w:pPr>
            <w:r>
              <w:rPr/>
              <w:t>) </w:t>
            </w:r>
          </w:p>
        </w:tc>
      </w:tr>
      <w:tr>
        <w:trPr/>
        <w:tc>
          <w:tcPr>
            <w:tcW w:w="6898" w:type="dxa"/>
            <w:tcBorders/>
            <w:shd w:fill="CCEEFF" w:val="clear"/>
            <w:vAlign w:val="center"/>
          </w:tcPr>
          <w:p>
            <w:pPr>
              <w:pStyle w:val="TableContents"/>
              <w:bidi w:val="0"/>
              <w:spacing w:before="0" w:after="0"/>
              <w:jc w:val="left"/>
              <w:rPr/>
            </w:pPr>
            <w:r>
              <w:rPr/>
              <w:t xml:space="preserve">Acquisition of intangible assets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(53</w:t>
            </w:r>
          </w:p>
        </w:tc>
        <w:tc>
          <w:tcPr>
            <w:tcW w:w="23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(124</w:t>
            </w:r>
          </w:p>
        </w:tc>
        <w:tc>
          <w:tcPr>
            <w:tcW w:w="233" w:type="dxa"/>
            <w:tcBorders/>
            <w:shd w:fill="CCEEFF" w:val="clear"/>
            <w:vAlign w:val="center"/>
          </w:tcPr>
          <w:p>
            <w:pPr>
              <w:pStyle w:val="TableContents"/>
              <w:bidi w:val="0"/>
              <w:spacing w:before="0" w:after="283"/>
              <w:jc w:val="left"/>
              <w:rPr/>
            </w:pPr>
            <w:r>
              <w:rPr/>
              <w:t>) </w:t>
            </w:r>
          </w:p>
        </w:tc>
      </w:tr>
      <w:tr>
        <w:trPr/>
        <w:tc>
          <w:tcPr>
            <w:tcW w:w="6898" w:type="dxa"/>
            <w:tcBorders/>
            <w:vAlign w:val="center"/>
          </w:tcPr>
          <w:p>
            <w:pPr>
              <w:pStyle w:val="TableContents"/>
              <w:bidi w:val="0"/>
              <w:spacing w:before="0" w:after="0"/>
              <w:jc w:val="left"/>
              <w:rPr/>
            </w:pPr>
            <w:r>
              <w:rPr/>
              <w:t xml:space="preserve">Proceeds on the sales of assets held for sale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9" w:type="dxa"/>
            <w:tcBorders>
              <w:bottom w:val="single" w:sz="6" w:space="0" w:color="000000"/>
            </w:tcBorders>
            <w:tcMar>
              <w:bottom w:w="28" w:type="dxa"/>
            </w:tcMar>
            <w:vAlign w:val="center"/>
          </w:tcPr>
          <w:p>
            <w:pPr>
              <w:pStyle w:val="TableContents"/>
              <w:bidi w:val="0"/>
              <w:spacing w:before="0" w:after="283"/>
              <w:jc w:val="right"/>
              <w:rPr/>
            </w:pPr>
            <w:r>
              <w:rPr/>
              <w:t>5,000</w:t>
            </w:r>
          </w:p>
        </w:tc>
        <w:tc>
          <w:tcPr>
            <w:tcW w:w="2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right"/>
              <w:rPr/>
            </w:pPr>
            <w:r>
              <w:rPr/>
              <w:t> </w:t>
            </w:r>
          </w:p>
        </w:tc>
        <w:tc>
          <w:tcPr>
            <w:tcW w:w="219" w:type="dxa"/>
            <w:tcBorders>
              <w:bottom w:val="single" w:sz="6" w:space="0" w:color="000000"/>
            </w:tcBorders>
            <w:tcMar>
              <w:bottom w:w="28" w:type="dxa"/>
            </w:tcMar>
            <w:vAlign w:val="center"/>
          </w:tcPr>
          <w:p>
            <w:pPr>
              <w:pStyle w:val="TableContents"/>
              <w:bidi w:val="0"/>
              <w:spacing w:before="0" w:after="283"/>
              <w:jc w:val="left"/>
              <w:rPr/>
            </w:pPr>
            <w:r>
              <w:rPr/>
              <w:t> </w:t>
            </w:r>
          </w:p>
        </w:tc>
        <w:tc>
          <w:tcPr>
            <w:tcW w:w="1072"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233" w:type="dxa"/>
            <w:tcBorders/>
            <w:vAlign w:val="center"/>
          </w:tcPr>
          <w:p>
            <w:pPr>
              <w:pStyle w:val="TableContents"/>
              <w:bidi w:val="0"/>
              <w:spacing w:before="0" w:after="283"/>
              <w:jc w:val="left"/>
              <w:rPr/>
            </w:pPr>
            <w:r>
              <w:rPr/>
              <w:t> </w:t>
            </w:r>
          </w:p>
        </w:tc>
      </w:tr>
      <w:tr>
        <w:trPr/>
        <w:tc>
          <w:tcPr>
            <w:tcW w:w="6898" w:type="dxa"/>
            <w:tcBorders/>
            <w:shd w:fill="CCEEFF" w:val="clear"/>
            <w:vAlign w:val="center"/>
          </w:tcPr>
          <w:p>
            <w:pPr>
              <w:pStyle w:val="TableContents"/>
              <w:bidi w:val="0"/>
              <w:spacing w:before="0" w:after="0"/>
              <w:jc w:val="left"/>
              <w:rPr/>
            </w:pPr>
            <w:r>
              <w:rPr/>
              <w:t xml:space="preserve">Net cash provided by (used in) investing activities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6" w:space="0" w:color="000000"/>
            </w:tcBorders>
            <w:shd w:fill="CCEEFF" w:val="clear"/>
            <w:tcMar>
              <w:bottom w:w="28" w:type="dxa"/>
            </w:tcMar>
            <w:vAlign w:val="center"/>
          </w:tcPr>
          <w:p>
            <w:pPr>
              <w:pStyle w:val="TableContents"/>
              <w:bidi w:val="0"/>
              <w:spacing w:before="0" w:after="283"/>
              <w:jc w:val="right"/>
              <w:rPr/>
            </w:pPr>
            <w:r>
              <w:rPr/>
              <w:t>148</w:t>
            </w:r>
          </w:p>
        </w:tc>
        <w:tc>
          <w:tcPr>
            <w:tcW w:w="23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6" w:space="0" w:color="000000"/>
            </w:tcBorders>
            <w:shd w:fill="CCEEFF" w:val="clear"/>
            <w:tcMar>
              <w:bottom w:w="28" w:type="dxa"/>
            </w:tcMar>
            <w:vAlign w:val="center"/>
          </w:tcPr>
          <w:p>
            <w:pPr>
              <w:pStyle w:val="TableContents"/>
              <w:bidi w:val="0"/>
              <w:spacing w:before="0" w:after="283"/>
              <w:jc w:val="right"/>
              <w:rPr/>
            </w:pPr>
            <w:r>
              <w:rPr/>
              <w:t>(7,247</w:t>
            </w:r>
          </w:p>
        </w:tc>
        <w:tc>
          <w:tcPr>
            <w:tcW w:w="233" w:type="dxa"/>
            <w:tcBorders/>
            <w:shd w:fill="CCEEFF" w:val="clear"/>
            <w:vAlign w:val="center"/>
          </w:tcPr>
          <w:p>
            <w:pPr>
              <w:pStyle w:val="TableContents"/>
              <w:bidi w:val="0"/>
              <w:spacing w:before="0" w:after="283"/>
              <w:jc w:val="left"/>
              <w:rPr/>
            </w:pPr>
            <w:r>
              <w:rPr/>
              <w:t>) </w:t>
            </w:r>
          </w:p>
        </w:tc>
      </w:tr>
      <w:tr>
        <w:trPr/>
        <w:tc>
          <w:tcPr>
            <w:tcW w:w="68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69"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right"/>
              <w:rPr/>
            </w:pPr>
            <w:r>
              <w:rPr/>
              <w:t> </w:t>
            </w:r>
          </w:p>
        </w:tc>
        <w:tc>
          <w:tcPr>
            <w:tcW w:w="219" w:type="dxa"/>
            <w:tcBorders/>
            <w:vAlign w:val="center"/>
          </w:tcPr>
          <w:p>
            <w:pPr>
              <w:pStyle w:val="TableContents"/>
              <w:bidi w:val="0"/>
              <w:spacing w:before="0" w:after="283"/>
              <w:jc w:val="right"/>
              <w:rPr/>
            </w:pPr>
            <w:r>
              <w:rPr/>
              <w:t> </w:t>
            </w:r>
          </w:p>
        </w:tc>
        <w:tc>
          <w:tcPr>
            <w:tcW w:w="1072" w:type="dxa"/>
            <w:tcBorders/>
            <w:vAlign w:val="center"/>
          </w:tcPr>
          <w:p>
            <w:pPr>
              <w:pStyle w:val="TableContents"/>
              <w:bidi w:val="0"/>
              <w:spacing w:before="0" w:after="283"/>
              <w:jc w:val="right"/>
              <w:rPr/>
            </w:pPr>
            <w:r>
              <w:rPr/>
              <w:t> </w:t>
            </w:r>
          </w:p>
        </w:tc>
        <w:tc>
          <w:tcPr>
            <w:tcW w:w="233" w:type="dxa"/>
            <w:tcBorders/>
            <w:vAlign w:val="center"/>
          </w:tcPr>
          <w:p>
            <w:pPr>
              <w:pStyle w:val="TableContents"/>
              <w:bidi w:val="0"/>
              <w:spacing w:before="0" w:after="283"/>
              <w:jc w:val="right"/>
              <w:rPr/>
            </w:pPr>
            <w:r>
              <w:rPr/>
              <w:t> </w:t>
            </w:r>
          </w:p>
        </w:tc>
      </w:tr>
      <w:tr>
        <w:trPr/>
        <w:tc>
          <w:tcPr>
            <w:tcW w:w="6898" w:type="dxa"/>
            <w:tcBorders/>
            <w:shd w:fill="CCEEFF" w:val="clear"/>
            <w:vAlign w:val="center"/>
          </w:tcPr>
          <w:p>
            <w:pPr>
              <w:pStyle w:val="TableContents"/>
              <w:bidi w:val="0"/>
              <w:spacing w:before="0" w:after="0"/>
              <w:ind w:left="0" w:right="0" w:hanging="144"/>
              <w:jc w:val="left"/>
              <w:rPr/>
            </w:pPr>
            <w:r>
              <w:rPr>
                <w:b/>
              </w:rPr>
              <w:t>CASH FLOWS FROM FINANCING ACTIVITIES: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69"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right"/>
              <w:rPr/>
            </w:pPr>
            <w:r>
              <w:rPr/>
              <w:t> </w:t>
            </w:r>
          </w:p>
        </w:tc>
        <w:tc>
          <w:tcPr>
            <w:tcW w:w="1072"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right"/>
              <w:rPr/>
            </w:pPr>
            <w:r>
              <w:rPr/>
              <w:t> </w:t>
            </w:r>
          </w:p>
        </w:tc>
      </w:tr>
      <w:tr>
        <w:trPr/>
        <w:tc>
          <w:tcPr>
            <w:tcW w:w="6898" w:type="dxa"/>
            <w:tcBorders/>
            <w:vAlign w:val="center"/>
          </w:tcPr>
          <w:p>
            <w:pPr>
              <w:pStyle w:val="TableContents"/>
              <w:bidi w:val="0"/>
              <w:spacing w:before="0" w:after="0"/>
              <w:jc w:val="left"/>
              <w:rPr/>
            </w:pPr>
            <w:r>
              <w:rPr/>
              <w:t xml:space="preserve">Ares term loan payments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b/>
              </w:rPr>
            </w:pPr>
            <w:r>
              <w:rPr>
                <w:b/>
              </w:rPr>
              <w:t xml:space="preserve">- </w:t>
            </w:r>
          </w:p>
        </w:tc>
        <w:tc>
          <w:tcPr>
            <w:tcW w:w="2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right"/>
              <w:rPr/>
            </w:pPr>
            <w:r>
              <w:rPr/>
              <w:t> </w:t>
            </w:r>
          </w:p>
        </w:tc>
        <w:tc>
          <w:tcPr>
            <w:tcW w:w="219"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pPr>
            <w:r>
              <w:rPr/>
              <w:t>(30,000</w:t>
            </w:r>
          </w:p>
        </w:tc>
        <w:tc>
          <w:tcPr>
            <w:tcW w:w="233" w:type="dxa"/>
            <w:tcBorders/>
            <w:vAlign w:val="center"/>
          </w:tcPr>
          <w:p>
            <w:pPr>
              <w:pStyle w:val="TableContents"/>
              <w:bidi w:val="0"/>
              <w:spacing w:before="0" w:after="283"/>
              <w:jc w:val="left"/>
              <w:rPr/>
            </w:pPr>
            <w:r>
              <w:rPr/>
              <w:t>) </w:t>
            </w:r>
          </w:p>
        </w:tc>
      </w:tr>
      <w:tr>
        <w:trPr/>
        <w:tc>
          <w:tcPr>
            <w:tcW w:w="6898" w:type="dxa"/>
            <w:tcBorders/>
            <w:shd w:fill="CCEEFF" w:val="clear"/>
            <w:vAlign w:val="center"/>
          </w:tcPr>
          <w:p>
            <w:pPr>
              <w:pStyle w:val="TableContents"/>
              <w:bidi w:val="0"/>
              <w:spacing w:before="0" w:after="0"/>
              <w:jc w:val="left"/>
              <w:rPr/>
            </w:pPr>
            <w:r>
              <w:rPr/>
              <w:t xml:space="preserve">Ares revolving facility proceeds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b/>
              </w:rPr>
            </w:pPr>
            <w:r>
              <w:rPr>
                <w:b/>
              </w:rPr>
              <w:t xml:space="preserve">- </w:t>
            </w:r>
          </w:p>
        </w:tc>
        <w:tc>
          <w:tcPr>
            <w:tcW w:w="23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30,000</w:t>
            </w:r>
          </w:p>
        </w:tc>
        <w:tc>
          <w:tcPr>
            <w:tcW w:w="233" w:type="dxa"/>
            <w:tcBorders/>
            <w:shd w:fill="CCEEFF" w:val="clear"/>
            <w:vAlign w:val="center"/>
          </w:tcPr>
          <w:p>
            <w:pPr>
              <w:pStyle w:val="TableContents"/>
              <w:bidi w:val="0"/>
              <w:spacing w:before="0" w:after="283"/>
              <w:jc w:val="left"/>
              <w:rPr/>
            </w:pPr>
            <w:r>
              <w:rPr/>
              <w:t> </w:t>
            </w:r>
          </w:p>
        </w:tc>
      </w:tr>
      <w:tr>
        <w:trPr/>
        <w:tc>
          <w:tcPr>
            <w:tcW w:w="6898" w:type="dxa"/>
            <w:tcBorders/>
            <w:vAlign w:val="center"/>
          </w:tcPr>
          <w:p>
            <w:pPr>
              <w:pStyle w:val="TableContents"/>
              <w:bidi w:val="0"/>
              <w:spacing w:before="0" w:after="0"/>
              <w:jc w:val="left"/>
              <w:rPr/>
            </w:pPr>
            <w:r>
              <w:rPr/>
              <w:t xml:space="preserve">JPM term loan payments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(938</w:t>
            </w:r>
          </w:p>
        </w:tc>
        <w:tc>
          <w:tcPr>
            <w:tcW w:w="2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right"/>
              <w:rPr/>
            </w:pPr>
            <w:r>
              <w:rPr/>
              <w:t> </w:t>
            </w:r>
          </w:p>
        </w:tc>
        <w:tc>
          <w:tcPr>
            <w:tcW w:w="219"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pPr>
            <w:r>
              <w:rPr/>
              <w:t xml:space="preserve">- </w:t>
            </w:r>
          </w:p>
        </w:tc>
        <w:tc>
          <w:tcPr>
            <w:tcW w:w="233" w:type="dxa"/>
            <w:tcBorders/>
            <w:vAlign w:val="center"/>
          </w:tcPr>
          <w:p>
            <w:pPr>
              <w:pStyle w:val="TableContents"/>
              <w:bidi w:val="0"/>
              <w:spacing w:before="0" w:after="283"/>
              <w:jc w:val="left"/>
              <w:rPr/>
            </w:pPr>
            <w:r>
              <w:rPr/>
              <w:t> </w:t>
            </w:r>
          </w:p>
        </w:tc>
      </w:tr>
      <w:tr>
        <w:trPr/>
        <w:tc>
          <w:tcPr>
            <w:tcW w:w="6898" w:type="dxa"/>
            <w:tcBorders/>
            <w:shd w:fill="CCEEFF" w:val="clear"/>
            <w:vAlign w:val="center"/>
          </w:tcPr>
          <w:p>
            <w:pPr>
              <w:pStyle w:val="TableContents"/>
              <w:bidi w:val="0"/>
              <w:spacing w:before="0" w:after="0"/>
              <w:jc w:val="left"/>
              <w:rPr/>
            </w:pPr>
            <w:r>
              <w:rPr/>
              <w:t xml:space="preserve">JPM revolving facility proceeds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125,000</w:t>
            </w:r>
          </w:p>
        </w:tc>
        <w:tc>
          <w:tcPr>
            <w:tcW w:w="23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xml:space="preserve">- </w:t>
            </w:r>
          </w:p>
        </w:tc>
        <w:tc>
          <w:tcPr>
            <w:tcW w:w="233" w:type="dxa"/>
            <w:tcBorders/>
            <w:shd w:fill="CCEEFF" w:val="clear"/>
            <w:vAlign w:val="center"/>
          </w:tcPr>
          <w:p>
            <w:pPr>
              <w:pStyle w:val="TableContents"/>
              <w:bidi w:val="0"/>
              <w:spacing w:before="0" w:after="283"/>
              <w:jc w:val="left"/>
              <w:rPr/>
            </w:pPr>
            <w:r>
              <w:rPr/>
              <w:t> </w:t>
            </w:r>
          </w:p>
        </w:tc>
      </w:tr>
      <w:tr>
        <w:trPr/>
        <w:tc>
          <w:tcPr>
            <w:tcW w:w="6898" w:type="dxa"/>
            <w:tcBorders/>
            <w:vAlign w:val="center"/>
          </w:tcPr>
          <w:p>
            <w:pPr>
              <w:pStyle w:val="TableContents"/>
              <w:bidi w:val="0"/>
              <w:spacing w:before="0" w:after="0"/>
              <w:jc w:val="left"/>
              <w:rPr/>
            </w:pPr>
            <w:r>
              <w:rPr/>
              <w:t xml:space="preserve">Prepayment penalties on repayment of debt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xml:space="preserve">- </w:t>
            </w:r>
          </w:p>
        </w:tc>
        <w:tc>
          <w:tcPr>
            <w:tcW w:w="2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right"/>
              <w:rPr/>
            </w:pPr>
            <w:r>
              <w:rPr/>
              <w:t> </w:t>
            </w:r>
          </w:p>
        </w:tc>
        <w:tc>
          <w:tcPr>
            <w:tcW w:w="219"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pPr>
            <w:r>
              <w:rPr/>
              <w:t>(450</w:t>
            </w:r>
          </w:p>
        </w:tc>
        <w:tc>
          <w:tcPr>
            <w:tcW w:w="233" w:type="dxa"/>
            <w:tcBorders/>
            <w:vAlign w:val="center"/>
          </w:tcPr>
          <w:p>
            <w:pPr>
              <w:pStyle w:val="TableContents"/>
              <w:bidi w:val="0"/>
              <w:spacing w:before="0" w:after="283"/>
              <w:jc w:val="left"/>
              <w:rPr/>
            </w:pPr>
            <w:r>
              <w:rPr/>
              <w:t>) </w:t>
            </w:r>
          </w:p>
        </w:tc>
      </w:tr>
      <w:tr>
        <w:trPr/>
        <w:tc>
          <w:tcPr>
            <w:tcW w:w="6898" w:type="dxa"/>
            <w:tcBorders/>
            <w:shd w:fill="CCEEFF" w:val="clear"/>
            <w:vAlign w:val="center"/>
          </w:tcPr>
          <w:p>
            <w:pPr>
              <w:pStyle w:val="TableContents"/>
              <w:bidi w:val="0"/>
              <w:spacing w:before="0" w:after="0"/>
              <w:jc w:val="left"/>
              <w:rPr/>
            </w:pPr>
            <w:r>
              <w:rPr/>
              <w:t xml:space="preserve">Taxes paid on vested restricted stock units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(8,986</w:t>
            </w:r>
          </w:p>
        </w:tc>
        <w:tc>
          <w:tcPr>
            <w:tcW w:w="23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(8,419</w:t>
            </w:r>
          </w:p>
        </w:tc>
        <w:tc>
          <w:tcPr>
            <w:tcW w:w="233" w:type="dxa"/>
            <w:tcBorders/>
            <w:shd w:fill="CCEEFF" w:val="clear"/>
            <w:vAlign w:val="center"/>
          </w:tcPr>
          <w:p>
            <w:pPr>
              <w:pStyle w:val="TableContents"/>
              <w:bidi w:val="0"/>
              <w:spacing w:before="0" w:after="283"/>
              <w:jc w:val="left"/>
              <w:rPr/>
            </w:pPr>
            <w:r>
              <w:rPr/>
              <w:t>) </w:t>
            </w:r>
          </w:p>
        </w:tc>
      </w:tr>
      <w:tr>
        <w:trPr/>
        <w:tc>
          <w:tcPr>
            <w:tcW w:w="6898" w:type="dxa"/>
            <w:tcBorders/>
            <w:vAlign w:val="center"/>
          </w:tcPr>
          <w:p>
            <w:pPr>
              <w:pStyle w:val="TableContents"/>
              <w:bidi w:val="0"/>
              <w:spacing w:before="0" w:after="0"/>
              <w:jc w:val="left"/>
              <w:rPr/>
            </w:pPr>
            <w:r>
              <w:rPr/>
              <w:t xml:space="preserve">Net proceeds from the exercise of stock options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623</w:t>
            </w:r>
          </w:p>
        </w:tc>
        <w:tc>
          <w:tcPr>
            <w:tcW w:w="2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right"/>
              <w:rPr/>
            </w:pPr>
            <w:r>
              <w:rPr/>
              <w:t> </w:t>
            </w:r>
          </w:p>
        </w:tc>
        <w:tc>
          <w:tcPr>
            <w:tcW w:w="219"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pPr>
            <w:r>
              <w:rPr/>
              <w:t>2,165</w:t>
            </w:r>
          </w:p>
        </w:tc>
        <w:tc>
          <w:tcPr>
            <w:tcW w:w="233" w:type="dxa"/>
            <w:tcBorders/>
            <w:vAlign w:val="center"/>
          </w:tcPr>
          <w:p>
            <w:pPr>
              <w:pStyle w:val="TableContents"/>
              <w:bidi w:val="0"/>
              <w:spacing w:before="0" w:after="283"/>
              <w:jc w:val="left"/>
              <w:rPr/>
            </w:pPr>
            <w:r>
              <w:rPr/>
              <w:t> </w:t>
            </w:r>
          </w:p>
        </w:tc>
      </w:tr>
      <w:tr>
        <w:trPr/>
        <w:tc>
          <w:tcPr>
            <w:tcW w:w="6898" w:type="dxa"/>
            <w:tcBorders/>
            <w:shd w:fill="CCEEFF" w:val="clear"/>
            <w:vAlign w:val="center"/>
          </w:tcPr>
          <w:p>
            <w:pPr>
              <w:pStyle w:val="TableContents"/>
              <w:bidi w:val="0"/>
              <w:spacing w:before="0" w:after="0"/>
              <w:jc w:val="left"/>
              <w:rPr/>
            </w:pPr>
            <w:r>
              <w:rPr/>
              <w:t xml:space="preserve">Payment of end of term fee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xml:space="preserve">- </w:t>
            </w:r>
          </w:p>
        </w:tc>
        <w:tc>
          <w:tcPr>
            <w:tcW w:w="23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(375</w:t>
            </w:r>
          </w:p>
        </w:tc>
        <w:tc>
          <w:tcPr>
            <w:tcW w:w="233" w:type="dxa"/>
            <w:tcBorders/>
            <w:shd w:fill="CCEEFF" w:val="clear"/>
            <w:vAlign w:val="center"/>
          </w:tcPr>
          <w:p>
            <w:pPr>
              <w:pStyle w:val="TableContents"/>
              <w:bidi w:val="0"/>
              <w:spacing w:before="0" w:after="283"/>
              <w:jc w:val="left"/>
              <w:rPr/>
            </w:pPr>
            <w:r>
              <w:rPr/>
              <w:t>) </w:t>
            </w:r>
          </w:p>
        </w:tc>
      </w:tr>
      <w:tr>
        <w:trPr/>
        <w:tc>
          <w:tcPr>
            <w:tcW w:w="6898" w:type="dxa"/>
            <w:tcBorders/>
            <w:vAlign w:val="center"/>
          </w:tcPr>
          <w:p>
            <w:pPr>
              <w:pStyle w:val="TableContents"/>
              <w:bidi w:val="0"/>
              <w:spacing w:before="0" w:after="0"/>
              <w:jc w:val="left"/>
              <w:rPr/>
            </w:pPr>
            <w:r>
              <w:rPr/>
              <w:t xml:space="preserve">Acquisition of treasury stock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9" w:type="dxa"/>
            <w:tcBorders>
              <w:bottom w:val="single" w:sz="6" w:space="0" w:color="000000"/>
            </w:tcBorders>
            <w:tcMar>
              <w:bottom w:w="28" w:type="dxa"/>
            </w:tcMar>
            <w:vAlign w:val="center"/>
          </w:tcPr>
          <w:p>
            <w:pPr>
              <w:pStyle w:val="TableContents"/>
              <w:bidi w:val="0"/>
              <w:spacing w:before="0" w:after="283"/>
              <w:jc w:val="right"/>
              <w:rPr/>
            </w:pPr>
            <w:r>
              <w:rPr/>
              <w:t>(155,245</w:t>
            </w:r>
          </w:p>
        </w:tc>
        <w:tc>
          <w:tcPr>
            <w:tcW w:w="2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right"/>
              <w:rPr/>
            </w:pPr>
            <w:r>
              <w:rPr/>
              <w:t> </w:t>
            </w:r>
          </w:p>
        </w:tc>
        <w:tc>
          <w:tcPr>
            <w:tcW w:w="219" w:type="dxa"/>
            <w:tcBorders>
              <w:bottom w:val="single" w:sz="6" w:space="0" w:color="000000"/>
            </w:tcBorders>
            <w:tcMar>
              <w:bottom w:w="28" w:type="dxa"/>
            </w:tcMar>
            <w:vAlign w:val="center"/>
          </w:tcPr>
          <w:p>
            <w:pPr>
              <w:pStyle w:val="TableContents"/>
              <w:bidi w:val="0"/>
              <w:spacing w:before="0" w:after="283"/>
              <w:jc w:val="left"/>
              <w:rPr/>
            </w:pPr>
            <w:r>
              <w:rPr/>
              <w:t> </w:t>
            </w:r>
          </w:p>
        </w:tc>
        <w:tc>
          <w:tcPr>
            <w:tcW w:w="1072"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233" w:type="dxa"/>
            <w:tcBorders/>
            <w:vAlign w:val="center"/>
          </w:tcPr>
          <w:p>
            <w:pPr>
              <w:pStyle w:val="TableContents"/>
              <w:bidi w:val="0"/>
              <w:spacing w:before="0" w:after="283"/>
              <w:jc w:val="left"/>
              <w:rPr/>
            </w:pPr>
            <w:r>
              <w:rPr/>
              <w:t> </w:t>
            </w:r>
          </w:p>
        </w:tc>
      </w:tr>
      <w:tr>
        <w:trPr/>
        <w:tc>
          <w:tcPr>
            <w:tcW w:w="6898" w:type="dxa"/>
            <w:tcBorders/>
            <w:shd w:fill="CCEEFF" w:val="clear"/>
            <w:vAlign w:val="center"/>
          </w:tcPr>
          <w:p>
            <w:pPr>
              <w:pStyle w:val="TableContents"/>
              <w:bidi w:val="0"/>
              <w:spacing w:before="0" w:after="0"/>
              <w:jc w:val="left"/>
              <w:rPr/>
            </w:pPr>
            <w:r>
              <w:rPr/>
              <w:t xml:space="preserve">Net cash used in financing activities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6" w:space="0" w:color="000000"/>
            </w:tcBorders>
            <w:shd w:fill="CCEEFF" w:val="clear"/>
            <w:tcMar>
              <w:bottom w:w="28" w:type="dxa"/>
            </w:tcMar>
            <w:vAlign w:val="center"/>
          </w:tcPr>
          <w:p>
            <w:pPr>
              <w:pStyle w:val="TableContents"/>
              <w:bidi w:val="0"/>
              <w:spacing w:before="0" w:after="283"/>
              <w:jc w:val="right"/>
              <w:rPr/>
            </w:pPr>
            <w:r>
              <w:rPr/>
              <w:t>(39,546</w:t>
            </w:r>
          </w:p>
        </w:tc>
        <w:tc>
          <w:tcPr>
            <w:tcW w:w="23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6" w:space="0" w:color="000000"/>
            </w:tcBorders>
            <w:shd w:fill="CCEEFF" w:val="clear"/>
            <w:tcMar>
              <w:bottom w:w="28" w:type="dxa"/>
            </w:tcMar>
            <w:vAlign w:val="center"/>
          </w:tcPr>
          <w:p>
            <w:pPr>
              <w:pStyle w:val="TableContents"/>
              <w:bidi w:val="0"/>
              <w:spacing w:before="0" w:after="283"/>
              <w:jc w:val="right"/>
              <w:rPr/>
            </w:pPr>
            <w:r>
              <w:rPr/>
              <w:t>(7,079</w:t>
            </w:r>
          </w:p>
        </w:tc>
        <w:tc>
          <w:tcPr>
            <w:tcW w:w="233" w:type="dxa"/>
            <w:tcBorders/>
            <w:shd w:fill="CCEEFF" w:val="clear"/>
            <w:vAlign w:val="center"/>
          </w:tcPr>
          <w:p>
            <w:pPr>
              <w:pStyle w:val="TableContents"/>
              <w:bidi w:val="0"/>
              <w:spacing w:before="0" w:after="283"/>
              <w:jc w:val="left"/>
              <w:rPr/>
            </w:pPr>
            <w:r>
              <w:rPr/>
              <w:t>) </w:t>
            </w:r>
          </w:p>
        </w:tc>
      </w:tr>
      <w:tr>
        <w:trPr/>
        <w:tc>
          <w:tcPr>
            <w:tcW w:w="68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69"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right"/>
              <w:rPr/>
            </w:pPr>
            <w:r>
              <w:rPr/>
              <w:t> </w:t>
            </w:r>
          </w:p>
        </w:tc>
        <w:tc>
          <w:tcPr>
            <w:tcW w:w="219" w:type="dxa"/>
            <w:tcBorders/>
            <w:vAlign w:val="center"/>
          </w:tcPr>
          <w:p>
            <w:pPr>
              <w:pStyle w:val="TableContents"/>
              <w:bidi w:val="0"/>
              <w:spacing w:before="0" w:after="283"/>
              <w:jc w:val="right"/>
              <w:rPr/>
            </w:pPr>
            <w:r>
              <w:rPr/>
              <w:t> </w:t>
            </w:r>
          </w:p>
        </w:tc>
        <w:tc>
          <w:tcPr>
            <w:tcW w:w="1072" w:type="dxa"/>
            <w:tcBorders/>
            <w:vAlign w:val="center"/>
          </w:tcPr>
          <w:p>
            <w:pPr>
              <w:pStyle w:val="TableContents"/>
              <w:bidi w:val="0"/>
              <w:spacing w:before="0" w:after="283"/>
              <w:jc w:val="right"/>
              <w:rPr/>
            </w:pPr>
            <w:r>
              <w:rPr/>
              <w:t> </w:t>
            </w:r>
          </w:p>
        </w:tc>
        <w:tc>
          <w:tcPr>
            <w:tcW w:w="233" w:type="dxa"/>
            <w:tcBorders/>
            <w:vAlign w:val="center"/>
          </w:tcPr>
          <w:p>
            <w:pPr>
              <w:pStyle w:val="TableContents"/>
              <w:bidi w:val="0"/>
              <w:spacing w:before="0" w:after="283"/>
              <w:jc w:val="right"/>
              <w:rPr/>
            </w:pPr>
            <w:r>
              <w:rPr/>
              <w:t> </w:t>
            </w:r>
          </w:p>
        </w:tc>
      </w:tr>
      <w:tr>
        <w:trPr/>
        <w:tc>
          <w:tcPr>
            <w:tcW w:w="6898" w:type="dxa"/>
            <w:tcBorders/>
            <w:shd w:fill="CCEEFF" w:val="clear"/>
            <w:vAlign w:val="center"/>
          </w:tcPr>
          <w:p>
            <w:pPr>
              <w:pStyle w:val="TableContents"/>
              <w:bidi w:val="0"/>
              <w:spacing w:before="0" w:after="0"/>
              <w:ind w:left="0" w:right="0" w:hanging="144"/>
              <w:jc w:val="left"/>
              <w:rPr/>
            </w:pPr>
            <w:r>
              <w:rPr>
                <w:b/>
              </w:rPr>
              <w:t>Net increase (decrease) in cash and cash equivalents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48,390</w:t>
            </w:r>
          </w:p>
        </w:tc>
        <w:tc>
          <w:tcPr>
            <w:tcW w:w="23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(12,862</w:t>
            </w:r>
          </w:p>
        </w:tc>
        <w:tc>
          <w:tcPr>
            <w:tcW w:w="233" w:type="dxa"/>
            <w:tcBorders/>
            <w:shd w:fill="CCEEFF" w:val="clear"/>
            <w:vAlign w:val="center"/>
          </w:tcPr>
          <w:p>
            <w:pPr>
              <w:pStyle w:val="TableContents"/>
              <w:bidi w:val="0"/>
              <w:spacing w:before="0" w:after="283"/>
              <w:jc w:val="left"/>
              <w:rPr/>
            </w:pPr>
            <w:r>
              <w:rPr/>
              <w:t>) </w:t>
            </w:r>
          </w:p>
        </w:tc>
      </w:tr>
      <w:tr>
        <w:trPr/>
        <w:tc>
          <w:tcPr>
            <w:tcW w:w="6898" w:type="dxa"/>
            <w:tcBorders/>
            <w:vAlign w:val="center"/>
          </w:tcPr>
          <w:p>
            <w:pPr>
              <w:pStyle w:val="TableContents"/>
              <w:bidi w:val="0"/>
              <w:spacing w:before="0" w:after="0"/>
              <w:ind w:left="0" w:right="0" w:hanging="144"/>
              <w:jc w:val="left"/>
              <w:rPr/>
            </w:pPr>
            <w:r>
              <w:rPr>
                <w:b/>
              </w:rPr>
              <w:t>Cash and cash equivalents - beginning of period</w:t>
            </w:r>
            <w:r>
              <w:rPr/>
              <w:t xml:space="preserve">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9" w:type="dxa"/>
            <w:tcBorders>
              <w:bottom w:val="single" w:sz="6" w:space="0" w:color="000000"/>
            </w:tcBorders>
            <w:tcMar>
              <w:bottom w:w="28" w:type="dxa"/>
            </w:tcMar>
            <w:vAlign w:val="center"/>
          </w:tcPr>
          <w:p>
            <w:pPr>
              <w:pStyle w:val="TableContents"/>
              <w:bidi w:val="0"/>
              <w:spacing w:before="0" w:after="283"/>
              <w:jc w:val="right"/>
              <w:rPr/>
            </w:pPr>
            <w:r>
              <w:rPr/>
              <w:t>87,630</w:t>
            </w:r>
          </w:p>
        </w:tc>
        <w:tc>
          <w:tcPr>
            <w:tcW w:w="23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right"/>
              <w:rPr/>
            </w:pPr>
            <w:r>
              <w:rPr/>
              <w:t> </w:t>
            </w:r>
          </w:p>
        </w:tc>
        <w:tc>
          <w:tcPr>
            <w:tcW w:w="219" w:type="dxa"/>
            <w:tcBorders>
              <w:bottom w:val="single" w:sz="6" w:space="0" w:color="000000"/>
            </w:tcBorders>
            <w:tcMar>
              <w:bottom w:w="28" w:type="dxa"/>
            </w:tcMar>
            <w:vAlign w:val="center"/>
          </w:tcPr>
          <w:p>
            <w:pPr>
              <w:pStyle w:val="TableContents"/>
              <w:bidi w:val="0"/>
              <w:spacing w:before="0" w:after="283"/>
              <w:jc w:val="left"/>
              <w:rPr/>
            </w:pPr>
            <w:r>
              <w:rPr/>
              <w:t> </w:t>
            </w:r>
          </w:p>
        </w:tc>
        <w:tc>
          <w:tcPr>
            <w:tcW w:w="1072" w:type="dxa"/>
            <w:tcBorders>
              <w:bottom w:val="single" w:sz="6" w:space="0" w:color="000000"/>
            </w:tcBorders>
            <w:tcMar>
              <w:bottom w:w="28" w:type="dxa"/>
            </w:tcMar>
            <w:vAlign w:val="center"/>
          </w:tcPr>
          <w:p>
            <w:pPr>
              <w:pStyle w:val="TableContents"/>
              <w:bidi w:val="0"/>
              <w:spacing w:before="0" w:after="283"/>
              <w:jc w:val="right"/>
              <w:rPr/>
            </w:pPr>
            <w:r>
              <w:rPr/>
              <w:t>103,147</w:t>
            </w:r>
          </w:p>
        </w:tc>
        <w:tc>
          <w:tcPr>
            <w:tcW w:w="233" w:type="dxa"/>
            <w:tcBorders/>
            <w:vAlign w:val="center"/>
          </w:tcPr>
          <w:p>
            <w:pPr>
              <w:pStyle w:val="TableContents"/>
              <w:bidi w:val="0"/>
              <w:spacing w:before="0" w:after="283"/>
              <w:jc w:val="left"/>
              <w:rPr/>
            </w:pPr>
            <w:r>
              <w:rPr/>
              <w:t> </w:t>
            </w:r>
          </w:p>
        </w:tc>
      </w:tr>
      <w:tr>
        <w:trPr/>
        <w:tc>
          <w:tcPr>
            <w:tcW w:w="6898" w:type="dxa"/>
            <w:tcBorders/>
            <w:shd w:fill="CCEEFF" w:val="clear"/>
            <w:vAlign w:val="center"/>
          </w:tcPr>
          <w:p>
            <w:pPr>
              <w:pStyle w:val="TableContents"/>
              <w:bidi w:val="0"/>
              <w:spacing w:before="0" w:after="0"/>
              <w:ind w:left="0" w:right="0" w:hanging="144"/>
              <w:jc w:val="left"/>
              <w:rPr/>
            </w:pPr>
            <w:r>
              <w:rPr>
                <w:b/>
              </w:rPr>
              <w:t>Cash and cash equivalents - end of period</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8" w:space="0" w:color="000000"/>
            </w:tcBorders>
            <w:shd w:fill="CCEEFF" w:val="clear"/>
            <w:tcMar>
              <w:bottom w:w="28" w:type="dxa"/>
            </w:tcMar>
            <w:vAlign w:val="center"/>
          </w:tcPr>
          <w:p>
            <w:pPr>
              <w:pStyle w:val="TableContents"/>
              <w:bidi w:val="0"/>
              <w:spacing w:before="0" w:after="283"/>
              <w:jc w:val="right"/>
              <w:rPr/>
            </w:pPr>
            <w:r>
              <w:rPr/>
              <w:t>136,020</w:t>
            </w:r>
          </w:p>
        </w:tc>
        <w:tc>
          <w:tcPr>
            <w:tcW w:w="23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right"/>
              <w:rPr/>
            </w:pPr>
            <w:r>
              <w:rPr/>
              <w:t> </w:t>
            </w:r>
          </w:p>
        </w:tc>
        <w:tc>
          <w:tcPr>
            <w:tcW w:w="219"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072" w:type="dxa"/>
            <w:tcBorders>
              <w:bottom w:val="double" w:sz="8" w:space="0" w:color="000000"/>
            </w:tcBorders>
            <w:shd w:fill="CCEEFF" w:val="clear"/>
            <w:tcMar>
              <w:bottom w:w="28" w:type="dxa"/>
            </w:tcMar>
            <w:vAlign w:val="center"/>
          </w:tcPr>
          <w:p>
            <w:pPr>
              <w:pStyle w:val="TableContents"/>
              <w:bidi w:val="0"/>
              <w:spacing w:before="0" w:after="283"/>
              <w:jc w:val="right"/>
              <w:rPr/>
            </w:pPr>
            <w:r>
              <w:rPr/>
              <w:t>90,285</w:t>
            </w:r>
          </w:p>
        </w:tc>
        <w:tc>
          <w:tcPr>
            <w:tcW w:w="23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ADMA BIOLOGICS,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10" w:name="NOTES"/>
      <w:bookmarkEnd w:id="10"/>
      <w:r>
        <w:rPr>
          <w:rFonts w:ascii="Times New Roman" w:hAnsi="Times New Roman"/>
          <w:b/>
          <w:sz w:val="20"/>
        </w:rPr>
        <w:t>NOTES TO CONDENSED CONSOLIDATED FINANCIAL STATEMENTS (UNAUDITED)</w:t>
      </w:r>
      <w:r>
        <w:rPr>
          <w:rFonts w:ascii="Times New Roman" w:hAnsi="Times New Roman"/>
          <w:sz w:val="20"/>
        </w:rPr>
        <w:t xml:space="preserve"> </w:t>
      </w:r>
    </w:p>
    <w:p>
      <w:pPr>
        <w:pStyle w:val="TextBody"/>
        <w:bidi w:val="0"/>
        <w:spacing w:before="0" w:after="0"/>
        <w:ind w:left="540" w:right="0" w:hanging="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ORGANIZATION AND BUSINESS</w:t>
      </w:r>
      <w:r>
        <w:rPr>
          <w:rFonts w:ascii="Times New Roman" w:hAnsi="Times New Roman"/>
          <w:sz w:val="20"/>
        </w:rPr>
        <w:t xml:space="preserve">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342900" cy="175260"/>
                <wp:effectExtent l="0" t="0" r="0" b="0"/>
                <wp:wrapSquare wrapText="right"/>
                <wp:docPr id="40" name="Frame40"/>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sz w:val="20"/>
                              </w:rPr>
                              <w:t>1.</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1.</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675"/>
        <w:jc w:val="both"/>
        <w:rPr>
          <w:rFonts w:ascii="Times New Roman" w:hAnsi="Times New Roman"/>
          <w:sz w:val="20"/>
        </w:rPr>
      </w:pPr>
      <w:r>
        <w:rPr>
          <w:rFonts w:ascii="Times New Roman" w:hAnsi="Times New Roman"/>
          <w:color w:val="000000"/>
          <w:sz w:val="20"/>
        </w:rPr>
        <w:t>ADMA Biologics, Inc. (</w:t>
      </w:r>
      <w:r>
        <w:rPr>
          <w:rFonts w:ascii="Times New Roman" w:hAnsi="Times New Roman"/>
          <w:sz w:val="20"/>
        </w:rPr>
        <w:t xml:space="preserve">the “Company,” “ADMA,” “we,” “us” or “our”) </w:t>
      </w:r>
      <w:r>
        <w:rPr>
          <w:rFonts w:ascii="Times New Roman" w:hAnsi="Times New Roman"/>
          <w:color w:val="000000"/>
          <w:sz w:val="20"/>
        </w:rPr>
        <w:t>is a U.S. based, end-to-end commercial biopharmaceutical company dedicated to manufacturing, marketing and developing specialty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675"/>
        <w:jc w:val="both"/>
        <w:rPr>
          <w:rFonts w:ascii="Times New Roman" w:hAnsi="Times New Roman"/>
          <w:sz w:val="20"/>
        </w:rPr>
      </w:pPr>
      <w:r>
        <w:rPr>
          <w:rFonts w:ascii="Times New Roman" w:hAnsi="Times New Roman"/>
          <w:color w:val="000000"/>
          <w:sz w:val="20"/>
        </w:rPr>
        <w:t>ADMA operates through its wholly owned subsidiaries ADMA BioManufacturing, LLC (“ADMA BioManufacturing”) and ADMA BioCenters Georgia Inc. (“ADMA BioCenters”). ADMA BioManufacturing was formed in January 2017 to facilitate the acquisition of certain assets held by the Company’s former third-party contract manufacturer, which included the U.S. Food and Drug Administration (“FDA”)-licensed BIVIGAM and Nabi-HB immunoglobulin products, and an FDA-licensed plasma fractionation manufacturing facility located in Boca Raton, Florida (the “Boca Facility”). ADMA BioCenters is the Company’s source plasma collection business with seven plasma collection facilities located throughout the U.S., all of which hold an approved license with the FDA.</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The Company currently has three FDA-approved products,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in adults and children ages two and above, for which the Company received FDA approval in April 2019 and commenced first commercial sales in October 2019; (ii) BIVIGAM (Immune Globulin Intravenous, Human), an IVIG product indicated for the treatment of PI in adults and children ages two and above, and for which the Company received FDA approval in May 2019 and commenced commercial sales in August 2019; and (iii) Nabi-HB (Hepatitis B Immune Globulin, Human), which is indicated for the treatment of acute exposure to blood containing Hepatitis B surface antigen and other listed exposures to Hepatitis B. In addition to its commercially available immunoglobulin products, the Company generates revenues from the sale of intermediate by-products that result from the immunoglobulin production process and from time to time provides contract manufacturing and laboratory services for certain clients. </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2"/>
        </w:rPr>
      </w:pPr>
      <w:r>
        <w:rPr>
          <w:rFonts w:ascii="Times New Roman" w:hAnsi="Times New Roman"/>
          <w:sz w:val="20"/>
        </w:rPr>
        <w:t>The Company is also developing a pipeline of plasma-derived therapeutics, including a product related to its issued U.S. Patent Nos. 10,259,865, 11,084,870, 11,897,943, and 12,612,450 pertaining</w:t>
      </w:r>
      <w:r>
        <w:rPr>
          <w:rFonts w:ascii="Times New Roman" w:hAnsi="Times New Roman"/>
          <w:sz w:val="22"/>
        </w:rPr>
        <w:t xml:space="preserve"> </w:t>
      </w:r>
      <w:r>
        <w:rPr>
          <w:rFonts w:ascii="Times New Roman" w:hAnsi="Times New Roman"/>
          <w:sz w:val="20"/>
        </w:rPr>
        <w:t xml:space="preserve">to methods of treatment and prevention of </w:t>
      </w:r>
      <w:r>
        <w:rPr>
          <w:rFonts w:ascii="Times New Roman" w:hAnsi="Times New Roman"/>
          <w:i/>
          <w:sz w:val="20"/>
        </w:rPr>
        <w:t>S. pneumoniae</w:t>
      </w:r>
      <w:r>
        <w:rPr>
          <w:rFonts w:ascii="Times New Roman" w:hAnsi="Times New Roman"/>
          <w:sz w:val="20"/>
        </w:rPr>
        <w:t xml:space="preserve"> infection using an immunoglobulin manufactured to contain standardized antibodies to </w:t>
      </w:r>
      <w:r>
        <w:rPr>
          <w:rFonts w:ascii="Times New Roman" w:hAnsi="Times New Roman"/>
          <w:i/>
          <w:sz w:val="20"/>
        </w:rPr>
        <w:t xml:space="preserve">S. pneumoniae </w:t>
      </w:r>
      <w:r>
        <w:rPr>
          <w:rFonts w:ascii="Times New Roman" w:hAnsi="Times New Roman"/>
          <w:sz w:val="20"/>
        </w:rPr>
        <w:t>serotypes. The Company successfully completed production of a pilot-scale batch and is conducting animal studies for its </w:t>
      </w:r>
      <w:r>
        <w:rPr>
          <w:rFonts w:ascii="Times New Roman" w:hAnsi="Times New Roman"/>
          <w:i/>
          <w:sz w:val="20"/>
        </w:rPr>
        <w:t>S. pneumoniae</w:t>
      </w:r>
      <w:r>
        <w:rPr>
          <w:rFonts w:ascii="Times New Roman" w:hAnsi="Times New Roman"/>
          <w:sz w:val="20"/>
        </w:rPr>
        <w:t> hyperimmune globulin program, SG-001.</w:t>
      </w:r>
    </w:p>
    <w:p>
      <w:pPr>
        <w:pStyle w:val="TextBody"/>
        <w:bidi w:val="0"/>
        <w:spacing w:before="0" w:after="0"/>
        <w:ind w:left="0" w:right="0" w:firstLine="675"/>
        <w:jc w:val="both"/>
        <w:rPr/>
      </w:pPr>
      <w:r>
        <w:rPr/>
        <w:t>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SUMMARY OF SIGNIFICANT ACCOUNTING POLICIES</w:t>
      </w:r>
      <w:r>
        <w:rPr>
          <w:rFonts w:ascii="Times New Roman" w:hAnsi="Times New Roman"/>
          <w:sz w:val="20"/>
        </w:rPr>
        <w:t xml:space="preserve">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342900" cy="175260"/>
                <wp:effectExtent l="0" t="0" r="0" b="0"/>
                <wp:wrapSquare wrapText="right"/>
                <wp:docPr id="41" name="Frame4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sz w:val="20"/>
                              </w:rPr>
                              <w:t>2.</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Principles of consolidation and basis of presentation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accompanying unaudited condensed consolidated financial statements have been prepared in conformity with accounting principles generally accepted in the United States of America (“U.S. GAAP”) for interim financial information. In the opinion of management, the accompanying unaudited condensed consolidated financial statements include all adjustments, consisting only of normal recurring adjustments, necessary for a fair statement of the Company’s financial position, results of operations and cash flows for the periods presented. Any reference in these notes to applicable guidance is meant to refer to U.S. GAAP as found in the Accounting Standards Codification (“ASC”) and Accounting Standards Updates (“ASU”) of the Financial Accounting Standards Board (the “FASB”).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accompanying unaudited condensed consolidated financial statements should be read in conjunction with the annual audited consolidated financial statements and notes thereto as of and for the year ended December 31, 2025 included in the Company’s Annual Report on Form 10-K for the year ended December 31, 2025 (the “2025 10-K”). All intercompany balances and transactions have been eliminated in consolidation. The preparation of our interim consolidated financial statements in conformity with U.S. GAAP requires management to make estimates and assumptions that affect the amounts reported and disclosed. We have made reasonable estimates and judgments of such items within our financial statements and there may be changes to those estimates in future periods.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During the three and six months ended June 30, 2026 and 2025, comprehensive income was equal to the net income amounts presented for the respective periods in the accompanying condensed consolidated statements of operations. Results for interim periods are not necessarily indicative of the results that may be expected for the full fiscal year.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ADMA BIOLOGICS,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CONDENSED CONSOLIDATED FINANCIAL STATEMENTS (UNAUDITED)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Use of Estimates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estimates related to the Company’s effective tax rate.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Accounts Receivable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Accounts receivable is reported at realizable value, net of allowances for customer credits and credit losses in the amount of $0.8 million and $0.3 million at June 30, 2026 and December 31, 2025, respectively. </w:t>
      </w:r>
      <w:r>
        <w:rPr>
          <w:rFonts w:ascii="Times New Roman" w:hAnsi="Times New Roman"/>
          <w:color w:val="212529"/>
          <w:sz w:val="20"/>
        </w:rPr>
        <w:t>The Company extends credit to its customers based upon an evaluation of each customer’s financial condition and credit history. Evaluations of the financial condition, payment history and associated credit risk of customers are performed on an ongoing basis.</w:t>
      </w:r>
      <w:r>
        <w:rPr>
          <w:rFonts w:ascii="Times New Roman" w:hAnsi="Times New Roman"/>
          <w:sz w:val="20"/>
        </w:rPr>
        <w:t xml:space="preserve"> Based on these evaluations, the Company has concluded that its credit risk is minimal. At June 30, 2026 and December 31, 2025, two customers accounted for an aggregate of approximately 81% and 87%, respectively, of the Company’s total accounts receivable. </w:t>
      </w:r>
    </w:p>
    <w:p>
      <w:pPr>
        <w:pStyle w:val="TextBody"/>
        <w:bidi w:val="0"/>
        <w:spacing w:before="0" w:after="0"/>
        <w:ind w:left="360" w:right="0" w:hanging="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Inventories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Raw materials inventory consists of normal source plasma (“NSP”) and respiratory syncytial virus (“RSV”) high-titer plasma collected at the Company’s plasma collection facilities or purchased from third parties, along with various materials purchased from suppliers,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w:t>
      </w:r>
    </w:p>
    <w:p>
      <w:pPr>
        <w:pStyle w:val="TextBody"/>
        <w:bidi w:val="0"/>
        <w:spacing w:before="0" w:after="0"/>
        <w:ind w:left="0" w:right="0" w:firstLine="675"/>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 xml:space="preserve">Inventories, including plasma intended for resale and plasma intended for internal use in the Company’s manufacturing, commercialization or research and development activities, are carried at the lower of cost or net realizable value determined by the first-in, first-out method. For both the Company’s immune globulin products and plasma intended for resale and internal use,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 In addition, costs associated with the production of engineering lots that would not qualify as immediately available for commercial sale are charged to cost of product revenue and not </w:t>
      </w:r>
      <w:r>
        <w:rPr>
          <w:rFonts w:ascii="Times New Roman" w:hAnsi="Times New Roman"/>
          <w:sz w:val="20"/>
        </w:rPr>
        <w:t xml:space="preserve">capitalized into inventory.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Goodwill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Goodwill represents the excess of purchase price over the fair value of net assets acquired by the Company. Goodwill at June 30, 2026 and December 31, 2025 was $3.5 million, all of which is attributable to its ADMA BioManufacturing business segment. </w:t>
      </w:r>
    </w:p>
    <w:p>
      <w:pPr>
        <w:pStyle w:val="TextBody"/>
        <w:bidi w:val="0"/>
        <w:spacing w:before="0" w:after="0"/>
        <w:ind w:left="360" w:right="0" w:hanging="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did not record any impairment charges related to goodwill for the three and six months ended June 30, 2026 and 2025.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Revenue Recognition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Revenues are comprised of (i) revenues from the sale of the Company’s immunoglobulin products, ASCENIV, BIVIGAM and Nabi-HB, (ii) product revenues from the sale of human plasma collected by the Company’s Plasma Collection Centers business segment, (iii) contract manufacturing and laboratory services revenue, (iv) revenues from the sale of intermediate by-products and (v) license and other revenues primarily attributable to the out-licensing of ASCENIV to Biotest AG (“Biotest”) in 2012 to market and sell this product in Europe and certain countries in Northern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22 years.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ADMA BIOLOGICS,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CONDENSED CONSOLIDATED FINANCIAL STATEMENTS (UNAUDITED)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Product revenue is recognized when the customer is deemed to have control over the product and the performance obligation is satisfied. Control is determined based on when the product is shipped or delivered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wholesaler distribution and related fees, customer incentives, including prompt pay discounts, wholesaler chargebacks, group purchasing organization fees and reimbursements for patient assistance. These estimates are based on contractual arrangements, historical experience and certain other assumptions, and while the Company believes that such estimates are reasonable, they are subject to change based on future developments and other factors.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For revenues associated with contract manufacturing and the sale of intermediates, control transfers to the customer and the performance obligation is satisfied when the customer takes possession of the product from the Boca Facility. </w:t>
      </w:r>
    </w:p>
    <w:p>
      <w:pPr>
        <w:pStyle w:val="TextBody"/>
        <w:bidi w:val="0"/>
        <w:spacing w:before="0" w:after="0"/>
        <w:ind w:left="360" w:right="0" w:hanging="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Product revenues from the sale of human plasma collected at the Company’s plasma collection centers are recognized at the time control of the product has been transferred to the customer and the performance obligation is satisfied, which generally occurs at the time of shipment from one of the Company’s plasma collection facilities or from a third-party warehouse that is utilized by the Company. Product revenues are recognized at the time of delivery if the Company retains control of the product during shipment. </w:t>
      </w:r>
    </w:p>
    <w:p>
      <w:pPr>
        <w:pStyle w:val="TextBody"/>
        <w:bidi w:val="0"/>
        <w:spacing w:before="0" w:after="0"/>
        <w:ind w:left="360" w:right="0" w:hanging="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For the three and six months ended June 30, 2026, three customers represented an aggregate of approximately 76% and 79%, respectively, of the Company’s consolidated revenues. For the three and six months ended June 30, 2025, three customers represented an aggregate of approximately 88% and 81%, respectively, of the Company’s consolidated revenues.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Cost of Product Revenue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Cost of product revenue includes costs associated with the manufacture of the Company’s FDA approved products and intermediates and for the collection of human source plasma, as well as expenses related to conformance batch production, process development and scientific and technical operations when these operations are attributable to marketed products. When the activities of these operations are attributable to new products in development, the expenses are classified as research and development expenses.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color w:val="000000"/>
          <w:sz w:val="20"/>
          <w:u w:val="single"/>
        </w:rPr>
        <w:t>Earnings Per Common Share</w:t>
      </w:r>
      <w:r>
        <w:rPr>
          <w:rFonts w:ascii="Times New Roman" w:hAnsi="Times New Roman"/>
          <w:color w:val="000000"/>
          <w:sz w:val="20"/>
        </w:rPr>
        <w:t> </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For the three and six months ended June 30, 2026 and 2025, basic and diluted earnings per share are calculated as follows: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3644"/>
        <w:gridCol w:w="90"/>
        <w:gridCol w:w="170"/>
        <w:gridCol w:w="1300"/>
        <w:gridCol w:w="93"/>
        <w:gridCol w:w="93"/>
        <w:gridCol w:w="176"/>
        <w:gridCol w:w="1300"/>
        <w:gridCol w:w="90"/>
        <w:gridCol w:w="90"/>
        <w:gridCol w:w="170"/>
        <w:gridCol w:w="1250"/>
        <w:gridCol w:w="90"/>
        <w:gridCol w:w="90"/>
        <w:gridCol w:w="170"/>
        <w:gridCol w:w="1250"/>
        <w:gridCol w:w="139"/>
      </w:tblGrid>
      <w:tr>
        <w:trPr/>
        <w:tc>
          <w:tcPr>
            <w:tcW w:w="36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36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36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2962" w:type="dxa"/>
            <w:gridSpan w:val="5"/>
            <w:tcBorders>
              <w:bottom w:val="single" w:sz="6" w:space="0" w:color="000000"/>
            </w:tcBorders>
            <w:tcMar>
              <w:bottom w:w="28" w:type="dxa"/>
            </w:tcMar>
            <w:vAlign w:val="center"/>
          </w:tcPr>
          <w:p>
            <w:pPr>
              <w:pStyle w:val="TableContents"/>
              <w:bidi w:val="0"/>
              <w:spacing w:before="0" w:after="283"/>
              <w:jc w:val="center"/>
              <w:rPr/>
            </w:pPr>
            <w:r>
              <w:rPr>
                <w:b/>
                <w:spacing w:val="0"/>
              </w:rPr>
              <w:t>Three Months ended June 30,</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2850" w:type="dxa"/>
            <w:gridSpan w:val="5"/>
            <w:tcBorders>
              <w:bottom w:val="single" w:sz="6" w:space="0" w:color="000000"/>
            </w:tcBorders>
            <w:tcMar>
              <w:bottom w:w="28" w:type="dxa"/>
            </w:tcMar>
            <w:vAlign w:val="center"/>
          </w:tcPr>
          <w:p>
            <w:pPr>
              <w:pStyle w:val="TableContents"/>
              <w:bidi w:val="0"/>
              <w:spacing w:before="0" w:after="283"/>
              <w:jc w:val="center"/>
              <w:rPr/>
            </w:pPr>
            <w:r>
              <w:rPr>
                <w:b/>
                <w:spacing w:val="0"/>
              </w:rPr>
              <w:t>Six Months ended June 30,</w:t>
            </w:r>
            <w:r>
              <w:rPr/>
              <w:t xml:space="preserve"> </w:t>
            </w:r>
          </w:p>
        </w:tc>
        <w:tc>
          <w:tcPr>
            <w:tcW w:w="139" w:type="dxa"/>
            <w:tcBorders/>
            <w:vAlign w:val="center"/>
          </w:tcPr>
          <w:p>
            <w:pPr>
              <w:pStyle w:val="TableContents"/>
              <w:bidi w:val="0"/>
              <w:spacing w:before="0" w:after="283"/>
              <w:jc w:val="center"/>
              <w:rPr/>
            </w:pPr>
            <w:r>
              <w:rPr/>
              <w:t> </w:t>
            </w:r>
          </w:p>
        </w:tc>
      </w:tr>
      <w:tr>
        <w:trPr/>
        <w:tc>
          <w:tcPr>
            <w:tcW w:w="36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300" w:type="dxa"/>
            <w:tcBorders>
              <w:bottom w:val="single" w:sz="6" w:space="0" w:color="000000"/>
            </w:tcBorders>
            <w:tcMar>
              <w:bottom w:w="28" w:type="dxa"/>
            </w:tcMar>
            <w:vAlign w:val="center"/>
          </w:tcPr>
          <w:p>
            <w:pPr>
              <w:pStyle w:val="TableContents"/>
              <w:bidi w:val="0"/>
              <w:spacing w:before="0" w:after="283"/>
              <w:jc w:val="center"/>
              <w:rPr/>
            </w:pPr>
            <w:r>
              <w:rPr>
                <w:b/>
              </w:rPr>
              <w:t>2026</w:t>
            </w:r>
            <w:r>
              <w:rPr/>
              <w:t xml:space="preserve"> </w:t>
            </w:r>
          </w:p>
        </w:tc>
        <w:tc>
          <w:tcPr>
            <w:tcW w:w="93"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176" w:type="dxa"/>
            <w:tcBorders>
              <w:bottom w:val="single" w:sz="6" w:space="0" w:color="000000"/>
            </w:tcBorders>
            <w:tcMar>
              <w:bottom w:w="28" w:type="dxa"/>
            </w:tcMar>
            <w:vAlign w:val="center"/>
          </w:tcPr>
          <w:p>
            <w:pPr>
              <w:pStyle w:val="TableContents"/>
              <w:bidi w:val="0"/>
              <w:spacing w:before="0" w:after="283"/>
              <w:jc w:val="center"/>
              <w:rPr/>
            </w:pPr>
            <w:r>
              <w:rPr/>
              <w:t> </w:t>
            </w:r>
          </w:p>
        </w:tc>
        <w:tc>
          <w:tcPr>
            <w:tcW w:w="1300" w:type="dxa"/>
            <w:tcBorders>
              <w:bottom w:val="single" w:sz="6" w:space="0" w:color="000000"/>
            </w:tcBorders>
            <w:tcMar>
              <w:bottom w:w="28" w:type="dxa"/>
            </w:tcMar>
            <w:vAlign w:val="center"/>
          </w:tcPr>
          <w:p>
            <w:pPr>
              <w:pStyle w:val="TableContents"/>
              <w:bidi w:val="0"/>
              <w:spacing w:before="0" w:after="283"/>
              <w:jc w:val="center"/>
              <w:rPr/>
            </w:pPr>
            <w:r>
              <w:rPr>
                <w:b/>
              </w:rP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50" w:type="dxa"/>
            <w:tcBorders>
              <w:bottom w:val="single" w:sz="6" w:space="0" w:color="000000"/>
            </w:tcBorders>
            <w:tcMar>
              <w:bottom w:w="28" w:type="dxa"/>
            </w:tcMar>
            <w:vAlign w:val="center"/>
          </w:tcPr>
          <w:p>
            <w:pPr>
              <w:pStyle w:val="TableContents"/>
              <w:bidi w:val="0"/>
              <w:spacing w:before="0" w:after="283"/>
              <w:jc w:val="center"/>
              <w:rPr/>
            </w:pPr>
            <w:r>
              <w:rPr>
                <w:b/>
              </w:rPr>
              <w:t>2026</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50" w:type="dxa"/>
            <w:tcBorders>
              <w:bottom w:val="single" w:sz="6"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39" w:type="dxa"/>
            <w:tcBorders/>
            <w:vAlign w:val="center"/>
          </w:tcPr>
          <w:p>
            <w:pPr>
              <w:pStyle w:val="TableContents"/>
              <w:bidi w:val="0"/>
              <w:spacing w:before="0" w:after="283"/>
              <w:jc w:val="center"/>
              <w:rPr/>
            </w:pPr>
            <w:r>
              <w:rPr/>
              <w:t> </w:t>
            </w:r>
          </w:p>
        </w:tc>
      </w:tr>
      <w:tr>
        <w:trPr/>
        <w:tc>
          <w:tcPr>
            <w:tcW w:w="3644" w:type="dxa"/>
            <w:tcBorders/>
            <w:shd w:fill="CCEEFF" w:val="clear"/>
            <w:vAlign w:val="center"/>
          </w:tcPr>
          <w:p>
            <w:pPr>
              <w:pStyle w:val="TableContents"/>
              <w:bidi w:val="0"/>
              <w:spacing w:before="0" w:after="0"/>
              <w:ind w:left="0" w:right="0" w:hanging="144"/>
              <w:jc w:val="left"/>
              <w:rPr/>
            </w:pPr>
            <w:r>
              <w:rPr/>
              <w:t xml:space="preserve">Net income available to common stockholders ($000's) (numerator)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300" w:type="dxa"/>
            <w:tcBorders/>
            <w:shd w:fill="CCEEFF" w:val="clear"/>
            <w:vAlign w:val="center"/>
          </w:tcPr>
          <w:p>
            <w:pPr>
              <w:pStyle w:val="TableContents"/>
              <w:bidi w:val="0"/>
              <w:spacing w:before="0" w:after="283"/>
              <w:jc w:val="right"/>
              <w:rPr/>
            </w:pPr>
            <w:r>
              <w:rPr/>
              <w:t>37,822</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w:t>
            </w:r>
          </w:p>
        </w:tc>
        <w:tc>
          <w:tcPr>
            <w:tcW w:w="1300" w:type="dxa"/>
            <w:tcBorders/>
            <w:shd w:fill="CCEEFF" w:val="clear"/>
            <w:vAlign w:val="center"/>
          </w:tcPr>
          <w:p>
            <w:pPr>
              <w:pStyle w:val="TableContents"/>
              <w:bidi w:val="0"/>
              <w:spacing w:before="0" w:after="283"/>
              <w:jc w:val="right"/>
              <w:rPr/>
            </w:pPr>
            <w:r>
              <w:rPr/>
              <w:t>34,219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83,150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61,122</w:t>
            </w:r>
          </w:p>
        </w:tc>
        <w:tc>
          <w:tcPr>
            <w:tcW w:w="139" w:type="dxa"/>
            <w:tcBorders/>
            <w:shd w:fill="CCEEFF" w:val="clear"/>
            <w:vAlign w:val="center"/>
          </w:tcPr>
          <w:p>
            <w:pPr>
              <w:pStyle w:val="TableContents"/>
              <w:bidi w:val="0"/>
              <w:spacing w:before="0" w:after="283"/>
              <w:jc w:val="left"/>
              <w:rPr/>
            </w:pPr>
            <w:r>
              <w:rPr/>
              <w:t> </w:t>
            </w:r>
          </w:p>
        </w:tc>
      </w:tr>
      <w:tr>
        <w:trPr/>
        <w:tc>
          <w:tcPr>
            <w:tcW w:w="3644" w:type="dxa"/>
            <w:tcBorders/>
            <w:vAlign w:val="center"/>
          </w:tcPr>
          <w:p>
            <w:pPr>
              <w:pStyle w:val="TableContents"/>
              <w:bidi w:val="0"/>
              <w:spacing w:before="0" w:after="0"/>
              <w:ind w:left="0" w:right="0" w:hanging="144"/>
              <w:jc w:val="left"/>
              <w:rPr/>
            </w:pPr>
            <w:r>
              <w:rPr/>
              <w:t xml:space="preserve">Weighted-average number of common shares (denominator)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00" w:type="dxa"/>
            <w:tcBorders>
              <w:bottom w:val="single" w:sz="6" w:space="0" w:color="000000"/>
            </w:tcBorders>
            <w:tcMar>
              <w:bottom w:w="28" w:type="dxa"/>
            </w:tcMar>
            <w:vAlign w:val="center"/>
          </w:tcPr>
          <w:p>
            <w:pPr>
              <w:pStyle w:val="TableContents"/>
              <w:bidi w:val="0"/>
              <w:spacing w:before="0" w:after="283"/>
              <w:jc w:val="right"/>
              <w:rPr/>
            </w:pPr>
            <w:r>
              <w:rPr/>
              <w:t>228,232,503</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right"/>
              <w:rPr/>
            </w:pPr>
            <w:r>
              <w:rPr/>
              <w:t> </w:t>
            </w:r>
          </w:p>
        </w:tc>
        <w:tc>
          <w:tcPr>
            <w:tcW w:w="176" w:type="dxa"/>
            <w:tcBorders>
              <w:bottom w:val="single" w:sz="6" w:space="0" w:color="000000"/>
            </w:tcBorders>
            <w:tcMar>
              <w:bottom w:w="28" w:type="dxa"/>
            </w:tcMar>
            <w:vAlign w:val="center"/>
          </w:tcPr>
          <w:p>
            <w:pPr>
              <w:pStyle w:val="TableContents"/>
              <w:bidi w:val="0"/>
              <w:spacing w:before="0" w:after="283"/>
              <w:jc w:val="left"/>
              <w:rPr/>
            </w:pPr>
            <w:r>
              <w:rPr/>
              <w:t> </w:t>
            </w:r>
          </w:p>
        </w:tc>
        <w:tc>
          <w:tcPr>
            <w:tcW w:w="1300" w:type="dxa"/>
            <w:tcBorders>
              <w:bottom w:val="single" w:sz="6" w:space="0" w:color="000000"/>
            </w:tcBorders>
            <w:tcMar>
              <w:bottom w:w="28" w:type="dxa"/>
            </w:tcMar>
            <w:vAlign w:val="center"/>
          </w:tcPr>
          <w:p>
            <w:pPr>
              <w:pStyle w:val="TableContents"/>
              <w:bidi w:val="0"/>
              <w:spacing w:before="0" w:after="283"/>
              <w:jc w:val="right"/>
              <w:rPr/>
            </w:pPr>
            <w:r>
              <w:rPr/>
              <w:t>241,490,715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232,136,480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238,309,156</w:t>
            </w:r>
          </w:p>
        </w:tc>
        <w:tc>
          <w:tcPr>
            <w:tcW w:w="139" w:type="dxa"/>
            <w:tcBorders/>
            <w:vAlign w:val="center"/>
          </w:tcPr>
          <w:p>
            <w:pPr>
              <w:pStyle w:val="TableContents"/>
              <w:bidi w:val="0"/>
              <w:spacing w:before="0" w:after="283"/>
              <w:jc w:val="left"/>
              <w:rPr/>
            </w:pPr>
            <w:r>
              <w:rPr/>
              <w:t> </w:t>
            </w:r>
          </w:p>
        </w:tc>
      </w:tr>
      <w:tr>
        <w:trPr/>
        <w:tc>
          <w:tcPr>
            <w:tcW w:w="3644" w:type="dxa"/>
            <w:tcBorders/>
            <w:shd w:fill="CCEEFF" w:val="clear"/>
            <w:vAlign w:val="center"/>
          </w:tcPr>
          <w:p>
            <w:pPr>
              <w:pStyle w:val="TableContents"/>
              <w:bidi w:val="0"/>
              <w:spacing w:before="0" w:after="0"/>
              <w:ind w:left="0" w:right="0" w:hanging="144"/>
              <w:jc w:val="left"/>
              <w:rPr/>
            </w:pPr>
            <w:r>
              <w:rPr/>
              <w:t xml:space="preserve">Basic earnings per common share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300" w:type="dxa"/>
            <w:tcBorders>
              <w:bottom w:val="single" w:sz="6" w:space="0" w:color="000000"/>
            </w:tcBorders>
            <w:shd w:fill="CCEEFF" w:val="clear"/>
            <w:tcMar>
              <w:bottom w:w="28" w:type="dxa"/>
            </w:tcMar>
            <w:vAlign w:val="center"/>
          </w:tcPr>
          <w:p>
            <w:pPr>
              <w:pStyle w:val="TableContents"/>
              <w:bidi w:val="0"/>
              <w:spacing w:before="0" w:after="283"/>
              <w:jc w:val="right"/>
              <w:rPr/>
            </w:pPr>
            <w:r>
              <w:rPr/>
              <w:t>0.17</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176"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300" w:type="dxa"/>
            <w:tcBorders>
              <w:bottom w:val="single" w:sz="6" w:space="0" w:color="000000"/>
            </w:tcBorders>
            <w:shd w:fill="CCEEFF" w:val="clear"/>
            <w:tcMar>
              <w:bottom w:w="28" w:type="dxa"/>
            </w:tcMar>
            <w:vAlign w:val="center"/>
          </w:tcPr>
          <w:p>
            <w:pPr>
              <w:pStyle w:val="TableContents"/>
              <w:bidi w:val="0"/>
              <w:spacing w:before="0" w:after="283"/>
              <w:jc w:val="right"/>
              <w:rPr/>
            </w:pPr>
            <w:r>
              <w:rPr/>
              <w:t>0.14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right"/>
              <w:rPr/>
            </w:pPr>
            <w:r>
              <w:rPr/>
              <w:t>0.36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right"/>
              <w:rPr/>
            </w:pPr>
            <w:r>
              <w:rPr/>
              <w:t>0.26</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6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300" w:type="dxa"/>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right"/>
              <w:rPr/>
            </w:pPr>
            <w:r>
              <w:rPr/>
              <w:t> </w:t>
            </w:r>
          </w:p>
        </w:tc>
        <w:tc>
          <w:tcPr>
            <w:tcW w:w="130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50" w:type="dxa"/>
            <w:tcBorders/>
            <w:vAlign w:val="center"/>
          </w:tcPr>
          <w:p>
            <w:pPr>
              <w:pStyle w:val="TableContents"/>
              <w:bidi w:val="0"/>
              <w:spacing w:before="0" w:after="283"/>
              <w:jc w:val="right"/>
              <w:rPr/>
            </w:pPr>
            <w:r>
              <w:rPr/>
              <w:t> </w:t>
            </w:r>
          </w:p>
        </w:tc>
        <w:tc>
          <w:tcPr>
            <w:tcW w:w="139" w:type="dxa"/>
            <w:tcBorders/>
            <w:vAlign w:val="center"/>
          </w:tcPr>
          <w:p>
            <w:pPr>
              <w:pStyle w:val="TableContents"/>
              <w:bidi w:val="0"/>
              <w:spacing w:before="0" w:after="283"/>
              <w:jc w:val="right"/>
              <w:rPr/>
            </w:pPr>
            <w:r>
              <w:rPr/>
              <w:t> </w:t>
            </w:r>
          </w:p>
        </w:tc>
      </w:tr>
      <w:tr>
        <w:trPr/>
        <w:tc>
          <w:tcPr>
            <w:tcW w:w="3644" w:type="dxa"/>
            <w:tcBorders/>
            <w:shd w:fill="CCEEFF" w:val="clear"/>
            <w:vAlign w:val="center"/>
          </w:tcPr>
          <w:p>
            <w:pPr>
              <w:pStyle w:val="TableContents"/>
              <w:bidi w:val="0"/>
              <w:spacing w:before="0" w:after="0"/>
              <w:ind w:left="0" w:right="0" w:hanging="144"/>
              <w:jc w:val="left"/>
              <w:rPr/>
            </w:pPr>
            <w:r>
              <w:rPr/>
              <w:t xml:space="preserve">Weighted-average number of common shares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228,232,503</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241,490,715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232,136,480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238,309,156</w:t>
            </w:r>
          </w:p>
        </w:tc>
        <w:tc>
          <w:tcPr>
            <w:tcW w:w="139" w:type="dxa"/>
            <w:tcBorders/>
            <w:shd w:fill="CCEEFF" w:val="clear"/>
            <w:vAlign w:val="center"/>
          </w:tcPr>
          <w:p>
            <w:pPr>
              <w:pStyle w:val="TableContents"/>
              <w:bidi w:val="0"/>
              <w:spacing w:before="0" w:after="283"/>
              <w:jc w:val="left"/>
              <w:rPr/>
            </w:pPr>
            <w:r>
              <w:rPr/>
              <w:t> </w:t>
            </w:r>
          </w:p>
        </w:tc>
      </w:tr>
      <w:tr>
        <w:trPr/>
        <w:tc>
          <w:tcPr>
            <w:tcW w:w="3644" w:type="dxa"/>
            <w:tcBorders/>
            <w:vAlign w:val="center"/>
          </w:tcPr>
          <w:p>
            <w:pPr>
              <w:pStyle w:val="TableContents"/>
              <w:bidi w:val="0"/>
              <w:spacing w:before="0" w:after="0"/>
              <w:ind w:left="0" w:right="0" w:hanging="144"/>
              <w:jc w:val="left"/>
              <w:rPr/>
            </w:pPr>
            <w:r>
              <w:rPr/>
              <w:t xml:space="preserve">Potential shares of common stock arising from outstanding stock options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2,104,545</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3,760,947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2,572,990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4,036,608</w:t>
            </w:r>
          </w:p>
        </w:tc>
        <w:tc>
          <w:tcPr>
            <w:tcW w:w="139" w:type="dxa"/>
            <w:tcBorders/>
            <w:vAlign w:val="center"/>
          </w:tcPr>
          <w:p>
            <w:pPr>
              <w:pStyle w:val="TableContents"/>
              <w:bidi w:val="0"/>
              <w:spacing w:before="0" w:after="283"/>
              <w:jc w:val="left"/>
              <w:rPr/>
            </w:pPr>
            <w:r>
              <w:rPr/>
              <w:t> </w:t>
            </w:r>
          </w:p>
        </w:tc>
      </w:tr>
      <w:tr>
        <w:trPr/>
        <w:tc>
          <w:tcPr>
            <w:tcW w:w="3644" w:type="dxa"/>
            <w:tcBorders/>
            <w:shd w:fill="CCEEFF" w:val="clear"/>
            <w:vAlign w:val="center"/>
          </w:tcPr>
          <w:p>
            <w:pPr>
              <w:pStyle w:val="TableContents"/>
              <w:bidi w:val="0"/>
              <w:spacing w:before="0" w:after="0"/>
              <w:ind w:left="0" w:right="0" w:hanging="144"/>
              <w:jc w:val="left"/>
              <w:rPr/>
            </w:pPr>
            <w:r>
              <w:rPr/>
              <w:t xml:space="preserve">Potential shares of common stock arising from outstanding warrants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xml:space="preserve">-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28,671</w:t>
            </w:r>
          </w:p>
        </w:tc>
        <w:tc>
          <w:tcPr>
            <w:tcW w:w="139" w:type="dxa"/>
            <w:tcBorders/>
            <w:shd w:fill="CCEEFF" w:val="clear"/>
            <w:vAlign w:val="center"/>
          </w:tcPr>
          <w:p>
            <w:pPr>
              <w:pStyle w:val="TableContents"/>
              <w:bidi w:val="0"/>
              <w:spacing w:before="0" w:after="283"/>
              <w:jc w:val="left"/>
              <w:rPr/>
            </w:pPr>
            <w:r>
              <w:rPr/>
              <w:t> </w:t>
            </w:r>
          </w:p>
        </w:tc>
      </w:tr>
      <w:tr>
        <w:trPr/>
        <w:tc>
          <w:tcPr>
            <w:tcW w:w="3644" w:type="dxa"/>
            <w:tcBorders/>
            <w:vAlign w:val="center"/>
          </w:tcPr>
          <w:p>
            <w:pPr>
              <w:pStyle w:val="TableContents"/>
              <w:bidi w:val="0"/>
              <w:spacing w:before="0" w:after="0"/>
              <w:ind w:left="0" w:right="0" w:hanging="144"/>
              <w:jc w:val="left"/>
              <w:rPr/>
            </w:pPr>
            <w:r>
              <w:rPr/>
              <w:t xml:space="preserve">Potential shares of common stock arising from outstanding RSUs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0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93" w:type="dxa"/>
            <w:tcBorders>
              <w:bottom w:val="single" w:sz="12" w:space="0" w:color="000000"/>
            </w:tcBorders>
            <w:tcMar>
              <w:bottom w:w="28" w:type="dxa"/>
            </w:tcM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right"/>
              <w:rPr/>
            </w:pPr>
            <w:r>
              <w:rPr/>
              <w:t> </w:t>
            </w:r>
          </w:p>
        </w:tc>
        <w:tc>
          <w:tcPr>
            <w:tcW w:w="176" w:type="dxa"/>
            <w:tcBorders>
              <w:bottom w:val="single" w:sz="6" w:space="0" w:color="000000"/>
            </w:tcBorders>
            <w:tcMar>
              <w:bottom w:w="28" w:type="dxa"/>
            </w:tcMar>
            <w:vAlign w:val="center"/>
          </w:tcPr>
          <w:p>
            <w:pPr>
              <w:pStyle w:val="TableContents"/>
              <w:bidi w:val="0"/>
              <w:spacing w:before="0" w:after="283"/>
              <w:jc w:val="left"/>
              <w:rPr/>
            </w:pPr>
            <w:r>
              <w:rPr/>
              <w:t> </w:t>
            </w:r>
          </w:p>
        </w:tc>
        <w:tc>
          <w:tcPr>
            <w:tcW w:w="1300" w:type="dxa"/>
            <w:tcBorders>
              <w:bottom w:val="single" w:sz="6" w:space="0" w:color="000000"/>
            </w:tcBorders>
            <w:tcMar>
              <w:bottom w:w="28" w:type="dxa"/>
            </w:tcMar>
            <w:vAlign w:val="center"/>
          </w:tcPr>
          <w:p>
            <w:pPr>
              <w:pStyle w:val="TableContents"/>
              <w:bidi w:val="0"/>
              <w:spacing w:before="0" w:after="283"/>
              <w:jc w:val="right"/>
              <w:rPr/>
            </w:pPr>
            <w:r>
              <w:rPr/>
              <w:t>3,356,798</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530,905</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3,375,720</w:t>
            </w:r>
          </w:p>
        </w:tc>
        <w:tc>
          <w:tcPr>
            <w:tcW w:w="13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644" w:type="dxa"/>
            <w:tcBorders/>
            <w:shd w:fill="CCEEFF" w:val="clear"/>
            <w:vAlign w:val="center"/>
          </w:tcPr>
          <w:p>
            <w:pPr>
              <w:pStyle w:val="TableContents"/>
              <w:bidi w:val="0"/>
              <w:spacing w:before="0" w:after="0"/>
              <w:ind w:left="0" w:right="0" w:hanging="144"/>
              <w:jc w:val="left"/>
              <w:rPr/>
            </w:pPr>
            <w:r>
              <w:rPr/>
              <w:t xml:space="preserve">Total shares - diluted (denominator)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6" w:space="0" w:color="000000"/>
            </w:tcBorders>
            <w:shd w:fill="CCEEFF" w:val="clear"/>
            <w:tcMar>
              <w:bottom w:w="28" w:type="dxa"/>
            </w:tcMar>
            <w:vAlign w:val="center"/>
          </w:tcPr>
          <w:p>
            <w:pPr>
              <w:pStyle w:val="TableContents"/>
              <w:bidi w:val="0"/>
              <w:spacing w:before="0" w:after="283"/>
              <w:jc w:val="right"/>
              <w:rPr/>
            </w:pPr>
            <w:r>
              <w:rPr/>
              <w:t>230,337,048</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176"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6" w:space="0" w:color="000000"/>
            </w:tcBorders>
            <w:shd w:fill="CCEEFF" w:val="clear"/>
            <w:tcMar>
              <w:bottom w:w="28" w:type="dxa"/>
            </w:tcMar>
            <w:vAlign w:val="center"/>
          </w:tcPr>
          <w:p>
            <w:pPr>
              <w:pStyle w:val="TableContents"/>
              <w:bidi w:val="0"/>
              <w:spacing w:before="0" w:after="283"/>
              <w:jc w:val="right"/>
              <w:rPr/>
            </w:pPr>
            <w:r>
              <w:rPr/>
              <w:t>248,608,460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right"/>
              <w:rPr/>
            </w:pPr>
            <w:r>
              <w:rPr/>
              <w:t>235,240,375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right"/>
              <w:rPr/>
            </w:pPr>
            <w:r>
              <w:rPr/>
              <w:t>245,750,155</w:t>
            </w:r>
          </w:p>
        </w:tc>
        <w:tc>
          <w:tcPr>
            <w:tcW w:w="139" w:type="dxa"/>
            <w:tcBorders/>
            <w:shd w:fill="CCEEFF" w:val="clear"/>
            <w:vAlign w:val="center"/>
          </w:tcPr>
          <w:p>
            <w:pPr>
              <w:pStyle w:val="TableContents"/>
              <w:bidi w:val="0"/>
              <w:spacing w:before="0" w:after="283"/>
              <w:jc w:val="left"/>
              <w:rPr/>
            </w:pPr>
            <w:r>
              <w:rPr/>
              <w:t> </w:t>
            </w:r>
          </w:p>
        </w:tc>
      </w:tr>
      <w:tr>
        <w:trPr/>
        <w:tc>
          <w:tcPr>
            <w:tcW w:w="3644" w:type="dxa"/>
            <w:tcBorders/>
            <w:vAlign w:val="center"/>
          </w:tcPr>
          <w:p>
            <w:pPr>
              <w:pStyle w:val="TableContents"/>
              <w:bidi w:val="0"/>
              <w:spacing w:before="0" w:after="0"/>
              <w:ind w:left="0" w:right="0" w:hanging="144"/>
              <w:jc w:val="left"/>
              <w:rPr/>
            </w:pPr>
            <w:r>
              <w:rPr/>
              <w:t xml:space="preserve">Diluted earnings per common share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300" w:type="dxa"/>
            <w:tcBorders>
              <w:bottom w:val="single" w:sz="6" w:space="0" w:color="000000"/>
            </w:tcBorders>
            <w:tcMar>
              <w:bottom w:w="28" w:type="dxa"/>
            </w:tcMar>
            <w:vAlign w:val="center"/>
          </w:tcPr>
          <w:p>
            <w:pPr>
              <w:pStyle w:val="TableContents"/>
              <w:bidi w:val="0"/>
              <w:spacing w:before="0" w:after="283"/>
              <w:jc w:val="right"/>
              <w:rPr/>
            </w:pPr>
            <w:r>
              <w:rPr/>
              <w:t>0.16</w:t>
            </w:r>
          </w:p>
        </w:tc>
        <w:tc>
          <w:tcPr>
            <w:tcW w:w="93" w:type="dxa"/>
            <w:tcBorders>
              <w:bottom w:val="single" w:sz="12" w:space="0" w:color="000000"/>
            </w:tcBorders>
            <w:tcMar>
              <w:bottom w:w="28" w:type="dxa"/>
            </w:tcM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right"/>
              <w:rPr/>
            </w:pPr>
            <w:r>
              <w:rPr/>
              <w:t> </w:t>
            </w:r>
          </w:p>
        </w:tc>
        <w:tc>
          <w:tcPr>
            <w:tcW w:w="176" w:type="dxa"/>
            <w:tcBorders>
              <w:bottom w:val="single" w:sz="6" w:space="0" w:color="000000"/>
            </w:tcBorders>
            <w:tcMar>
              <w:bottom w:w="28" w:type="dxa"/>
            </w:tcMar>
            <w:vAlign w:val="center"/>
          </w:tcPr>
          <w:p>
            <w:pPr>
              <w:pStyle w:val="TableContents"/>
              <w:bidi w:val="0"/>
              <w:spacing w:before="0" w:after="283"/>
              <w:jc w:val="left"/>
              <w:rPr/>
            </w:pPr>
            <w:r>
              <w:rPr/>
              <w:t>$</w:t>
            </w:r>
          </w:p>
        </w:tc>
        <w:tc>
          <w:tcPr>
            <w:tcW w:w="1300" w:type="dxa"/>
            <w:tcBorders>
              <w:bottom w:val="single" w:sz="6" w:space="0" w:color="000000"/>
            </w:tcBorders>
            <w:tcMar>
              <w:bottom w:w="28" w:type="dxa"/>
            </w:tcMar>
            <w:vAlign w:val="center"/>
          </w:tcPr>
          <w:p>
            <w:pPr>
              <w:pStyle w:val="TableContents"/>
              <w:bidi w:val="0"/>
              <w:spacing w:before="0" w:after="283"/>
              <w:jc w:val="right"/>
              <w:rPr/>
            </w:pPr>
            <w:r>
              <w:rPr/>
              <w:t>0.14</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0.35</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0.25</w:t>
            </w:r>
          </w:p>
        </w:tc>
        <w:tc>
          <w:tcPr>
            <w:tcW w:w="139"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ADMA BIOLOGICS,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CONDENSED CONSOLIDATED FINANCIAL STATEMENTS (UNAUDITED)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For the three and six months ended June 30, 2026 and 2025, the following awards were excluded from the computation of diluted net income per common share because of their anti-dilutive effects: </w:t>
      </w:r>
    </w:p>
    <w:p>
      <w:pPr>
        <w:pStyle w:val="TextBody"/>
        <w:bidi w:val="0"/>
        <w:spacing w:before="0" w:after="0"/>
        <w:jc w:val="left"/>
        <w:rPr/>
      </w:pPr>
      <w:r>
        <w:rPr/>
        <w:t xml:space="preserve">  </w:t>
      </w:r>
    </w:p>
    <w:tbl>
      <w:tblPr>
        <w:tblW w:w="7585" w:type="dxa"/>
        <w:jc w:val="left"/>
        <w:tblInd w:w="0" w:type="dxa"/>
        <w:tblLayout w:type="fixed"/>
        <w:tblCellMar>
          <w:top w:w="0" w:type="dxa"/>
          <w:left w:w="0" w:type="dxa"/>
          <w:bottom w:w="0" w:type="dxa"/>
          <w:right w:w="0" w:type="dxa"/>
        </w:tblCellMar>
      </w:tblPr>
      <w:tblGrid>
        <w:gridCol w:w="875"/>
        <w:gridCol w:w="90"/>
        <w:gridCol w:w="90"/>
        <w:gridCol w:w="1619"/>
        <w:gridCol w:w="144"/>
        <w:gridCol w:w="144"/>
        <w:gridCol w:w="144"/>
        <w:gridCol w:w="1162"/>
        <w:gridCol w:w="90"/>
        <w:gridCol w:w="90"/>
        <w:gridCol w:w="90"/>
        <w:gridCol w:w="1468"/>
        <w:gridCol w:w="130"/>
        <w:gridCol w:w="130"/>
        <w:gridCol w:w="130"/>
        <w:gridCol w:w="1054"/>
        <w:gridCol w:w="135"/>
      </w:tblGrid>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3213" w:type="dxa"/>
            <w:gridSpan w:val="5"/>
            <w:tcBorders>
              <w:bottom w:val="single" w:sz="6" w:space="0" w:color="000000"/>
            </w:tcBorders>
            <w:tcMar>
              <w:bottom w:w="28" w:type="dxa"/>
            </w:tcMar>
            <w:vAlign w:val="center"/>
          </w:tcPr>
          <w:p>
            <w:pPr>
              <w:pStyle w:val="TableContents"/>
              <w:bidi w:val="0"/>
              <w:spacing w:before="0" w:after="283"/>
              <w:jc w:val="center"/>
              <w:rPr/>
            </w:pPr>
            <w:r>
              <w:rPr>
                <w:b/>
                <w:spacing w:val="0"/>
              </w:rPr>
              <w:t>Three Months Ended June 30,</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2912" w:type="dxa"/>
            <w:gridSpan w:val="5"/>
            <w:tcBorders>
              <w:bottom w:val="single" w:sz="6" w:space="0" w:color="000000"/>
            </w:tcBorders>
            <w:tcMar>
              <w:bottom w:w="28" w:type="dxa"/>
            </w:tcMar>
            <w:vAlign w:val="center"/>
          </w:tcPr>
          <w:p>
            <w:pPr>
              <w:pStyle w:val="TableContents"/>
              <w:bidi w:val="0"/>
              <w:spacing w:before="0" w:after="283"/>
              <w:jc w:val="center"/>
              <w:rPr/>
            </w:pPr>
            <w:r>
              <w:rPr>
                <w:b/>
                <w:spacing w:val="0"/>
              </w:rPr>
              <w:t>Six Months Ended June 30,</w:t>
            </w:r>
            <w:r>
              <w:rPr/>
              <w:t xml:space="preserve"> </w:t>
            </w:r>
          </w:p>
        </w:tc>
        <w:tc>
          <w:tcPr>
            <w:tcW w:w="135"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619" w:type="dxa"/>
            <w:tcBorders>
              <w:bottom w:val="single" w:sz="6"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44" w:type="dxa"/>
            <w:tcBorders/>
            <w:vAlign w:val="center"/>
          </w:tcPr>
          <w:p>
            <w:pPr>
              <w:pStyle w:val="TableContents"/>
              <w:bidi w:val="0"/>
              <w:spacing w:before="0" w:after="283"/>
              <w:jc w:val="center"/>
              <w:rPr/>
            </w:pPr>
            <w:r>
              <w:rPr/>
              <w:t> </w:t>
            </w:r>
          </w:p>
        </w:tc>
        <w:tc>
          <w:tcPr>
            <w:tcW w:w="144" w:type="dxa"/>
            <w:tcBorders/>
            <w:vAlign w:val="center"/>
          </w:tcPr>
          <w:p>
            <w:pPr>
              <w:pStyle w:val="TableContents"/>
              <w:bidi w:val="0"/>
              <w:spacing w:before="0" w:after="283"/>
              <w:jc w:val="center"/>
              <w:rPr/>
            </w:pPr>
            <w:r>
              <w:rPr/>
              <w:t> </w:t>
            </w:r>
          </w:p>
        </w:tc>
        <w:tc>
          <w:tcPr>
            <w:tcW w:w="144"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62" w:type="dxa"/>
            <w:tcBorders>
              <w:bottom w:val="single" w:sz="6" w:space="0" w:color="000000"/>
            </w:tcBorders>
            <w:tcMar>
              <w:bottom w:w="28" w:type="dxa"/>
            </w:tcMar>
            <w:vAlign w:val="center"/>
          </w:tcPr>
          <w:p>
            <w:pPr>
              <w:pStyle w:val="TableContents"/>
              <w:bidi w:val="0"/>
              <w:spacing w:before="0" w:after="283"/>
              <w:jc w:val="center"/>
              <w:rPr/>
            </w:pPr>
            <w:r>
              <w:rPr>
                <w:b/>
              </w:rP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68" w:type="dxa"/>
            <w:tcBorders>
              <w:bottom w:val="single" w:sz="6"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30" w:type="dxa"/>
            <w:tcBorders/>
            <w:vAlign w:val="center"/>
          </w:tcPr>
          <w:p>
            <w:pPr>
              <w:pStyle w:val="TableContents"/>
              <w:bidi w:val="0"/>
              <w:spacing w:before="0" w:after="283"/>
              <w:jc w:val="center"/>
              <w:rPr/>
            </w:pPr>
            <w:r>
              <w:rPr/>
              <w:t> </w:t>
            </w:r>
          </w:p>
        </w:tc>
        <w:tc>
          <w:tcPr>
            <w:tcW w:w="130" w:type="dxa"/>
            <w:tcBorders/>
            <w:vAlign w:val="center"/>
          </w:tcPr>
          <w:p>
            <w:pPr>
              <w:pStyle w:val="TableContents"/>
              <w:bidi w:val="0"/>
              <w:spacing w:before="0" w:after="283"/>
              <w:jc w:val="center"/>
              <w:rPr/>
            </w:pPr>
            <w:r>
              <w:rPr/>
              <w:t> </w:t>
            </w:r>
          </w:p>
        </w:tc>
        <w:tc>
          <w:tcPr>
            <w:tcW w:w="13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54" w:type="dxa"/>
            <w:tcBorders>
              <w:bottom w:val="single" w:sz="6"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35" w:type="dxa"/>
            <w:tcBorders/>
            <w:vAlign w:val="center"/>
          </w:tcPr>
          <w:p>
            <w:pPr>
              <w:pStyle w:val="TableContents"/>
              <w:bidi w:val="0"/>
              <w:spacing w:before="0" w:after="283"/>
              <w:jc w:val="center"/>
              <w:rPr/>
            </w:pPr>
            <w:r>
              <w:rPr/>
              <w:t> </w:t>
            </w:r>
          </w:p>
        </w:tc>
      </w:tr>
      <w:tr>
        <w:trPr/>
        <w:tc>
          <w:tcPr>
            <w:tcW w:w="875" w:type="dxa"/>
            <w:tcBorders/>
            <w:shd w:fill="CCEEFF" w:val="clear"/>
            <w:vAlign w:val="center"/>
          </w:tcPr>
          <w:p>
            <w:pPr>
              <w:pStyle w:val="TableContents"/>
              <w:bidi w:val="0"/>
              <w:spacing w:before="0" w:after="0"/>
              <w:ind w:left="0" w:right="0" w:hanging="144"/>
              <w:jc w:val="left"/>
              <w:rPr/>
            </w:pPr>
            <w:r>
              <w:rPr/>
              <w:t xml:space="preserve">Options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619" w:type="dxa"/>
            <w:tcBorders/>
            <w:shd w:fill="CCEEFF" w:val="clear"/>
            <w:vAlign w:val="center"/>
          </w:tcPr>
          <w:p>
            <w:pPr>
              <w:pStyle w:val="TableContents"/>
              <w:bidi w:val="0"/>
              <w:spacing w:before="0" w:after="283"/>
              <w:jc w:val="right"/>
              <w:rPr/>
            </w:pPr>
            <w:r>
              <w:rPr/>
              <w:t>1,487,689</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         </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1,487,689</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r>
              <w:rPr/>
              <w:t xml:space="preserve">- </w:t>
            </w:r>
          </w:p>
        </w:tc>
        <w:tc>
          <w:tcPr>
            <w:tcW w:w="135"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144"/>
              <w:jc w:val="left"/>
              <w:rPr/>
            </w:pPr>
            <w:r>
              <w:rPr/>
              <w:t xml:space="preserve">RSUs </w:t>
            </w:r>
          </w:p>
        </w:tc>
        <w:tc>
          <w:tcPr>
            <w:tcW w:w="90" w:type="dxa"/>
            <w:tcBorders/>
            <w:vAlign w:val="center"/>
          </w:tcPr>
          <w:p>
            <w:pPr>
              <w:pStyle w:val="TableContents"/>
              <w:bidi w:val="0"/>
              <w:spacing w:before="0" w:after="283"/>
              <w:jc w:val="righ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619" w:type="dxa"/>
            <w:tcBorders>
              <w:bottom w:val="single" w:sz="6" w:space="0" w:color="000000"/>
            </w:tcBorders>
            <w:tcMar>
              <w:bottom w:w="28" w:type="dxa"/>
            </w:tcMar>
            <w:vAlign w:val="center"/>
          </w:tcPr>
          <w:p>
            <w:pPr>
              <w:pStyle w:val="TableContents"/>
              <w:bidi w:val="0"/>
              <w:spacing w:before="0" w:after="283"/>
              <w:jc w:val="right"/>
              <w:rPr/>
            </w:pPr>
            <w:r>
              <w:rPr/>
              <w:t>529,199</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right"/>
              <w:rPr/>
            </w:pPr>
            <w:r>
              <w:rPr/>
              <w:t> </w:t>
            </w:r>
          </w:p>
        </w:tc>
        <w:tc>
          <w:tcPr>
            <w:tcW w:w="144" w:type="dxa"/>
            <w:tcBorders>
              <w:bottom w:val="single" w:sz="6" w:space="0" w:color="000000"/>
            </w:tcBorders>
            <w:tcMar>
              <w:bottom w:w="28" w:type="dxa"/>
            </w:tcMar>
            <w:vAlign w:val="center"/>
          </w:tcPr>
          <w:p>
            <w:pPr>
              <w:pStyle w:val="TableContents"/>
              <w:bidi w:val="0"/>
              <w:spacing w:before="0" w:after="283"/>
              <w:jc w:val="left"/>
              <w:rPr/>
            </w:pPr>
            <w:r>
              <w:rPr/>
              <w:t> </w:t>
            </w:r>
          </w:p>
        </w:tc>
        <w:tc>
          <w:tcPr>
            <w:tcW w:w="1162" w:type="dxa"/>
            <w:tcBorders>
              <w:bottom w:val="single" w:sz="6" w:space="0" w:color="000000"/>
            </w:tcBorders>
            <w:tcMar>
              <w:bottom w:w="28" w:type="dxa"/>
            </w:tcMar>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468" w:type="dxa"/>
            <w:tcBorders>
              <w:bottom w:val="single" w:sz="6" w:space="0" w:color="000000"/>
            </w:tcBorders>
            <w:tcMar>
              <w:bottom w:w="28" w:type="dxa"/>
            </w:tcMar>
            <w:vAlign w:val="center"/>
          </w:tcPr>
          <w:p>
            <w:pPr>
              <w:pStyle w:val="TableContents"/>
              <w:bidi w:val="0"/>
              <w:spacing w:before="0" w:after="283"/>
              <w:jc w:val="right"/>
              <w:rPr/>
            </w:pPr>
            <w:r>
              <w:rPr/>
              <w:t>529,199</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right"/>
              <w:rPr/>
            </w:pPr>
            <w:r>
              <w:rPr/>
              <w:t> </w:t>
            </w:r>
          </w:p>
        </w:tc>
        <w:tc>
          <w:tcPr>
            <w:tcW w:w="13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4" w:type="dxa"/>
            <w:tcBorders>
              <w:bottom w:val="single" w:sz="6" w:space="0" w:color="000000"/>
            </w:tcBorders>
            <w:tcMar>
              <w:bottom w:w="28" w:type="dxa"/>
            </w:tcMar>
            <w:vAlign w:val="center"/>
          </w:tcPr>
          <w:p>
            <w:pPr>
              <w:pStyle w:val="TableContents"/>
              <w:bidi w:val="0"/>
              <w:spacing w:before="0" w:after="283"/>
              <w:jc w:val="right"/>
              <w:rPr/>
            </w:pPr>
            <w:r>
              <w:rPr/>
              <w:t>         </w:t>
            </w:r>
            <w:r>
              <w:rPr/>
              <w:t xml:space="preserve">- </w:t>
            </w:r>
          </w:p>
        </w:tc>
        <w:tc>
          <w:tcPr>
            <w:tcW w:w="135"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144"/>
              <w:jc w:val="left"/>
              <w:rPr/>
            </w:pPr>
            <w:r>
              <w:rPr/>
              <w:t xml:space="preserve">Total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19" w:type="dxa"/>
            <w:tcBorders>
              <w:bottom w:val="single" w:sz="12" w:space="0" w:color="000000"/>
            </w:tcBorders>
            <w:shd w:fill="CCEEFF" w:val="clear"/>
            <w:tcMar>
              <w:bottom w:w="28" w:type="dxa"/>
            </w:tcMar>
            <w:vAlign w:val="center"/>
          </w:tcPr>
          <w:p>
            <w:pPr>
              <w:pStyle w:val="TableContents"/>
              <w:bidi w:val="0"/>
              <w:spacing w:before="0" w:after="283"/>
              <w:jc w:val="right"/>
              <w:rPr/>
            </w:pPr>
            <w:r>
              <w:rPr/>
              <w:t>2,016,888</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2"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8" w:type="dxa"/>
            <w:tcBorders>
              <w:bottom w:val="single" w:sz="12" w:space="0" w:color="000000"/>
            </w:tcBorders>
            <w:shd w:fill="CCEEFF" w:val="clear"/>
            <w:tcMar>
              <w:bottom w:w="28" w:type="dxa"/>
            </w:tcMar>
            <w:vAlign w:val="center"/>
          </w:tcPr>
          <w:p>
            <w:pPr>
              <w:pStyle w:val="TableContents"/>
              <w:bidi w:val="0"/>
              <w:spacing w:before="0" w:after="283"/>
              <w:jc w:val="right"/>
              <w:rPr/>
            </w:pPr>
            <w:r>
              <w:rPr/>
              <w:t>2,016,888</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righ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 xml:space="preserve">- </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Fair Value of Financial Instruments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notes payable (see Note 7) also approximates fair value, based on a Level 3 classification under the fair value hierarchy, due to the variable interest rate on this debt.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Recent Accounting Pronouncements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December 2025, the FASB issued ASU 2025-11, </w:t>
      </w:r>
      <w:r>
        <w:rPr>
          <w:rFonts w:ascii="Times New Roman" w:hAnsi="Times New Roman"/>
          <w:i/>
          <w:sz w:val="20"/>
        </w:rPr>
        <w:t>Interim Reporting (Topic 270): Narrow-Scope Improvements</w:t>
      </w:r>
      <w:r>
        <w:rPr>
          <w:rFonts w:ascii="Times New Roman" w:hAnsi="Times New Roman"/>
          <w:sz w:val="20"/>
        </w:rPr>
        <w:t xml:space="preserve"> (“ASU 2025-11”),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ASU 2025-11.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2"/>
        </w:rPr>
      </w:pPr>
      <w:r>
        <w:rPr>
          <w:rFonts w:ascii="Times New Roman" w:hAnsi="Times New Roman"/>
          <w:sz w:val="20"/>
        </w:rPr>
        <w:t xml:space="preserve">In November 2024, FASB issued ASU 2024-03, </w:t>
      </w:r>
      <w:r>
        <w:rPr>
          <w:rFonts w:ascii="Times New Roman" w:hAnsi="Times New Roman"/>
          <w:i/>
          <w:sz w:val="20"/>
        </w:rPr>
        <w:t xml:space="preserve">Income Statement-Reporting Comprehensive Income-Expense Disaggregation Disclosures (Subtopic 220-40): Disaggregation of Income Statement Expenses </w:t>
      </w:r>
      <w:r>
        <w:rPr>
          <w:rFonts w:ascii="Times New Roman" w:hAnsi="Times New Roman"/>
          <w:sz w:val="20"/>
        </w:rPr>
        <w:t>(“ASU 2024-03”),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w:t>
      </w:r>
      <w:r>
        <w:rPr>
          <w:rFonts w:ascii="Times New Roman" w:hAnsi="Times New Roman"/>
          <w:sz w:val="22"/>
        </w:rPr>
        <w:t xml:space="preserve"> </w:t>
      </w:r>
      <w:r>
        <w:rPr>
          <w:rFonts w:ascii="Times New Roman" w:hAnsi="Times New Roman"/>
          <w:sz w:val="20"/>
        </w:rPr>
        <w:t>adoption of ASU 2024-03 will result</w:t>
      </w:r>
      <w:r>
        <w:rPr>
          <w:rFonts w:ascii="Times New Roman" w:hAnsi="Times New Roman"/>
          <w:sz w:val="22"/>
        </w:rPr>
        <w:t xml:space="preserve"> </w:t>
      </w:r>
      <w:r>
        <w:rPr>
          <w:rFonts w:ascii="Times New Roman" w:hAnsi="Times New Roman"/>
          <w:sz w:val="20"/>
        </w:rPr>
        <w:t>in</w:t>
      </w:r>
      <w:r>
        <w:rPr>
          <w:rFonts w:ascii="Times New Roman" w:hAnsi="Times New Roman"/>
          <w:sz w:val="22"/>
        </w:rPr>
        <w:t xml:space="preserve"> </w:t>
      </w:r>
      <w:r>
        <w:rPr>
          <w:rFonts w:ascii="Times New Roman" w:hAnsi="Times New Roman"/>
          <w:sz w:val="20"/>
        </w:rPr>
        <w:t>changes to the presentation of the Company’s financial statements, the impact of which is currently being evaluated.</w:t>
      </w:r>
    </w:p>
    <w:p>
      <w:pPr>
        <w:pStyle w:val="TextBody"/>
        <w:bidi w:val="0"/>
        <w:spacing w:before="0" w:after="0"/>
        <w:ind w:left="0" w:right="0" w:firstLine="720"/>
        <w:jc w:val="both"/>
        <w:rPr/>
      </w:pPr>
      <w:r>
        <w:rPr/>
        <w:t>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INVENTORIES</w:t>
      </w:r>
      <w:r>
        <w:rPr>
          <w:rFonts w:ascii="Times New Roman" w:hAnsi="Times New Roman"/>
          <w:sz w:val="20"/>
        </w:rPr>
        <w:t xml:space="preserve">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342900" cy="175260"/>
                <wp:effectExtent l="0" t="0" r="0" b="0"/>
                <wp:wrapSquare wrapText="right"/>
                <wp:docPr id="42" name="Frame4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sz w:val="20"/>
                              </w:rPr>
                              <w:t>3.</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3.</w:t>
                      </w:r>
                      <w:r>
                        <w:rPr/>
                        <w:t xml:space="preserve"> </w:t>
                      </w:r>
                    </w:p>
                  </w:txbxContent>
                </v:textbox>
                <w10:wrap type="square" side="right"/>
              </v:rect>
            </w:pict>
          </mc:Fallback>
        </mc:AlternateContent>
      </w:r>
    </w:p>
    <w:p>
      <w:pPr>
        <w:pStyle w:val="TextBody"/>
        <w:bidi w:val="0"/>
        <w:spacing w:before="0" w:after="0"/>
        <w:ind w:left="540" w:right="0" w:hanging="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following table provides the components of inventories: </w:t>
      </w:r>
    </w:p>
    <w:p>
      <w:pPr>
        <w:pStyle w:val="TextBody"/>
        <w:bidi w:val="0"/>
        <w:spacing w:before="0" w:after="0"/>
        <w:ind w:left="270" w:right="0" w:hanging="0"/>
        <w:jc w:val="left"/>
        <w:rPr/>
      </w:pPr>
      <w:r>
        <w:rPr/>
        <w:t xml:space="preserve">  </w:t>
      </w:r>
    </w:p>
    <w:tbl>
      <w:tblPr>
        <w:tblW w:w="5335" w:type="dxa"/>
        <w:jc w:val="left"/>
        <w:tblInd w:w="0" w:type="dxa"/>
        <w:tblLayout w:type="fixed"/>
        <w:tblCellMar>
          <w:top w:w="0" w:type="dxa"/>
          <w:left w:w="0" w:type="dxa"/>
          <w:bottom w:w="0" w:type="dxa"/>
          <w:right w:w="0" w:type="dxa"/>
        </w:tblCellMar>
      </w:tblPr>
      <w:tblGrid>
        <w:gridCol w:w="2120"/>
        <w:gridCol w:w="90"/>
        <w:gridCol w:w="170"/>
        <w:gridCol w:w="965"/>
        <w:gridCol w:w="90"/>
        <w:gridCol w:w="90"/>
        <w:gridCol w:w="170"/>
        <w:gridCol w:w="1505"/>
        <w:gridCol w:w="135"/>
      </w:tblGrid>
      <w:tr>
        <w:trPr/>
        <w:tc>
          <w:tcPr>
            <w:tcW w:w="2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65" w:type="dxa"/>
            <w:tcBorders>
              <w:bottom w:val="single" w:sz="6" w:space="0" w:color="000000"/>
            </w:tcBorders>
            <w:tcMar>
              <w:bottom w:w="28" w:type="dxa"/>
            </w:tcMar>
            <w:vAlign w:val="center"/>
          </w:tcPr>
          <w:p>
            <w:pPr>
              <w:pStyle w:val="TableContents"/>
              <w:bidi w:val="0"/>
              <w:spacing w:before="0" w:after="283"/>
              <w:jc w:val="center"/>
              <w:rPr/>
            </w:pPr>
            <w:r>
              <w:rPr>
                <w:b/>
                <w:color w:val="000000"/>
              </w:rPr>
              <w:t xml:space="preserve">June 30, </w:t>
              <w:br/>
              <w:t>2026</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505" w:type="dxa"/>
            <w:tcBorders>
              <w:bottom w:val="single" w:sz="6" w:space="0" w:color="000000"/>
            </w:tcBorders>
            <w:tcMar>
              <w:bottom w:w="28" w:type="dxa"/>
            </w:tcMar>
            <w:vAlign w:val="center"/>
          </w:tcPr>
          <w:p>
            <w:pPr>
              <w:pStyle w:val="TableContents"/>
              <w:bidi w:val="0"/>
              <w:spacing w:before="0" w:after="283"/>
              <w:jc w:val="center"/>
              <w:rPr/>
            </w:pPr>
            <w:r>
              <w:rPr>
                <w:b/>
                <w:color w:val="000000"/>
              </w:rPr>
              <w:t xml:space="preserve">December 31, </w:t>
              <w:br/>
              <w:t>2025</w:t>
            </w:r>
            <w:r>
              <w:rPr/>
              <w:t xml:space="preserve"> </w:t>
            </w:r>
          </w:p>
        </w:tc>
        <w:tc>
          <w:tcPr>
            <w:tcW w:w="135" w:type="dxa"/>
            <w:tcBorders/>
            <w:vAlign w:val="center"/>
          </w:tcPr>
          <w:p>
            <w:pPr>
              <w:pStyle w:val="TableContents"/>
              <w:bidi w:val="0"/>
              <w:spacing w:before="0" w:after="283"/>
              <w:jc w:val="center"/>
              <w:rPr/>
            </w:pPr>
            <w:r>
              <w:rPr/>
              <w:t> </w:t>
            </w:r>
          </w:p>
        </w:tc>
      </w:tr>
      <w:tr>
        <w:trPr/>
        <w:tc>
          <w:tcPr>
            <w:tcW w:w="2120" w:type="dxa"/>
            <w:tcBorders/>
            <w:vAlign w:val="center"/>
          </w:tcPr>
          <w:p>
            <w:pPr>
              <w:pStyle w:val="TableContents"/>
              <w:bidi w:val="0"/>
              <w:spacing w:before="0" w:after="0"/>
              <w:ind w:left="0" w:right="0" w:hanging="144"/>
              <w:jc w:val="left"/>
              <w:rPr/>
            </w:pPr>
            <w:r>
              <w:rPr>
                <w:i/>
              </w:rPr>
              <w:t>(In thousands)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0"/>
              <w:ind w:left="0" w:right="0" w:hanging="144"/>
              <w:jc w:val="left"/>
              <w:rPr/>
            </w:pPr>
            <w:r>
              <w:rPr>
                <w:color w:val="000000"/>
              </w:rPr>
              <w:t>Raw materials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jc w:val="right"/>
              <w:rPr/>
            </w:pPr>
            <w:r>
              <w:rPr/>
              <w:t>94,298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color w:val="000000"/>
              </w:rPr>
            </w:pPr>
            <w:r>
              <w:rPr>
                <w:color w:val="000000"/>
              </w:rPr>
              <w:t>$</w:t>
            </w:r>
          </w:p>
        </w:tc>
        <w:tc>
          <w:tcPr>
            <w:tcW w:w="1505" w:type="dxa"/>
            <w:tcBorders/>
            <w:shd w:fill="CCEEFF" w:val="clear"/>
            <w:vAlign w:val="center"/>
          </w:tcPr>
          <w:p>
            <w:pPr>
              <w:pStyle w:val="TableContents"/>
              <w:bidi w:val="0"/>
              <w:spacing w:before="0" w:after="283"/>
              <w:jc w:val="right"/>
              <w:rPr>
                <w:color w:val="000000"/>
              </w:rPr>
            </w:pPr>
            <w:r>
              <w:rPr>
                <w:color w:val="000000"/>
              </w:rPr>
              <w:t>96,612</w:t>
            </w:r>
          </w:p>
        </w:tc>
        <w:tc>
          <w:tcPr>
            <w:tcW w:w="135" w:type="dxa"/>
            <w:tcBorders/>
            <w:shd w:fill="CCEEFF" w:val="clear"/>
            <w:vAlign w:val="center"/>
          </w:tcPr>
          <w:p>
            <w:pPr>
              <w:pStyle w:val="TableContents"/>
              <w:bidi w:val="0"/>
              <w:spacing w:before="0" w:after="283"/>
              <w:jc w:val="left"/>
              <w:rPr>
                <w:color w:val="000000"/>
              </w:rPr>
            </w:pPr>
            <w:r>
              <w:rPr>
                <w:color w:val="000000"/>
              </w:rPr>
              <w:t> </w:t>
            </w:r>
          </w:p>
        </w:tc>
      </w:tr>
      <w:tr>
        <w:trPr/>
        <w:tc>
          <w:tcPr>
            <w:tcW w:w="2120" w:type="dxa"/>
            <w:tcBorders/>
            <w:vAlign w:val="center"/>
          </w:tcPr>
          <w:p>
            <w:pPr>
              <w:pStyle w:val="TableContents"/>
              <w:bidi w:val="0"/>
              <w:spacing w:before="0" w:after="0"/>
              <w:ind w:left="0" w:right="0" w:hanging="144"/>
              <w:jc w:val="left"/>
              <w:rPr/>
            </w:pPr>
            <w:r>
              <w:rPr>
                <w:color w:val="000000"/>
              </w:rPr>
              <w:t>Work-in-process</w:t>
            </w:r>
            <w:r>
              <w:rPr/>
              <w:t xml:space="preserv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76,441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color w:val="000000"/>
              </w:rPr>
            </w:pPr>
            <w:r>
              <w:rPr>
                <w:color w:val="000000"/>
              </w:rPr>
              <w:t> </w:t>
            </w:r>
          </w:p>
        </w:tc>
        <w:tc>
          <w:tcPr>
            <w:tcW w:w="1505" w:type="dxa"/>
            <w:tcBorders/>
            <w:vAlign w:val="center"/>
          </w:tcPr>
          <w:p>
            <w:pPr>
              <w:pStyle w:val="TableContents"/>
              <w:bidi w:val="0"/>
              <w:spacing w:before="0" w:after="283"/>
              <w:jc w:val="right"/>
              <w:rPr>
                <w:color w:val="000000"/>
              </w:rPr>
            </w:pPr>
            <w:r>
              <w:rPr>
                <w:color w:val="000000"/>
              </w:rPr>
              <w:t>57,798</w:t>
            </w:r>
          </w:p>
        </w:tc>
        <w:tc>
          <w:tcPr>
            <w:tcW w:w="135" w:type="dxa"/>
            <w:tcBorders/>
            <w:vAlign w:val="center"/>
          </w:tcPr>
          <w:p>
            <w:pPr>
              <w:pStyle w:val="TableContents"/>
              <w:bidi w:val="0"/>
              <w:spacing w:before="0" w:after="283"/>
              <w:jc w:val="left"/>
              <w:rPr>
                <w:color w:val="000000"/>
              </w:rPr>
            </w:pPr>
            <w:r>
              <w:rPr>
                <w:color w:val="000000"/>
              </w:rPr>
              <w:t> </w:t>
            </w:r>
          </w:p>
        </w:tc>
      </w:tr>
      <w:tr>
        <w:trPr/>
        <w:tc>
          <w:tcPr>
            <w:tcW w:w="2120" w:type="dxa"/>
            <w:tcBorders/>
            <w:shd w:fill="CCEEFF" w:val="clear"/>
            <w:vAlign w:val="center"/>
          </w:tcPr>
          <w:p>
            <w:pPr>
              <w:pStyle w:val="TableContents"/>
              <w:bidi w:val="0"/>
              <w:spacing w:before="0" w:after="0"/>
              <w:ind w:left="0" w:right="0" w:hanging="144"/>
              <w:jc w:val="left"/>
              <w:rPr/>
            </w:pPr>
            <w:r>
              <w:rPr>
                <w:color w:val="000000"/>
              </w:rPr>
              <w:t>Finished goods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shd w:fill="CCEEFF" w:val="clear"/>
            <w:tcMar>
              <w:bottom w:w="28" w:type="dxa"/>
            </w:tcMar>
            <w:vAlign w:val="center"/>
          </w:tcPr>
          <w:p>
            <w:pPr>
              <w:pStyle w:val="TableContents"/>
              <w:bidi w:val="0"/>
              <w:spacing w:before="0" w:after="283"/>
              <w:jc w:val="right"/>
              <w:rPr/>
            </w:pPr>
            <w:r>
              <w:rPr/>
              <w:t>68,574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505" w:type="dxa"/>
            <w:tcBorders>
              <w:bottom w:val="sing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52,055</w:t>
            </w:r>
          </w:p>
        </w:tc>
        <w:tc>
          <w:tcPr>
            <w:tcW w:w="135" w:type="dxa"/>
            <w:tcBorders/>
            <w:shd w:fill="CCEEFF" w:val="clear"/>
            <w:vAlign w:val="center"/>
          </w:tcPr>
          <w:p>
            <w:pPr>
              <w:pStyle w:val="TableContents"/>
              <w:bidi w:val="0"/>
              <w:spacing w:before="0" w:after="283"/>
              <w:jc w:val="left"/>
              <w:rPr>
                <w:color w:val="000000"/>
              </w:rPr>
            </w:pPr>
            <w:r>
              <w:rPr>
                <w:color w:val="000000"/>
              </w:rPr>
              <w:t> </w:t>
            </w:r>
          </w:p>
        </w:tc>
      </w:tr>
      <w:tr>
        <w:trPr/>
        <w:tc>
          <w:tcPr>
            <w:tcW w:w="2120" w:type="dxa"/>
            <w:tcBorders/>
            <w:vAlign w:val="center"/>
          </w:tcPr>
          <w:p>
            <w:pPr>
              <w:pStyle w:val="TableContents"/>
              <w:bidi w:val="0"/>
              <w:spacing w:before="0" w:after="0"/>
              <w:ind w:left="0" w:right="0" w:hanging="144"/>
              <w:jc w:val="left"/>
              <w:rPr/>
            </w:pPr>
            <w:r>
              <w:rPr>
                <w:color w:val="000000"/>
              </w:rPr>
              <w:t>Total inventories, net</w:t>
            </w:r>
            <w:r>
              <w:rPr/>
              <w:t xml:space="preserve">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965" w:type="dxa"/>
            <w:tcBorders>
              <w:bottom w:val="single" w:sz="6" w:space="0" w:color="000000"/>
            </w:tcBorders>
            <w:tcMar>
              <w:bottom w:w="28" w:type="dxa"/>
            </w:tcMar>
            <w:vAlign w:val="center"/>
          </w:tcPr>
          <w:p>
            <w:pPr>
              <w:pStyle w:val="TableContents"/>
              <w:bidi w:val="0"/>
              <w:spacing w:before="0" w:after="283"/>
              <w:jc w:val="right"/>
              <w:rPr/>
            </w:pPr>
            <w:r>
              <w:rPr/>
              <w:t>239,313</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505" w:type="dxa"/>
            <w:tcBorders>
              <w:bottom w:val="single" w:sz="6" w:space="0" w:color="000000"/>
            </w:tcBorders>
            <w:tcMar>
              <w:bottom w:w="28" w:type="dxa"/>
            </w:tcMar>
            <w:vAlign w:val="center"/>
          </w:tcPr>
          <w:p>
            <w:pPr>
              <w:pStyle w:val="TableContents"/>
              <w:bidi w:val="0"/>
              <w:spacing w:before="0" w:after="283"/>
              <w:jc w:val="right"/>
              <w:rPr/>
            </w:pPr>
            <w:r>
              <w:rPr/>
              <w:t>206,465</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Raw materials includes plasma and other materials expected to be used in the production of ASCENIV, BIVIGAM and Nabi-HB. These materials will be consumed in the production of goods expected to be available for sale or otherwise have alternative uses that provide a probable future benefit.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Work-in-process inventory primarily consists of the Company’s IVIG products that are manufactured to the bulk drug substance and unlabeled filled vials stage of production.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Finished goods inventory is comprised of the Company’s immunoglobulin products that have reached the filled, labeled and serialized vial stage of production and related intermediates that are available for commercial sale, as well as plasma collected at the Company’s plasma collection centers which is expected to be sold to third-party customers.</w:t>
      </w:r>
    </w:p>
    <w:p>
      <w:pPr>
        <w:pStyle w:val="TextBody"/>
        <w:bidi w:val="0"/>
        <w:spacing w:before="0" w:after="0"/>
        <w:ind w:left="0" w:right="0" w:firstLine="72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ADMA BIOLOGICS,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CONDENSED CONSOLIDATED FINANCIAL STATEMENTS (UNAUDITED)</w:t>
      </w:r>
      <w:r>
        <w:rPr>
          <w:rFonts w:ascii="Times New Roman" w:hAnsi="Times New Roman"/>
          <w:sz w:val="20"/>
        </w:rPr>
        <w:t xml:space="preserve"> </w:t>
      </w:r>
    </w:p>
    <w:p>
      <w:pPr>
        <w:pStyle w:val="TextBody"/>
        <w:bidi w:val="0"/>
        <w:spacing w:before="0" w:after="0"/>
        <w:ind w:left="540" w:right="0" w:hanging="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PROPERTY AND EQUIPMENT</w:t>
      </w:r>
      <w:r>
        <w:rPr>
          <w:rFonts w:ascii="Times New Roman" w:hAnsi="Times New Roman"/>
          <w:sz w:val="20"/>
        </w:rPr>
        <w:t xml:space="preserve">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342900" cy="175260"/>
                <wp:effectExtent l="0" t="0" r="0" b="0"/>
                <wp:wrapSquare wrapText="right"/>
                <wp:docPr id="43" name="Frame43"/>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sz w:val="20"/>
                              </w:rPr>
                              <w:t>4.</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4.</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left"/>
        <w:rPr>
          <w:rFonts w:ascii="Arial" w:hAnsi="Arial"/>
          <w:sz w:val="20"/>
        </w:rPr>
      </w:pPr>
      <w:r>
        <w:rPr>
          <w:rFonts w:ascii="Times New Roman" w:hAnsi="Times New Roman"/>
          <w:sz w:val="20"/>
        </w:rPr>
        <w:t>Property and equipment and related accumulated depreciation are summarized as follows:</w:t>
      </w:r>
      <w:r>
        <w:rPr>
          <w:rFonts w:ascii="Arial" w:hAnsi="Arial"/>
          <w:sz w:val="20"/>
        </w:rPr>
        <w:t xml:space="preserve"> </w:t>
      </w:r>
    </w:p>
    <w:p>
      <w:pPr>
        <w:pStyle w:val="TextBody"/>
        <w:bidi w:val="0"/>
        <w:spacing w:before="0" w:after="0"/>
        <w:jc w:val="left"/>
        <w:rPr/>
      </w:pPr>
      <w:r>
        <w:rPr/>
        <w:t xml:space="preserve">  </w:t>
      </w:r>
    </w:p>
    <w:tbl>
      <w:tblPr>
        <w:tblW w:w="7400" w:type="dxa"/>
        <w:jc w:val="left"/>
        <w:tblInd w:w="0" w:type="dxa"/>
        <w:tblLayout w:type="fixed"/>
        <w:tblCellMar>
          <w:top w:w="0" w:type="dxa"/>
          <w:left w:w="0" w:type="dxa"/>
          <w:bottom w:w="0" w:type="dxa"/>
          <w:right w:w="0" w:type="dxa"/>
        </w:tblCellMar>
      </w:tblPr>
      <w:tblGrid>
        <w:gridCol w:w="3995"/>
        <w:gridCol w:w="90"/>
        <w:gridCol w:w="170"/>
        <w:gridCol w:w="965"/>
        <w:gridCol w:w="185"/>
        <w:gridCol w:w="90"/>
        <w:gridCol w:w="170"/>
        <w:gridCol w:w="1505"/>
        <w:gridCol w:w="230"/>
      </w:tblGrid>
      <w:tr>
        <w:trPr/>
        <w:tc>
          <w:tcPr>
            <w:tcW w:w="3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65" w:type="dxa"/>
            <w:tcBorders>
              <w:bottom w:val="single" w:sz="6" w:space="0" w:color="000000"/>
            </w:tcBorders>
            <w:tcMar>
              <w:bottom w:w="28" w:type="dxa"/>
            </w:tcMar>
            <w:vAlign w:val="center"/>
          </w:tcPr>
          <w:p>
            <w:pPr>
              <w:pStyle w:val="TableContents"/>
              <w:bidi w:val="0"/>
              <w:spacing w:before="0" w:after="283"/>
              <w:jc w:val="center"/>
              <w:rPr/>
            </w:pPr>
            <w:r>
              <w:rPr>
                <w:b/>
                <w:color w:val="000000"/>
              </w:rPr>
              <w:t xml:space="preserve">June 30, </w:t>
              <w:br/>
              <w:t>2026</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505" w:type="dxa"/>
            <w:tcBorders>
              <w:bottom w:val="single" w:sz="6" w:space="0" w:color="000000"/>
            </w:tcBorders>
            <w:tcMar>
              <w:bottom w:w="28" w:type="dxa"/>
            </w:tcMar>
            <w:vAlign w:val="center"/>
          </w:tcPr>
          <w:p>
            <w:pPr>
              <w:pStyle w:val="TableContents"/>
              <w:bidi w:val="0"/>
              <w:spacing w:before="0" w:after="283"/>
              <w:jc w:val="center"/>
              <w:rPr/>
            </w:pPr>
            <w:r>
              <w:rPr>
                <w:b/>
                <w:color w:val="000000"/>
              </w:rPr>
              <w:t xml:space="preserve">December 31, </w:t>
              <w:br/>
              <w:t>2025</w:t>
            </w:r>
            <w:r>
              <w:rPr/>
              <w:t xml:space="preserve"> </w:t>
            </w:r>
          </w:p>
        </w:tc>
        <w:tc>
          <w:tcPr>
            <w:tcW w:w="230" w:type="dxa"/>
            <w:tcBorders/>
            <w:vAlign w:val="center"/>
          </w:tcPr>
          <w:p>
            <w:pPr>
              <w:pStyle w:val="TableContents"/>
              <w:bidi w:val="0"/>
              <w:spacing w:before="0" w:after="283"/>
              <w:jc w:val="center"/>
              <w:rPr/>
            </w:pPr>
            <w:r>
              <w:rPr/>
              <w:t> </w:t>
            </w:r>
          </w:p>
        </w:tc>
      </w:tr>
      <w:tr>
        <w:trPr/>
        <w:tc>
          <w:tcPr>
            <w:tcW w:w="3995" w:type="dxa"/>
            <w:tcBorders/>
            <w:vAlign w:val="center"/>
          </w:tcPr>
          <w:p>
            <w:pPr>
              <w:pStyle w:val="TableContents"/>
              <w:bidi w:val="0"/>
              <w:spacing w:before="0" w:after="0"/>
              <w:ind w:left="0" w:right="0" w:hanging="144"/>
              <w:jc w:val="left"/>
              <w:rPr/>
            </w:pPr>
            <w:r>
              <w:rPr>
                <w:i/>
                <w:color w:val="000000"/>
              </w:rPr>
              <w:t>(In thousands)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144"/>
              <w:jc w:val="left"/>
              <w:rPr/>
            </w:pPr>
            <w:r>
              <w:rPr>
                <w:color w:val="000000"/>
              </w:rPr>
              <w:t>Manufacturing and laboratory equipment</w:t>
            </w:r>
            <w:r>
              <w:rPr/>
              <w:t xml:space="preserve"> </w:t>
            </w:r>
          </w:p>
        </w:tc>
        <w:tc>
          <w:tcPr>
            <w:tcW w:w="90" w:type="dxa"/>
            <w:tcBorders/>
            <w:shd w:fill="CCEEFF" w:val="clear"/>
            <w:vAlign w:val="center"/>
          </w:tcPr>
          <w:p>
            <w:pPr>
              <w:pStyle w:val="TableContents"/>
              <w:bidi w:val="0"/>
              <w:spacing w:before="0" w:after="283"/>
              <w:jc w:val="righ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w:t>
            </w:r>
          </w:p>
        </w:tc>
        <w:tc>
          <w:tcPr>
            <w:tcW w:w="965" w:type="dxa"/>
            <w:tcBorders/>
            <w:shd w:fill="CCEEFF" w:val="clear"/>
            <w:vAlign w:val="center"/>
          </w:tcPr>
          <w:p>
            <w:pPr>
              <w:pStyle w:val="TableContents"/>
              <w:bidi w:val="0"/>
              <w:spacing w:before="0" w:after="283"/>
              <w:jc w:val="right"/>
              <w:rPr>
                <w:color w:val="000000"/>
              </w:rPr>
            </w:pPr>
            <w:r>
              <w:rPr>
                <w:color w:val="000000"/>
              </w:rPr>
              <w:t>29,940</w:t>
            </w:r>
          </w:p>
        </w:tc>
        <w:tc>
          <w:tcPr>
            <w:tcW w:w="185" w:type="dxa"/>
            <w:tcBorders/>
            <w:shd w:fill="CCEEFF" w:val="clear"/>
            <w:vAlign w:val="center"/>
          </w:tcPr>
          <w:p>
            <w:pPr>
              <w:pStyle w:val="TableContents"/>
              <w:bidi w:val="0"/>
              <w:spacing w:before="0" w:after="283"/>
              <w:jc w:val="left"/>
              <w:rPr>
                <w:color w:val="000000"/>
              </w:rPr>
            </w:pPr>
            <w:r>
              <w:rPr>
                <w:color w:val="000000"/>
              </w:rPr>
              <w:t> </w:t>
            </w:r>
          </w:p>
        </w:tc>
        <w:tc>
          <w:tcPr>
            <w:tcW w:w="90" w:type="dxa"/>
            <w:tcBorders/>
            <w:shd w:fill="CCEEFF" w:val="clear"/>
            <w:vAlign w:val="center"/>
          </w:tcPr>
          <w:p>
            <w:pPr>
              <w:pStyle w:val="TableContents"/>
              <w:bidi w:val="0"/>
              <w:spacing w:before="0" w:after="283"/>
              <w:jc w:val="righ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w:t>
            </w:r>
          </w:p>
        </w:tc>
        <w:tc>
          <w:tcPr>
            <w:tcW w:w="1505" w:type="dxa"/>
            <w:tcBorders/>
            <w:shd w:fill="CCEEFF" w:val="clear"/>
            <w:vAlign w:val="center"/>
          </w:tcPr>
          <w:p>
            <w:pPr>
              <w:pStyle w:val="TableContents"/>
              <w:bidi w:val="0"/>
              <w:spacing w:before="0" w:after="283"/>
              <w:jc w:val="right"/>
              <w:rPr>
                <w:color w:val="000000"/>
              </w:rPr>
            </w:pPr>
            <w:r>
              <w:rPr>
                <w:color w:val="000000"/>
              </w:rPr>
              <w:t>28,119</w:t>
            </w:r>
          </w:p>
        </w:tc>
        <w:tc>
          <w:tcPr>
            <w:tcW w:w="230" w:type="dxa"/>
            <w:tcBorders/>
            <w:shd w:fill="CCEEFF" w:val="clear"/>
            <w:vAlign w:val="center"/>
          </w:tcPr>
          <w:p>
            <w:pPr>
              <w:pStyle w:val="TableContents"/>
              <w:bidi w:val="0"/>
              <w:spacing w:before="0" w:after="283"/>
              <w:jc w:val="left"/>
              <w:rPr>
                <w:color w:val="000000"/>
              </w:rPr>
            </w:pPr>
            <w:r>
              <w:rPr>
                <w:color w:val="000000"/>
              </w:rPr>
              <w:t> </w:t>
            </w:r>
          </w:p>
        </w:tc>
      </w:tr>
      <w:tr>
        <w:trPr/>
        <w:tc>
          <w:tcPr>
            <w:tcW w:w="3995" w:type="dxa"/>
            <w:tcBorders/>
            <w:vAlign w:val="center"/>
          </w:tcPr>
          <w:p>
            <w:pPr>
              <w:pStyle w:val="TableContents"/>
              <w:bidi w:val="0"/>
              <w:spacing w:before="0" w:after="0"/>
              <w:ind w:left="0" w:right="0" w:hanging="144"/>
              <w:jc w:val="left"/>
              <w:rPr/>
            </w:pPr>
            <w:r>
              <w:rPr>
                <w:color w:val="000000"/>
              </w:rPr>
              <w:t>Office equipment and computer software</w:t>
            </w:r>
            <w:r>
              <w:rPr/>
              <w:t xml:space="preserve"> </w:t>
            </w:r>
          </w:p>
        </w:tc>
        <w:tc>
          <w:tcPr>
            <w:tcW w:w="90" w:type="dxa"/>
            <w:tcBorders/>
            <w:vAlign w:val="center"/>
          </w:tcPr>
          <w:p>
            <w:pPr>
              <w:pStyle w:val="TableContents"/>
              <w:bidi w:val="0"/>
              <w:spacing w:before="0" w:after="283"/>
              <w:jc w:val="right"/>
              <w:rPr>
                <w:color w:val="000000"/>
              </w:rPr>
            </w:pPr>
            <w:r>
              <w:rPr>
                <w:color w:val="000000"/>
              </w:rPr>
              <w:t> </w:t>
            </w:r>
          </w:p>
        </w:tc>
        <w:tc>
          <w:tcPr>
            <w:tcW w:w="170" w:type="dxa"/>
            <w:tcBorders/>
            <w:vAlign w:val="center"/>
          </w:tcPr>
          <w:p>
            <w:pPr>
              <w:pStyle w:val="TableContents"/>
              <w:bidi w:val="0"/>
              <w:spacing w:before="0" w:after="283"/>
              <w:jc w:val="left"/>
              <w:rPr>
                <w:color w:val="000000"/>
              </w:rPr>
            </w:pPr>
            <w:r>
              <w:rPr>
                <w:color w:val="000000"/>
              </w:rPr>
              <w:t> </w:t>
            </w:r>
          </w:p>
        </w:tc>
        <w:tc>
          <w:tcPr>
            <w:tcW w:w="965" w:type="dxa"/>
            <w:tcBorders/>
            <w:vAlign w:val="center"/>
          </w:tcPr>
          <w:p>
            <w:pPr>
              <w:pStyle w:val="TableContents"/>
              <w:bidi w:val="0"/>
              <w:spacing w:before="0" w:after="283"/>
              <w:jc w:val="right"/>
              <w:rPr>
                <w:color w:val="000000"/>
              </w:rPr>
            </w:pPr>
            <w:r>
              <w:rPr>
                <w:color w:val="000000"/>
              </w:rPr>
              <w:t>6,307</w:t>
            </w:r>
          </w:p>
        </w:tc>
        <w:tc>
          <w:tcPr>
            <w:tcW w:w="185"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right"/>
              <w:rPr>
                <w:color w:val="000000"/>
              </w:rPr>
            </w:pPr>
            <w:r>
              <w:rPr>
                <w:color w:val="000000"/>
              </w:rPr>
              <w:t> </w:t>
            </w:r>
          </w:p>
        </w:tc>
        <w:tc>
          <w:tcPr>
            <w:tcW w:w="170" w:type="dxa"/>
            <w:tcBorders/>
            <w:vAlign w:val="center"/>
          </w:tcPr>
          <w:p>
            <w:pPr>
              <w:pStyle w:val="TableContents"/>
              <w:bidi w:val="0"/>
              <w:spacing w:before="0" w:after="283"/>
              <w:jc w:val="left"/>
              <w:rPr>
                <w:color w:val="000000"/>
              </w:rPr>
            </w:pPr>
            <w:r>
              <w:rPr>
                <w:color w:val="000000"/>
              </w:rPr>
              <w:t> </w:t>
            </w:r>
          </w:p>
        </w:tc>
        <w:tc>
          <w:tcPr>
            <w:tcW w:w="1505" w:type="dxa"/>
            <w:tcBorders/>
            <w:vAlign w:val="center"/>
          </w:tcPr>
          <w:p>
            <w:pPr>
              <w:pStyle w:val="TableContents"/>
              <w:bidi w:val="0"/>
              <w:spacing w:before="0" w:after="283"/>
              <w:jc w:val="right"/>
              <w:rPr>
                <w:color w:val="000000"/>
              </w:rPr>
            </w:pPr>
            <w:r>
              <w:rPr>
                <w:color w:val="000000"/>
              </w:rPr>
              <w:t>6,307</w:t>
            </w:r>
          </w:p>
        </w:tc>
        <w:tc>
          <w:tcPr>
            <w:tcW w:w="230" w:type="dxa"/>
            <w:tcBorders/>
            <w:vAlign w:val="center"/>
          </w:tcPr>
          <w:p>
            <w:pPr>
              <w:pStyle w:val="TableContents"/>
              <w:bidi w:val="0"/>
              <w:spacing w:before="0" w:after="283"/>
              <w:jc w:val="left"/>
              <w:rPr>
                <w:color w:val="000000"/>
              </w:rPr>
            </w:pPr>
            <w:r>
              <w:rPr>
                <w:color w:val="000000"/>
              </w:rPr>
              <w:t> </w:t>
            </w:r>
          </w:p>
        </w:tc>
      </w:tr>
      <w:tr>
        <w:trPr/>
        <w:tc>
          <w:tcPr>
            <w:tcW w:w="3995" w:type="dxa"/>
            <w:tcBorders/>
            <w:shd w:fill="CCEEFF" w:val="clear"/>
            <w:vAlign w:val="center"/>
          </w:tcPr>
          <w:p>
            <w:pPr>
              <w:pStyle w:val="TableContents"/>
              <w:bidi w:val="0"/>
              <w:spacing w:before="0" w:after="0"/>
              <w:ind w:left="0" w:right="0" w:hanging="144"/>
              <w:jc w:val="left"/>
              <w:rPr/>
            </w:pPr>
            <w:r>
              <w:rPr>
                <w:color w:val="000000"/>
              </w:rPr>
              <w:t>Furniture and fixtures</w:t>
            </w:r>
            <w:r>
              <w:rPr/>
              <w:t xml:space="preserve"> </w:t>
            </w:r>
          </w:p>
        </w:tc>
        <w:tc>
          <w:tcPr>
            <w:tcW w:w="90" w:type="dxa"/>
            <w:tcBorders/>
            <w:shd w:fill="CCEEFF" w:val="clear"/>
            <w:vAlign w:val="center"/>
          </w:tcPr>
          <w:p>
            <w:pPr>
              <w:pStyle w:val="TableContents"/>
              <w:bidi w:val="0"/>
              <w:spacing w:before="0" w:after="283"/>
              <w:jc w:val="righ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 </w:t>
            </w:r>
          </w:p>
        </w:tc>
        <w:tc>
          <w:tcPr>
            <w:tcW w:w="965" w:type="dxa"/>
            <w:tcBorders/>
            <w:shd w:fill="CCEEFF" w:val="clear"/>
            <w:vAlign w:val="center"/>
          </w:tcPr>
          <w:p>
            <w:pPr>
              <w:pStyle w:val="TableContents"/>
              <w:bidi w:val="0"/>
              <w:spacing w:before="0" w:after="283"/>
              <w:jc w:val="right"/>
              <w:rPr>
                <w:color w:val="000000"/>
              </w:rPr>
            </w:pPr>
            <w:r>
              <w:rPr>
                <w:color w:val="000000"/>
              </w:rPr>
              <w:t>5,635</w:t>
            </w:r>
          </w:p>
        </w:tc>
        <w:tc>
          <w:tcPr>
            <w:tcW w:w="185" w:type="dxa"/>
            <w:tcBorders/>
            <w:shd w:fill="CCEEFF" w:val="clear"/>
            <w:vAlign w:val="center"/>
          </w:tcPr>
          <w:p>
            <w:pPr>
              <w:pStyle w:val="TableContents"/>
              <w:bidi w:val="0"/>
              <w:spacing w:before="0" w:after="283"/>
              <w:jc w:val="left"/>
              <w:rPr>
                <w:color w:val="000000"/>
              </w:rPr>
            </w:pPr>
            <w:r>
              <w:rPr>
                <w:color w:val="000000"/>
              </w:rPr>
              <w:t> </w:t>
            </w:r>
          </w:p>
        </w:tc>
        <w:tc>
          <w:tcPr>
            <w:tcW w:w="90" w:type="dxa"/>
            <w:tcBorders/>
            <w:shd w:fill="CCEEFF" w:val="clear"/>
            <w:vAlign w:val="center"/>
          </w:tcPr>
          <w:p>
            <w:pPr>
              <w:pStyle w:val="TableContents"/>
              <w:bidi w:val="0"/>
              <w:spacing w:before="0" w:after="283"/>
              <w:jc w:val="righ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 </w:t>
            </w:r>
          </w:p>
        </w:tc>
        <w:tc>
          <w:tcPr>
            <w:tcW w:w="1505" w:type="dxa"/>
            <w:tcBorders/>
            <w:shd w:fill="CCEEFF" w:val="clear"/>
            <w:vAlign w:val="center"/>
          </w:tcPr>
          <w:p>
            <w:pPr>
              <w:pStyle w:val="TableContents"/>
              <w:bidi w:val="0"/>
              <w:spacing w:before="0" w:after="283"/>
              <w:jc w:val="right"/>
              <w:rPr>
                <w:color w:val="000000"/>
              </w:rPr>
            </w:pPr>
            <w:r>
              <w:rPr>
                <w:color w:val="000000"/>
              </w:rPr>
              <w:t>5,614</w:t>
            </w:r>
          </w:p>
        </w:tc>
        <w:tc>
          <w:tcPr>
            <w:tcW w:w="230" w:type="dxa"/>
            <w:tcBorders/>
            <w:shd w:fill="CCEEFF" w:val="clear"/>
            <w:vAlign w:val="center"/>
          </w:tcPr>
          <w:p>
            <w:pPr>
              <w:pStyle w:val="TableContents"/>
              <w:bidi w:val="0"/>
              <w:spacing w:before="0" w:after="283"/>
              <w:jc w:val="left"/>
              <w:rPr>
                <w:color w:val="000000"/>
              </w:rPr>
            </w:pPr>
            <w:r>
              <w:rPr>
                <w:color w:val="000000"/>
              </w:rPr>
              <w:t> </w:t>
            </w:r>
          </w:p>
        </w:tc>
      </w:tr>
      <w:tr>
        <w:trPr/>
        <w:tc>
          <w:tcPr>
            <w:tcW w:w="3995" w:type="dxa"/>
            <w:tcBorders/>
            <w:vAlign w:val="center"/>
          </w:tcPr>
          <w:p>
            <w:pPr>
              <w:pStyle w:val="TableContents"/>
              <w:bidi w:val="0"/>
              <w:spacing w:before="0" w:after="0"/>
              <w:ind w:left="0" w:right="0" w:hanging="144"/>
              <w:jc w:val="left"/>
              <w:rPr/>
            </w:pPr>
            <w:r>
              <w:rPr>
                <w:color w:val="000000"/>
              </w:rPr>
              <w:t>Construction in process</w:t>
            </w:r>
            <w:r>
              <w:rPr/>
              <w:t xml:space="preserve"> </w:t>
            </w:r>
          </w:p>
        </w:tc>
        <w:tc>
          <w:tcPr>
            <w:tcW w:w="90" w:type="dxa"/>
            <w:tcBorders/>
            <w:vAlign w:val="center"/>
          </w:tcPr>
          <w:p>
            <w:pPr>
              <w:pStyle w:val="TableContents"/>
              <w:bidi w:val="0"/>
              <w:spacing w:before="0" w:after="283"/>
              <w:jc w:val="right"/>
              <w:rPr>
                <w:color w:val="000000"/>
              </w:rPr>
            </w:pPr>
            <w:r>
              <w:rPr>
                <w:color w:val="000000"/>
              </w:rPr>
              <w:t> </w:t>
            </w:r>
          </w:p>
        </w:tc>
        <w:tc>
          <w:tcPr>
            <w:tcW w:w="170" w:type="dxa"/>
            <w:tcBorders/>
            <w:vAlign w:val="center"/>
          </w:tcPr>
          <w:p>
            <w:pPr>
              <w:pStyle w:val="TableContents"/>
              <w:bidi w:val="0"/>
              <w:spacing w:before="0" w:after="283"/>
              <w:jc w:val="left"/>
              <w:rPr>
                <w:color w:val="000000"/>
              </w:rPr>
            </w:pPr>
            <w:r>
              <w:rPr>
                <w:color w:val="000000"/>
              </w:rPr>
              <w:t> </w:t>
            </w:r>
          </w:p>
        </w:tc>
        <w:tc>
          <w:tcPr>
            <w:tcW w:w="965" w:type="dxa"/>
            <w:tcBorders/>
            <w:vAlign w:val="center"/>
          </w:tcPr>
          <w:p>
            <w:pPr>
              <w:pStyle w:val="TableContents"/>
              <w:bidi w:val="0"/>
              <w:spacing w:before="0" w:after="283"/>
              <w:jc w:val="right"/>
              <w:rPr>
                <w:color w:val="000000"/>
              </w:rPr>
            </w:pPr>
            <w:r>
              <w:rPr>
                <w:color w:val="000000"/>
              </w:rPr>
              <w:t>10,816</w:t>
            </w:r>
          </w:p>
        </w:tc>
        <w:tc>
          <w:tcPr>
            <w:tcW w:w="185"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right"/>
              <w:rPr>
                <w:color w:val="000000"/>
              </w:rPr>
            </w:pPr>
            <w:r>
              <w:rPr>
                <w:color w:val="000000"/>
              </w:rPr>
              <w:t> </w:t>
            </w:r>
          </w:p>
        </w:tc>
        <w:tc>
          <w:tcPr>
            <w:tcW w:w="170" w:type="dxa"/>
            <w:tcBorders/>
            <w:vAlign w:val="center"/>
          </w:tcPr>
          <w:p>
            <w:pPr>
              <w:pStyle w:val="TableContents"/>
              <w:bidi w:val="0"/>
              <w:spacing w:before="0" w:after="283"/>
              <w:jc w:val="left"/>
              <w:rPr>
                <w:color w:val="000000"/>
              </w:rPr>
            </w:pPr>
            <w:r>
              <w:rPr>
                <w:color w:val="000000"/>
              </w:rPr>
              <w:t> </w:t>
            </w:r>
          </w:p>
        </w:tc>
        <w:tc>
          <w:tcPr>
            <w:tcW w:w="1505" w:type="dxa"/>
            <w:tcBorders/>
            <w:vAlign w:val="center"/>
          </w:tcPr>
          <w:p>
            <w:pPr>
              <w:pStyle w:val="TableContents"/>
              <w:bidi w:val="0"/>
              <w:spacing w:before="0" w:after="283"/>
              <w:jc w:val="right"/>
              <w:rPr>
                <w:color w:val="000000"/>
              </w:rPr>
            </w:pPr>
            <w:r>
              <w:rPr>
                <w:color w:val="000000"/>
              </w:rPr>
              <w:t>8,457</w:t>
            </w:r>
          </w:p>
        </w:tc>
        <w:tc>
          <w:tcPr>
            <w:tcW w:w="230" w:type="dxa"/>
            <w:tcBorders/>
            <w:vAlign w:val="center"/>
          </w:tcPr>
          <w:p>
            <w:pPr>
              <w:pStyle w:val="TableContents"/>
              <w:bidi w:val="0"/>
              <w:spacing w:before="0" w:after="283"/>
              <w:jc w:val="left"/>
              <w:rPr>
                <w:color w:val="000000"/>
              </w:rPr>
            </w:pPr>
            <w:r>
              <w:rPr>
                <w:color w:val="000000"/>
              </w:rPr>
              <w:t> </w:t>
            </w:r>
          </w:p>
        </w:tc>
      </w:tr>
      <w:tr>
        <w:trPr/>
        <w:tc>
          <w:tcPr>
            <w:tcW w:w="3995" w:type="dxa"/>
            <w:tcBorders/>
            <w:shd w:fill="CCEEFF" w:val="clear"/>
            <w:vAlign w:val="center"/>
          </w:tcPr>
          <w:p>
            <w:pPr>
              <w:pStyle w:val="TableContents"/>
              <w:bidi w:val="0"/>
              <w:spacing w:before="0" w:after="0"/>
              <w:ind w:left="0" w:right="0" w:hanging="144"/>
              <w:jc w:val="left"/>
              <w:rPr/>
            </w:pPr>
            <w:r>
              <w:rPr>
                <w:color w:val="000000"/>
              </w:rPr>
              <w:t>Leasehold improvements</w:t>
            </w:r>
            <w:r>
              <w:rPr/>
              <w:t xml:space="preserve"> </w:t>
            </w:r>
          </w:p>
        </w:tc>
        <w:tc>
          <w:tcPr>
            <w:tcW w:w="90" w:type="dxa"/>
            <w:tcBorders/>
            <w:shd w:fill="CCEEFF" w:val="clear"/>
            <w:vAlign w:val="center"/>
          </w:tcPr>
          <w:p>
            <w:pPr>
              <w:pStyle w:val="TableContents"/>
              <w:bidi w:val="0"/>
              <w:spacing w:before="0" w:after="283"/>
              <w:jc w:val="righ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 </w:t>
            </w:r>
          </w:p>
        </w:tc>
        <w:tc>
          <w:tcPr>
            <w:tcW w:w="965" w:type="dxa"/>
            <w:tcBorders/>
            <w:shd w:fill="CCEEFF" w:val="clear"/>
            <w:vAlign w:val="center"/>
          </w:tcPr>
          <w:p>
            <w:pPr>
              <w:pStyle w:val="TableContents"/>
              <w:bidi w:val="0"/>
              <w:spacing w:before="0" w:after="283"/>
              <w:jc w:val="right"/>
              <w:rPr>
                <w:color w:val="000000"/>
              </w:rPr>
            </w:pPr>
            <w:r>
              <w:rPr>
                <w:color w:val="000000"/>
              </w:rPr>
              <w:t>15,046</w:t>
            </w:r>
          </w:p>
        </w:tc>
        <w:tc>
          <w:tcPr>
            <w:tcW w:w="185" w:type="dxa"/>
            <w:tcBorders/>
            <w:shd w:fill="CCEEFF" w:val="clear"/>
            <w:vAlign w:val="center"/>
          </w:tcPr>
          <w:p>
            <w:pPr>
              <w:pStyle w:val="TableContents"/>
              <w:bidi w:val="0"/>
              <w:spacing w:before="0" w:after="283"/>
              <w:jc w:val="left"/>
              <w:rPr>
                <w:color w:val="000000"/>
              </w:rPr>
            </w:pPr>
            <w:r>
              <w:rPr>
                <w:color w:val="000000"/>
              </w:rPr>
              <w:t> </w:t>
            </w:r>
          </w:p>
        </w:tc>
        <w:tc>
          <w:tcPr>
            <w:tcW w:w="90" w:type="dxa"/>
            <w:tcBorders/>
            <w:shd w:fill="CCEEFF" w:val="clear"/>
            <w:vAlign w:val="center"/>
          </w:tcPr>
          <w:p>
            <w:pPr>
              <w:pStyle w:val="TableContents"/>
              <w:bidi w:val="0"/>
              <w:spacing w:before="0" w:after="283"/>
              <w:jc w:val="righ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 </w:t>
            </w:r>
          </w:p>
        </w:tc>
        <w:tc>
          <w:tcPr>
            <w:tcW w:w="1505" w:type="dxa"/>
            <w:tcBorders/>
            <w:shd w:fill="CCEEFF" w:val="clear"/>
            <w:vAlign w:val="center"/>
          </w:tcPr>
          <w:p>
            <w:pPr>
              <w:pStyle w:val="TableContents"/>
              <w:bidi w:val="0"/>
              <w:spacing w:before="0" w:after="283"/>
              <w:jc w:val="right"/>
              <w:rPr>
                <w:color w:val="000000"/>
              </w:rPr>
            </w:pPr>
            <w:r>
              <w:rPr>
                <w:color w:val="000000"/>
              </w:rPr>
              <w:t>14,983</w:t>
            </w:r>
          </w:p>
        </w:tc>
        <w:tc>
          <w:tcPr>
            <w:tcW w:w="230" w:type="dxa"/>
            <w:tcBorders/>
            <w:shd w:fill="CCEEFF" w:val="clear"/>
            <w:vAlign w:val="center"/>
          </w:tcPr>
          <w:p>
            <w:pPr>
              <w:pStyle w:val="TableContents"/>
              <w:bidi w:val="0"/>
              <w:spacing w:before="0" w:after="283"/>
              <w:jc w:val="left"/>
              <w:rPr>
                <w:color w:val="000000"/>
              </w:rPr>
            </w:pPr>
            <w:r>
              <w:rPr>
                <w:color w:val="000000"/>
              </w:rPr>
              <w:t> </w:t>
            </w:r>
          </w:p>
        </w:tc>
      </w:tr>
      <w:tr>
        <w:trPr/>
        <w:tc>
          <w:tcPr>
            <w:tcW w:w="3995" w:type="dxa"/>
            <w:tcBorders/>
            <w:vAlign w:val="center"/>
          </w:tcPr>
          <w:p>
            <w:pPr>
              <w:pStyle w:val="TableContents"/>
              <w:bidi w:val="0"/>
              <w:spacing w:before="0" w:after="0"/>
              <w:ind w:left="0" w:right="0" w:hanging="144"/>
              <w:jc w:val="left"/>
              <w:rPr/>
            </w:pPr>
            <w:r>
              <w:rPr>
                <w:color w:val="000000"/>
              </w:rPr>
              <w:t>Land</w:t>
            </w:r>
            <w:r>
              <w:rPr/>
              <w:t xml:space="preserve"> </w:t>
            </w:r>
          </w:p>
        </w:tc>
        <w:tc>
          <w:tcPr>
            <w:tcW w:w="90" w:type="dxa"/>
            <w:tcBorders/>
            <w:vAlign w:val="center"/>
          </w:tcPr>
          <w:p>
            <w:pPr>
              <w:pStyle w:val="TableContents"/>
              <w:bidi w:val="0"/>
              <w:spacing w:before="0" w:after="283"/>
              <w:jc w:val="right"/>
              <w:rPr>
                <w:color w:val="000000"/>
              </w:rPr>
            </w:pPr>
            <w:r>
              <w:rPr>
                <w:color w:val="000000"/>
              </w:rPr>
              <w:t> </w:t>
            </w:r>
          </w:p>
        </w:tc>
        <w:tc>
          <w:tcPr>
            <w:tcW w:w="170" w:type="dxa"/>
            <w:tcBorders/>
            <w:vAlign w:val="center"/>
          </w:tcPr>
          <w:p>
            <w:pPr>
              <w:pStyle w:val="TableContents"/>
              <w:bidi w:val="0"/>
              <w:spacing w:before="0" w:after="283"/>
              <w:jc w:val="left"/>
              <w:rPr>
                <w:color w:val="000000"/>
              </w:rPr>
            </w:pPr>
            <w:r>
              <w:rPr>
                <w:color w:val="000000"/>
              </w:rPr>
              <w:t> </w:t>
            </w:r>
          </w:p>
        </w:tc>
        <w:tc>
          <w:tcPr>
            <w:tcW w:w="965" w:type="dxa"/>
            <w:tcBorders/>
            <w:vAlign w:val="center"/>
          </w:tcPr>
          <w:p>
            <w:pPr>
              <w:pStyle w:val="TableContents"/>
              <w:bidi w:val="0"/>
              <w:spacing w:before="0" w:after="283"/>
              <w:jc w:val="right"/>
              <w:rPr>
                <w:color w:val="000000"/>
              </w:rPr>
            </w:pPr>
            <w:r>
              <w:rPr>
                <w:color w:val="000000"/>
              </w:rPr>
              <w:t>13,039</w:t>
            </w:r>
          </w:p>
        </w:tc>
        <w:tc>
          <w:tcPr>
            <w:tcW w:w="185"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right"/>
              <w:rPr>
                <w:color w:val="000000"/>
              </w:rPr>
            </w:pPr>
            <w:r>
              <w:rPr>
                <w:color w:val="000000"/>
              </w:rPr>
              <w:t> </w:t>
            </w:r>
          </w:p>
        </w:tc>
        <w:tc>
          <w:tcPr>
            <w:tcW w:w="170" w:type="dxa"/>
            <w:tcBorders/>
            <w:vAlign w:val="center"/>
          </w:tcPr>
          <w:p>
            <w:pPr>
              <w:pStyle w:val="TableContents"/>
              <w:bidi w:val="0"/>
              <w:spacing w:before="0" w:after="283"/>
              <w:jc w:val="left"/>
              <w:rPr>
                <w:color w:val="000000"/>
              </w:rPr>
            </w:pPr>
            <w:r>
              <w:rPr>
                <w:color w:val="000000"/>
              </w:rPr>
              <w:t> </w:t>
            </w:r>
          </w:p>
        </w:tc>
        <w:tc>
          <w:tcPr>
            <w:tcW w:w="1505" w:type="dxa"/>
            <w:tcBorders/>
            <w:vAlign w:val="center"/>
          </w:tcPr>
          <w:p>
            <w:pPr>
              <w:pStyle w:val="TableContents"/>
              <w:bidi w:val="0"/>
              <w:spacing w:before="0" w:after="283"/>
              <w:jc w:val="right"/>
              <w:rPr>
                <w:color w:val="000000"/>
              </w:rPr>
            </w:pPr>
            <w:r>
              <w:rPr>
                <w:color w:val="000000"/>
              </w:rPr>
              <w:t>13,039</w:t>
            </w:r>
          </w:p>
        </w:tc>
        <w:tc>
          <w:tcPr>
            <w:tcW w:w="230" w:type="dxa"/>
            <w:tcBorders/>
            <w:vAlign w:val="center"/>
          </w:tcPr>
          <w:p>
            <w:pPr>
              <w:pStyle w:val="TableContents"/>
              <w:bidi w:val="0"/>
              <w:spacing w:before="0" w:after="283"/>
              <w:jc w:val="left"/>
              <w:rPr>
                <w:color w:val="000000"/>
              </w:rPr>
            </w:pPr>
            <w:r>
              <w:rPr>
                <w:color w:val="000000"/>
              </w:rPr>
              <w:t> </w:t>
            </w:r>
          </w:p>
        </w:tc>
      </w:tr>
      <w:tr>
        <w:trPr/>
        <w:tc>
          <w:tcPr>
            <w:tcW w:w="3995" w:type="dxa"/>
            <w:tcBorders/>
            <w:shd w:fill="CCEEFF" w:val="clear"/>
            <w:vAlign w:val="center"/>
          </w:tcPr>
          <w:p>
            <w:pPr>
              <w:pStyle w:val="TableContents"/>
              <w:bidi w:val="0"/>
              <w:spacing w:before="0" w:after="0"/>
              <w:ind w:left="0" w:right="0" w:hanging="144"/>
              <w:jc w:val="left"/>
              <w:rPr/>
            </w:pPr>
            <w:r>
              <w:rPr>
                <w:color w:val="000000"/>
              </w:rPr>
              <w:t>Buildings and building improvements</w:t>
            </w:r>
            <w:r>
              <w:rPr/>
              <w:t xml:space="preserve"> </w:t>
            </w:r>
          </w:p>
        </w:tc>
        <w:tc>
          <w:tcPr>
            <w:tcW w:w="90" w:type="dxa"/>
            <w:tcBorders/>
            <w:shd w:fill="CCEEFF" w:val="clear"/>
            <w:vAlign w:val="center"/>
          </w:tcPr>
          <w:p>
            <w:pPr>
              <w:pStyle w:val="TableContents"/>
              <w:bidi w:val="0"/>
              <w:spacing w:before="0" w:after="283"/>
              <w:jc w:val="right"/>
              <w:rPr>
                <w:color w:val="000000"/>
              </w:rPr>
            </w:pPr>
            <w:r>
              <w:rPr>
                <w:color w:val="000000"/>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65" w:type="dxa"/>
            <w:tcBorders>
              <w:bottom w:val="sing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27,601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0" w:type="dxa"/>
            <w:tcBorders/>
            <w:shd w:fill="CCEEFF" w:val="clear"/>
            <w:vAlign w:val="center"/>
          </w:tcPr>
          <w:p>
            <w:pPr>
              <w:pStyle w:val="TableContents"/>
              <w:bidi w:val="0"/>
              <w:spacing w:before="0" w:after="283"/>
              <w:jc w:val="right"/>
              <w:rPr>
                <w:color w:val="000000"/>
              </w:rPr>
            </w:pPr>
            <w:r>
              <w:rPr>
                <w:color w:val="000000"/>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505" w:type="dxa"/>
            <w:tcBorders>
              <w:bottom w:val="sing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26,886</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r>
      <w:tr>
        <w:trPr/>
        <w:tc>
          <w:tcPr>
            <w:tcW w:w="3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color w:val="000000"/>
              </w:rPr>
            </w:pPr>
            <w:r>
              <w:rPr>
                <w:color w:val="000000"/>
              </w:rPr>
              <w:t> </w:t>
            </w:r>
          </w:p>
        </w:tc>
        <w:tc>
          <w:tcPr>
            <w:tcW w:w="170" w:type="dxa"/>
            <w:tcBorders/>
            <w:vAlign w:val="center"/>
          </w:tcPr>
          <w:p>
            <w:pPr>
              <w:pStyle w:val="TableContents"/>
              <w:bidi w:val="0"/>
              <w:spacing w:before="0" w:after="283"/>
              <w:jc w:val="left"/>
              <w:rPr>
                <w:color w:val="000000"/>
              </w:rPr>
            </w:pPr>
            <w:r>
              <w:rPr>
                <w:color w:val="000000"/>
              </w:rPr>
              <w:t> </w:t>
            </w:r>
          </w:p>
        </w:tc>
        <w:tc>
          <w:tcPr>
            <w:tcW w:w="965" w:type="dxa"/>
            <w:tcBorders/>
            <w:vAlign w:val="center"/>
          </w:tcPr>
          <w:p>
            <w:pPr>
              <w:pStyle w:val="TableContents"/>
              <w:bidi w:val="0"/>
              <w:spacing w:before="0" w:after="283"/>
              <w:jc w:val="right"/>
              <w:rPr>
                <w:color w:val="000000"/>
              </w:rPr>
            </w:pPr>
            <w:r>
              <w:rPr>
                <w:color w:val="000000"/>
              </w:rPr>
              <w:t>108,384</w:t>
            </w:r>
          </w:p>
        </w:tc>
        <w:tc>
          <w:tcPr>
            <w:tcW w:w="185"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right"/>
              <w:rPr>
                <w:color w:val="000000"/>
              </w:rPr>
            </w:pPr>
            <w:r>
              <w:rPr>
                <w:color w:val="000000"/>
              </w:rPr>
              <w:t> </w:t>
            </w:r>
          </w:p>
        </w:tc>
        <w:tc>
          <w:tcPr>
            <w:tcW w:w="170" w:type="dxa"/>
            <w:tcBorders/>
            <w:vAlign w:val="center"/>
          </w:tcPr>
          <w:p>
            <w:pPr>
              <w:pStyle w:val="TableContents"/>
              <w:bidi w:val="0"/>
              <w:spacing w:before="0" w:after="283"/>
              <w:jc w:val="left"/>
              <w:rPr>
                <w:color w:val="000000"/>
              </w:rPr>
            </w:pPr>
            <w:r>
              <w:rPr>
                <w:color w:val="000000"/>
              </w:rPr>
              <w:t> </w:t>
            </w:r>
          </w:p>
        </w:tc>
        <w:tc>
          <w:tcPr>
            <w:tcW w:w="1505" w:type="dxa"/>
            <w:tcBorders/>
            <w:vAlign w:val="center"/>
          </w:tcPr>
          <w:p>
            <w:pPr>
              <w:pStyle w:val="TableContents"/>
              <w:bidi w:val="0"/>
              <w:spacing w:before="0" w:after="283"/>
              <w:jc w:val="right"/>
              <w:rPr>
                <w:color w:val="000000"/>
              </w:rPr>
            </w:pPr>
            <w:r>
              <w:rPr>
                <w:color w:val="000000"/>
              </w:rPr>
              <w:t>103,405</w:t>
            </w:r>
          </w:p>
        </w:tc>
        <w:tc>
          <w:tcPr>
            <w:tcW w:w="230" w:type="dxa"/>
            <w:tcBorders/>
            <w:vAlign w:val="center"/>
          </w:tcPr>
          <w:p>
            <w:pPr>
              <w:pStyle w:val="TableContents"/>
              <w:bidi w:val="0"/>
              <w:spacing w:before="0" w:after="283"/>
              <w:jc w:val="left"/>
              <w:rPr>
                <w:color w:val="000000"/>
              </w:rPr>
            </w:pPr>
            <w:r>
              <w:rPr>
                <w:color w:val="000000"/>
              </w:rPr>
              <w:t> </w:t>
            </w:r>
          </w:p>
        </w:tc>
      </w:tr>
      <w:tr>
        <w:trPr/>
        <w:tc>
          <w:tcPr>
            <w:tcW w:w="3995" w:type="dxa"/>
            <w:tcBorders/>
            <w:shd w:fill="CCEEFF" w:val="clear"/>
            <w:vAlign w:val="center"/>
          </w:tcPr>
          <w:p>
            <w:pPr>
              <w:pStyle w:val="TableContents"/>
              <w:bidi w:val="0"/>
              <w:spacing w:before="0" w:after="0"/>
              <w:ind w:left="0" w:right="0" w:hanging="144"/>
              <w:jc w:val="left"/>
              <w:rPr/>
            </w:pPr>
            <w:r>
              <w:rPr>
                <w:color w:val="000000"/>
              </w:rPr>
              <w:t>Less: Accumulated depreciation</w:t>
            </w:r>
            <w:r>
              <w:rPr/>
              <w:t xml:space="preserve"> </w:t>
            </w:r>
          </w:p>
        </w:tc>
        <w:tc>
          <w:tcPr>
            <w:tcW w:w="90" w:type="dxa"/>
            <w:tcBorders/>
            <w:shd w:fill="CCEEFF" w:val="clear"/>
            <w:vAlign w:val="center"/>
          </w:tcPr>
          <w:p>
            <w:pPr>
              <w:pStyle w:val="TableContents"/>
              <w:bidi w:val="0"/>
              <w:spacing w:before="0" w:after="283"/>
              <w:jc w:val="right"/>
              <w:rPr>
                <w:color w:val="000000"/>
              </w:rPr>
            </w:pPr>
            <w:r>
              <w:rPr>
                <w:color w:val="000000"/>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65" w:type="dxa"/>
            <w:tcBorders>
              <w:bottom w:val="sing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(41,720</w:t>
            </w:r>
          </w:p>
        </w:tc>
        <w:tc>
          <w:tcPr>
            <w:tcW w:w="185" w:type="dxa"/>
            <w:tcBorders/>
            <w:shd w:fill="CCEEFF" w:val="clear"/>
            <w:vAlign w:val="center"/>
          </w:tcPr>
          <w:p>
            <w:pPr>
              <w:pStyle w:val="TableContents"/>
              <w:bidi w:val="0"/>
              <w:spacing w:before="0" w:after="283"/>
              <w:jc w:val="left"/>
              <w:rPr>
                <w:color w:val="000000"/>
              </w:rPr>
            </w:pPr>
            <w:r>
              <w:rPr>
                <w:color w:val="000000"/>
              </w:rPr>
              <w:t>) </w:t>
            </w:r>
          </w:p>
        </w:tc>
        <w:tc>
          <w:tcPr>
            <w:tcW w:w="90" w:type="dxa"/>
            <w:tcBorders/>
            <w:shd w:fill="CCEEFF" w:val="clear"/>
            <w:vAlign w:val="center"/>
          </w:tcPr>
          <w:p>
            <w:pPr>
              <w:pStyle w:val="TableContents"/>
              <w:bidi w:val="0"/>
              <w:spacing w:before="0" w:after="283"/>
              <w:jc w:val="right"/>
              <w:rPr>
                <w:color w:val="000000"/>
              </w:rPr>
            </w:pPr>
            <w:r>
              <w:rPr>
                <w:color w:val="000000"/>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505" w:type="dxa"/>
            <w:tcBorders>
              <w:bottom w:val="sing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(38,348</w:t>
            </w:r>
          </w:p>
        </w:tc>
        <w:tc>
          <w:tcPr>
            <w:tcW w:w="230" w:type="dxa"/>
            <w:tcBorders/>
            <w:shd w:fill="CCEEFF" w:val="clear"/>
            <w:vAlign w:val="center"/>
          </w:tcPr>
          <w:p>
            <w:pPr>
              <w:pStyle w:val="TableContents"/>
              <w:bidi w:val="0"/>
              <w:spacing w:before="0" w:after="283"/>
              <w:jc w:val="left"/>
              <w:rPr>
                <w:color w:val="000000"/>
              </w:rPr>
            </w:pPr>
            <w:r>
              <w:rPr>
                <w:color w:val="000000"/>
              </w:rPr>
              <w:t>) </w:t>
            </w:r>
          </w:p>
        </w:tc>
      </w:tr>
      <w:tr>
        <w:trPr/>
        <w:tc>
          <w:tcPr>
            <w:tcW w:w="3995" w:type="dxa"/>
            <w:tcBorders/>
            <w:vAlign w:val="center"/>
          </w:tcPr>
          <w:p>
            <w:pPr>
              <w:pStyle w:val="TableContents"/>
              <w:bidi w:val="0"/>
              <w:spacing w:before="0" w:after="0"/>
              <w:ind w:left="0" w:right="0" w:hanging="144"/>
              <w:jc w:val="left"/>
              <w:rPr/>
            </w:pPr>
            <w:r>
              <w:rPr>
                <w:color w:val="000000"/>
              </w:rPr>
              <w:t>Total property and equipment, net</w:t>
            </w:r>
            <w:r>
              <w:rPr/>
              <w:t xml:space="preserve"> </w:t>
            </w:r>
          </w:p>
        </w:tc>
        <w:tc>
          <w:tcPr>
            <w:tcW w:w="90" w:type="dxa"/>
            <w:tcBorders/>
            <w:vAlign w:val="center"/>
          </w:tcPr>
          <w:p>
            <w:pPr>
              <w:pStyle w:val="TableContents"/>
              <w:bidi w:val="0"/>
              <w:spacing w:before="0" w:after="283"/>
              <w:jc w:val="right"/>
              <w:rPr>
                <w:color w:val="000000"/>
              </w:rPr>
            </w:pPr>
            <w:r>
              <w:rPr>
                <w:color w:val="000000"/>
              </w:rPr>
              <w:t> </w:t>
            </w:r>
          </w:p>
        </w:tc>
        <w:tc>
          <w:tcPr>
            <w:tcW w:w="170" w:type="dxa"/>
            <w:tcBorders>
              <w:bottom w:val="single" w:sz="6" w:space="0" w:color="000000"/>
            </w:tcBorders>
            <w:tcMar>
              <w:bottom w:w="28" w:type="dxa"/>
            </w:tcMar>
            <w:vAlign w:val="center"/>
          </w:tcPr>
          <w:p>
            <w:pPr>
              <w:pStyle w:val="TableContents"/>
              <w:bidi w:val="0"/>
              <w:spacing w:before="0" w:after="283"/>
              <w:jc w:val="left"/>
              <w:rPr>
                <w:color w:val="000000"/>
              </w:rPr>
            </w:pPr>
            <w:r>
              <w:rPr>
                <w:color w:val="000000"/>
              </w:rPr>
              <w:t>$</w:t>
            </w:r>
          </w:p>
        </w:tc>
        <w:tc>
          <w:tcPr>
            <w:tcW w:w="965" w:type="dxa"/>
            <w:tcBorders>
              <w:bottom w:val="single" w:sz="6" w:space="0" w:color="000000"/>
            </w:tcBorders>
            <w:tcMar>
              <w:bottom w:w="28" w:type="dxa"/>
            </w:tcMar>
            <w:vAlign w:val="center"/>
          </w:tcPr>
          <w:p>
            <w:pPr>
              <w:pStyle w:val="TableContents"/>
              <w:bidi w:val="0"/>
              <w:spacing w:before="0" w:after="283"/>
              <w:jc w:val="right"/>
              <w:rPr>
                <w:color w:val="000000"/>
              </w:rPr>
            </w:pPr>
            <w:r>
              <w:rPr>
                <w:color w:val="000000"/>
              </w:rPr>
              <w:t>66,664</w:t>
            </w:r>
          </w:p>
        </w:tc>
        <w:tc>
          <w:tcPr>
            <w:tcW w:w="185" w:type="dxa"/>
            <w:tcBorders>
              <w:bottom w:val="single" w:sz="12" w:space="0" w:color="000000"/>
            </w:tcBorders>
            <w:tcMar>
              <w:bottom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right"/>
              <w:rPr>
                <w:color w:val="000000"/>
              </w:rPr>
            </w:pPr>
            <w:r>
              <w:rPr>
                <w:color w:val="000000"/>
              </w:rPr>
              <w:t> </w:t>
            </w:r>
          </w:p>
        </w:tc>
        <w:tc>
          <w:tcPr>
            <w:tcW w:w="170" w:type="dxa"/>
            <w:tcBorders>
              <w:bottom w:val="single" w:sz="6" w:space="0" w:color="000000"/>
            </w:tcBorders>
            <w:tcMar>
              <w:bottom w:w="28" w:type="dxa"/>
            </w:tcMar>
            <w:vAlign w:val="center"/>
          </w:tcPr>
          <w:p>
            <w:pPr>
              <w:pStyle w:val="TableContents"/>
              <w:bidi w:val="0"/>
              <w:spacing w:before="0" w:after="283"/>
              <w:jc w:val="left"/>
              <w:rPr>
                <w:color w:val="000000"/>
              </w:rPr>
            </w:pPr>
            <w:r>
              <w:rPr>
                <w:color w:val="000000"/>
              </w:rPr>
              <w:t>$</w:t>
            </w:r>
          </w:p>
        </w:tc>
        <w:tc>
          <w:tcPr>
            <w:tcW w:w="1505" w:type="dxa"/>
            <w:tcBorders>
              <w:bottom w:val="single" w:sz="6" w:space="0" w:color="000000"/>
            </w:tcBorders>
            <w:tcMar>
              <w:bottom w:w="28" w:type="dxa"/>
            </w:tcMar>
            <w:vAlign w:val="center"/>
          </w:tcPr>
          <w:p>
            <w:pPr>
              <w:pStyle w:val="TableContents"/>
              <w:bidi w:val="0"/>
              <w:spacing w:before="0" w:after="283"/>
              <w:jc w:val="right"/>
              <w:rPr>
                <w:color w:val="000000"/>
              </w:rPr>
            </w:pPr>
            <w:r>
              <w:rPr>
                <w:color w:val="000000"/>
              </w:rPr>
              <w:t>65,057</w:t>
            </w:r>
          </w:p>
        </w:tc>
        <w:tc>
          <w:tcPr>
            <w:tcW w:w="230" w:type="dxa"/>
            <w:tcBorders>
              <w:bottom w:val="single" w:sz="12" w:space="0" w:color="000000"/>
            </w:tcBorders>
            <w:tcMar>
              <w:bottom w:w="28" w:type="dxa"/>
            </w:tcMar>
            <w:vAlign w:val="center"/>
          </w:tcPr>
          <w:p>
            <w:pPr>
              <w:pStyle w:val="TableContents"/>
              <w:bidi w:val="0"/>
              <w:spacing w:before="0" w:after="283"/>
              <w:jc w:val="left"/>
              <w:rPr>
                <w:color w:val="000000"/>
              </w:rPr>
            </w:pPr>
            <w:r>
              <w:rPr>
                <w:color w:val="000000"/>
              </w:rPr>
              <w:t> </w:t>
            </w:r>
          </w:p>
        </w:tc>
      </w:tr>
    </w:tbl>
    <w:p>
      <w:pPr>
        <w:pStyle w:val="TextBody"/>
        <w:bidi w:val="0"/>
        <w:spacing w:before="0" w:after="0"/>
        <w:jc w:val="center"/>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Company recorded depreciation expense on property and equipment for the three and six months ended June 30, 2026 of $1.7 million and $3.5 million, respectively, and $2.0 million and $4.0 million for the three and six months ended June 30, 2025, respectively.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ASSETS AND LIABILITIES HELD FOR SALE</w:t>
      </w:r>
      <w:r>
        <w:rPr>
          <w:rFonts w:ascii="Times New Roman" w:hAnsi="Times New Roman"/>
          <w:sz w:val="20"/>
        </w:rPr>
        <w:t xml:space="preserve"> </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342900" cy="175260"/>
                <wp:effectExtent l="0" t="0" r="0" b="0"/>
                <wp:wrapSquare wrapText="right"/>
                <wp:docPr id="44" name="Frame44"/>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sz w:val="20"/>
                              </w:rPr>
                              <w:t>5.</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5.</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In the first quarter of 2026, the Company completed the sale of its plasma collection centers located in Maryville, Tennessee (“Maryville Center”), Knoxville, Tennessee (“Knoxville Center”), and Laurel, Maryland (“Laurel Center” and, collectively with the Maryville Center and Knoxville Center, the “Disposal Group”), in that order. The sale was completed pursuant to an Asset Purchase Agreement entered into on December 31, 2025, which provided for an aggregate purchase price of $12.0 million, with fifty percent (50%) of the consideration in the form of one-year secured promissory notes bearing interest at ten percent (10%) and the remaining fifty percent (50%) payable in cash, $1.0 million of which was received in December 2025. As a result of the sale of the Disposal Group, the Company recognized a gain of approximately $8.0 million. The Company recorded the one-year secured promissory notes within prepaid expenses and other current assets and recognized the gain within Gain on sale of plasma centers.</w:t>
      </w:r>
    </w:p>
    <w:p>
      <w:pPr>
        <w:pStyle w:val="TextBody"/>
        <w:bidi w:val="0"/>
        <w:spacing w:before="0" w:after="0"/>
        <w:ind w:left="0" w:right="0" w:firstLine="540"/>
        <w:jc w:val="both"/>
        <w:rPr/>
      </w:pPr>
      <w:r>
        <w:rPr/>
        <w:t>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ACCRUED EXPENSES AND OTHER CURRENT LIABILITIES</w:t>
      </w:r>
      <w:r>
        <w:rPr>
          <w:rFonts w:ascii="Times New Roman" w:hAnsi="Times New Roman"/>
          <w:sz w:val="20"/>
        </w:rPr>
        <w:t xml:space="preserve">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342900" cy="175260"/>
                <wp:effectExtent l="0" t="0" r="0" b="0"/>
                <wp:wrapSquare wrapText="right"/>
                <wp:docPr id="45" name="Frame45"/>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sz w:val="20"/>
                              </w:rPr>
                              <w:t>6.</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6.</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Accrued expenses and other current liabilities at June 30, 2026 and December 31, 2025 are as follows: </w:t>
      </w:r>
    </w:p>
    <w:p>
      <w:pPr>
        <w:pStyle w:val="TextBody"/>
        <w:bidi w:val="0"/>
        <w:spacing w:before="0" w:after="0"/>
        <w:jc w:val="left"/>
        <w:rPr/>
      </w:pPr>
      <w:r>
        <w:rPr/>
        <w:t xml:space="preserve">  </w:t>
      </w:r>
    </w:p>
    <w:tbl>
      <w:tblPr>
        <w:tblW w:w="8110" w:type="dxa"/>
        <w:jc w:val="left"/>
        <w:tblInd w:w="0" w:type="dxa"/>
        <w:tblLayout w:type="fixed"/>
        <w:tblCellMar>
          <w:top w:w="0" w:type="dxa"/>
          <w:left w:w="0" w:type="dxa"/>
          <w:bottom w:w="0" w:type="dxa"/>
          <w:right w:w="0" w:type="dxa"/>
        </w:tblCellMar>
      </w:tblPr>
      <w:tblGrid>
        <w:gridCol w:w="4895"/>
        <w:gridCol w:w="90"/>
        <w:gridCol w:w="170"/>
        <w:gridCol w:w="965"/>
        <w:gridCol w:w="90"/>
        <w:gridCol w:w="90"/>
        <w:gridCol w:w="170"/>
        <w:gridCol w:w="1505"/>
        <w:gridCol w:w="135"/>
      </w:tblGrid>
      <w:tr>
        <w:trPr/>
        <w:tc>
          <w:tcPr>
            <w:tcW w:w="4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65" w:type="dxa"/>
            <w:tcBorders>
              <w:bottom w:val="single" w:sz="6" w:space="0" w:color="000000"/>
            </w:tcBorders>
            <w:tcMar>
              <w:bottom w:w="28" w:type="dxa"/>
            </w:tcMar>
            <w:vAlign w:val="center"/>
          </w:tcPr>
          <w:p>
            <w:pPr>
              <w:pStyle w:val="TableContents"/>
              <w:bidi w:val="0"/>
              <w:spacing w:before="0" w:after="283"/>
              <w:jc w:val="center"/>
              <w:rPr/>
            </w:pPr>
            <w:r>
              <w:rPr>
                <w:b/>
                <w:color w:val="000000"/>
              </w:rPr>
              <w:t xml:space="preserve">June 30, </w:t>
              <w:br/>
              <w:t>2026</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505" w:type="dxa"/>
            <w:tcBorders>
              <w:bottom w:val="single" w:sz="6" w:space="0" w:color="000000"/>
            </w:tcBorders>
            <w:tcMar>
              <w:bottom w:w="28" w:type="dxa"/>
            </w:tcMar>
            <w:vAlign w:val="center"/>
          </w:tcPr>
          <w:p>
            <w:pPr>
              <w:pStyle w:val="TableContents"/>
              <w:bidi w:val="0"/>
              <w:spacing w:before="0" w:after="283"/>
              <w:jc w:val="center"/>
              <w:rPr/>
            </w:pPr>
            <w:r>
              <w:rPr>
                <w:b/>
                <w:color w:val="000000"/>
              </w:rPr>
              <w:t xml:space="preserve">December 31, </w:t>
              <w:br/>
              <w:t>2025</w:t>
            </w:r>
            <w:r>
              <w:rPr/>
              <w:t xml:space="preserve"> </w:t>
            </w:r>
          </w:p>
        </w:tc>
        <w:tc>
          <w:tcPr>
            <w:tcW w:w="135" w:type="dxa"/>
            <w:tcBorders/>
            <w:vAlign w:val="center"/>
          </w:tcPr>
          <w:p>
            <w:pPr>
              <w:pStyle w:val="TableContents"/>
              <w:bidi w:val="0"/>
              <w:spacing w:before="0" w:after="283"/>
              <w:jc w:val="center"/>
              <w:rPr/>
            </w:pPr>
            <w:r>
              <w:rPr/>
              <w:t> </w:t>
            </w:r>
          </w:p>
        </w:tc>
      </w:tr>
      <w:tr>
        <w:trPr/>
        <w:tc>
          <w:tcPr>
            <w:tcW w:w="4895" w:type="dxa"/>
            <w:tcBorders/>
            <w:vAlign w:val="center"/>
          </w:tcPr>
          <w:p>
            <w:pPr>
              <w:pStyle w:val="TableContents"/>
              <w:bidi w:val="0"/>
              <w:spacing w:before="0" w:after="0"/>
              <w:ind w:left="0" w:right="0" w:hanging="144"/>
              <w:jc w:val="left"/>
              <w:rPr/>
            </w:pPr>
            <w:r>
              <w:rPr>
                <w:i/>
                <w:color w:val="000000"/>
              </w:rPr>
              <w:t>(In thousands)</w:t>
            </w:r>
            <w:r>
              <w:rPr/>
              <w:t xml:space="preserve"> </w:t>
            </w:r>
          </w:p>
        </w:tc>
        <w:tc>
          <w:tcPr>
            <w:tcW w:w="3215" w:type="dxa"/>
            <w:gridSpan w:val="8"/>
            <w:tcBorders/>
            <w:vAlign w:val="center"/>
          </w:tcPr>
          <w:p>
            <w:pPr>
              <w:pStyle w:val="TableContents"/>
              <w:bidi w:val="0"/>
              <w:spacing w:before="0" w:after="283"/>
              <w:jc w:val="center"/>
              <w:rPr/>
            </w:pPr>
            <w:r>
              <w:rPr/>
              <w:t> </w:t>
            </w:r>
          </w:p>
        </w:tc>
      </w:tr>
      <w:tr>
        <w:trPr/>
        <w:tc>
          <w:tcPr>
            <w:tcW w:w="4895" w:type="dxa"/>
            <w:tcBorders/>
            <w:shd w:fill="CCEEFF" w:val="clear"/>
            <w:vAlign w:val="center"/>
          </w:tcPr>
          <w:p>
            <w:pPr>
              <w:pStyle w:val="TableContents"/>
              <w:bidi w:val="0"/>
              <w:spacing w:before="0" w:after="0"/>
              <w:ind w:left="0" w:right="0" w:hanging="144"/>
              <w:jc w:val="left"/>
              <w:rPr/>
            </w:pPr>
            <w:r>
              <w:rPr>
                <w:color w:val="000000"/>
              </w:rPr>
              <w:t>Accrued rebates</w:t>
            </w:r>
            <w:r>
              <w:rPr/>
              <w:t xml:space="preserve"> </w:t>
            </w:r>
          </w:p>
        </w:tc>
        <w:tc>
          <w:tcPr>
            <w:tcW w:w="90" w:type="dxa"/>
            <w:tcBorders/>
            <w:shd w:fill="CCEEFF" w:val="clear"/>
            <w:vAlign w:val="center"/>
          </w:tcPr>
          <w:p>
            <w:pPr>
              <w:pStyle w:val="TableContents"/>
              <w:bidi w:val="0"/>
              <w:spacing w:before="0" w:after="283"/>
              <w:jc w:val="righ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w:t>
            </w:r>
          </w:p>
        </w:tc>
        <w:tc>
          <w:tcPr>
            <w:tcW w:w="965" w:type="dxa"/>
            <w:tcBorders/>
            <w:shd w:fill="CCEEFF" w:val="clear"/>
            <w:vAlign w:val="center"/>
          </w:tcPr>
          <w:p>
            <w:pPr>
              <w:pStyle w:val="TableContents"/>
              <w:bidi w:val="0"/>
              <w:spacing w:before="0" w:after="283"/>
              <w:jc w:val="right"/>
              <w:rPr>
                <w:color w:val="000000"/>
              </w:rPr>
            </w:pPr>
            <w:r>
              <w:rPr>
                <w:color w:val="000000"/>
              </w:rPr>
              <w:t>7,426</w:t>
            </w:r>
          </w:p>
        </w:tc>
        <w:tc>
          <w:tcPr>
            <w:tcW w:w="90" w:type="dxa"/>
            <w:tcBorders/>
            <w:shd w:fill="CCEEFF" w:val="clear"/>
            <w:vAlign w:val="center"/>
          </w:tcPr>
          <w:p>
            <w:pPr>
              <w:pStyle w:val="TableContents"/>
              <w:bidi w:val="0"/>
              <w:spacing w:before="0" w:after="283"/>
              <w:jc w:val="left"/>
              <w:rPr>
                <w:color w:val="000000"/>
              </w:rPr>
            </w:pPr>
            <w:r>
              <w:rPr>
                <w:color w:val="000000"/>
              </w:rPr>
              <w:t> </w:t>
            </w:r>
          </w:p>
        </w:tc>
        <w:tc>
          <w:tcPr>
            <w:tcW w:w="90" w:type="dxa"/>
            <w:tcBorders/>
            <w:shd w:fill="CCEEFF" w:val="clear"/>
            <w:vAlign w:val="center"/>
          </w:tcPr>
          <w:p>
            <w:pPr>
              <w:pStyle w:val="TableContents"/>
              <w:bidi w:val="0"/>
              <w:spacing w:before="0" w:after="283"/>
              <w:jc w:val="righ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w:t>
            </w:r>
          </w:p>
        </w:tc>
        <w:tc>
          <w:tcPr>
            <w:tcW w:w="1505" w:type="dxa"/>
            <w:tcBorders/>
            <w:shd w:fill="CCEEFF" w:val="clear"/>
            <w:vAlign w:val="center"/>
          </w:tcPr>
          <w:p>
            <w:pPr>
              <w:pStyle w:val="TableContents"/>
              <w:bidi w:val="0"/>
              <w:spacing w:before="0" w:after="283"/>
              <w:jc w:val="right"/>
              <w:rPr>
                <w:color w:val="000000"/>
              </w:rPr>
            </w:pPr>
            <w:r>
              <w:rPr>
                <w:color w:val="000000"/>
              </w:rPr>
              <w:t>5,758</w:t>
            </w:r>
          </w:p>
        </w:tc>
        <w:tc>
          <w:tcPr>
            <w:tcW w:w="135" w:type="dxa"/>
            <w:tcBorders/>
            <w:shd w:fill="CCEEFF" w:val="clear"/>
            <w:vAlign w:val="center"/>
          </w:tcPr>
          <w:p>
            <w:pPr>
              <w:pStyle w:val="TableContents"/>
              <w:bidi w:val="0"/>
              <w:spacing w:before="0" w:after="283"/>
              <w:jc w:val="left"/>
              <w:rPr>
                <w:color w:val="000000"/>
              </w:rPr>
            </w:pPr>
            <w:r>
              <w:rPr>
                <w:color w:val="000000"/>
              </w:rPr>
              <w:t> </w:t>
            </w:r>
          </w:p>
        </w:tc>
      </w:tr>
      <w:tr>
        <w:trPr/>
        <w:tc>
          <w:tcPr>
            <w:tcW w:w="4895" w:type="dxa"/>
            <w:tcBorders/>
            <w:vAlign w:val="center"/>
          </w:tcPr>
          <w:p>
            <w:pPr>
              <w:pStyle w:val="TableContents"/>
              <w:bidi w:val="0"/>
              <w:spacing w:before="0" w:after="0"/>
              <w:ind w:left="0" w:right="0" w:hanging="144"/>
              <w:jc w:val="left"/>
              <w:rPr/>
            </w:pPr>
            <w:r>
              <w:rPr>
                <w:color w:val="000000"/>
              </w:rPr>
              <w:t>Accrued distribution fees</w:t>
            </w:r>
            <w:r>
              <w:rPr/>
              <w:t xml:space="preserve"> </w:t>
            </w:r>
          </w:p>
        </w:tc>
        <w:tc>
          <w:tcPr>
            <w:tcW w:w="90" w:type="dxa"/>
            <w:tcBorders/>
            <w:vAlign w:val="center"/>
          </w:tcPr>
          <w:p>
            <w:pPr>
              <w:pStyle w:val="TableContents"/>
              <w:bidi w:val="0"/>
              <w:spacing w:before="0" w:after="283"/>
              <w:jc w:val="right"/>
              <w:rPr>
                <w:color w:val="000000"/>
              </w:rPr>
            </w:pPr>
            <w:r>
              <w:rPr>
                <w:color w:val="000000"/>
              </w:rPr>
              <w:t> </w:t>
            </w:r>
          </w:p>
        </w:tc>
        <w:tc>
          <w:tcPr>
            <w:tcW w:w="170" w:type="dxa"/>
            <w:tcBorders/>
            <w:vAlign w:val="center"/>
          </w:tcPr>
          <w:p>
            <w:pPr>
              <w:pStyle w:val="TableContents"/>
              <w:bidi w:val="0"/>
              <w:spacing w:before="0" w:after="283"/>
              <w:jc w:val="left"/>
              <w:rPr>
                <w:color w:val="000000"/>
              </w:rPr>
            </w:pPr>
            <w:r>
              <w:rPr>
                <w:color w:val="000000"/>
              </w:rPr>
              <w:t> </w:t>
            </w:r>
          </w:p>
        </w:tc>
        <w:tc>
          <w:tcPr>
            <w:tcW w:w="965" w:type="dxa"/>
            <w:tcBorders/>
            <w:vAlign w:val="center"/>
          </w:tcPr>
          <w:p>
            <w:pPr>
              <w:pStyle w:val="TableContents"/>
              <w:bidi w:val="0"/>
              <w:spacing w:before="0" w:after="283"/>
              <w:jc w:val="right"/>
              <w:rPr>
                <w:color w:val="000000"/>
              </w:rPr>
            </w:pPr>
            <w:r>
              <w:rPr>
                <w:color w:val="000000"/>
              </w:rPr>
              <w:t>13,378</w:t>
            </w:r>
          </w:p>
        </w:tc>
        <w:tc>
          <w:tcPr>
            <w:tcW w:w="90"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right"/>
              <w:rPr>
                <w:color w:val="000000"/>
              </w:rPr>
            </w:pPr>
            <w:r>
              <w:rPr>
                <w:color w:val="000000"/>
              </w:rPr>
              <w:t> </w:t>
            </w:r>
          </w:p>
        </w:tc>
        <w:tc>
          <w:tcPr>
            <w:tcW w:w="170" w:type="dxa"/>
            <w:tcBorders/>
            <w:vAlign w:val="center"/>
          </w:tcPr>
          <w:p>
            <w:pPr>
              <w:pStyle w:val="TableContents"/>
              <w:bidi w:val="0"/>
              <w:spacing w:before="0" w:after="283"/>
              <w:jc w:val="left"/>
              <w:rPr>
                <w:color w:val="000000"/>
              </w:rPr>
            </w:pPr>
            <w:r>
              <w:rPr>
                <w:color w:val="000000"/>
              </w:rPr>
              <w:t> </w:t>
            </w:r>
          </w:p>
        </w:tc>
        <w:tc>
          <w:tcPr>
            <w:tcW w:w="1505" w:type="dxa"/>
            <w:tcBorders/>
            <w:vAlign w:val="center"/>
          </w:tcPr>
          <w:p>
            <w:pPr>
              <w:pStyle w:val="TableContents"/>
              <w:bidi w:val="0"/>
              <w:spacing w:before="0" w:after="283"/>
              <w:jc w:val="right"/>
              <w:rPr>
                <w:color w:val="000000"/>
              </w:rPr>
            </w:pPr>
            <w:r>
              <w:rPr>
                <w:color w:val="000000"/>
              </w:rPr>
              <w:t>14,808</w:t>
            </w:r>
          </w:p>
        </w:tc>
        <w:tc>
          <w:tcPr>
            <w:tcW w:w="135" w:type="dxa"/>
            <w:tcBorders/>
            <w:vAlign w:val="center"/>
          </w:tcPr>
          <w:p>
            <w:pPr>
              <w:pStyle w:val="TableContents"/>
              <w:bidi w:val="0"/>
              <w:spacing w:before="0" w:after="283"/>
              <w:jc w:val="left"/>
              <w:rPr>
                <w:color w:val="000000"/>
              </w:rPr>
            </w:pPr>
            <w:r>
              <w:rPr>
                <w:color w:val="000000"/>
              </w:rPr>
              <w:t> </w:t>
            </w:r>
          </w:p>
        </w:tc>
      </w:tr>
      <w:tr>
        <w:trPr/>
        <w:tc>
          <w:tcPr>
            <w:tcW w:w="4895" w:type="dxa"/>
            <w:tcBorders/>
            <w:shd w:fill="CCEEFF" w:val="clear"/>
            <w:vAlign w:val="center"/>
          </w:tcPr>
          <w:p>
            <w:pPr>
              <w:pStyle w:val="TableContents"/>
              <w:bidi w:val="0"/>
              <w:spacing w:before="0" w:after="0"/>
              <w:ind w:left="0" w:right="0" w:hanging="144"/>
              <w:jc w:val="left"/>
              <w:rPr/>
            </w:pPr>
            <w:r>
              <w:rPr>
                <w:color w:val="000000"/>
              </w:rPr>
              <w:t>Accrued incentives</w:t>
            </w:r>
            <w:r>
              <w:rPr/>
              <w:t xml:space="preserve"> </w:t>
            </w:r>
          </w:p>
        </w:tc>
        <w:tc>
          <w:tcPr>
            <w:tcW w:w="90" w:type="dxa"/>
            <w:tcBorders/>
            <w:shd w:fill="CCEEFF" w:val="clear"/>
            <w:vAlign w:val="center"/>
          </w:tcPr>
          <w:p>
            <w:pPr>
              <w:pStyle w:val="TableContents"/>
              <w:bidi w:val="0"/>
              <w:spacing w:before="0" w:after="283"/>
              <w:jc w:val="righ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 </w:t>
            </w:r>
          </w:p>
        </w:tc>
        <w:tc>
          <w:tcPr>
            <w:tcW w:w="965" w:type="dxa"/>
            <w:tcBorders/>
            <w:shd w:fill="CCEEFF" w:val="clear"/>
            <w:vAlign w:val="center"/>
          </w:tcPr>
          <w:p>
            <w:pPr>
              <w:pStyle w:val="TableContents"/>
              <w:bidi w:val="0"/>
              <w:spacing w:before="0" w:after="283"/>
              <w:jc w:val="right"/>
              <w:rPr>
                <w:color w:val="000000"/>
              </w:rPr>
            </w:pPr>
            <w:r>
              <w:rPr>
                <w:color w:val="000000"/>
              </w:rPr>
              <w:t>3,452</w:t>
            </w:r>
          </w:p>
        </w:tc>
        <w:tc>
          <w:tcPr>
            <w:tcW w:w="90" w:type="dxa"/>
            <w:tcBorders/>
            <w:shd w:fill="CCEEFF" w:val="clear"/>
            <w:vAlign w:val="center"/>
          </w:tcPr>
          <w:p>
            <w:pPr>
              <w:pStyle w:val="TableContents"/>
              <w:bidi w:val="0"/>
              <w:spacing w:before="0" w:after="283"/>
              <w:jc w:val="left"/>
              <w:rPr>
                <w:color w:val="000000"/>
              </w:rPr>
            </w:pPr>
            <w:r>
              <w:rPr>
                <w:color w:val="000000"/>
              </w:rPr>
              <w:t> </w:t>
            </w:r>
          </w:p>
        </w:tc>
        <w:tc>
          <w:tcPr>
            <w:tcW w:w="90" w:type="dxa"/>
            <w:tcBorders/>
            <w:shd w:fill="CCEEFF" w:val="clear"/>
            <w:vAlign w:val="center"/>
          </w:tcPr>
          <w:p>
            <w:pPr>
              <w:pStyle w:val="TableContents"/>
              <w:bidi w:val="0"/>
              <w:spacing w:before="0" w:after="283"/>
              <w:jc w:val="righ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 </w:t>
            </w:r>
          </w:p>
        </w:tc>
        <w:tc>
          <w:tcPr>
            <w:tcW w:w="1505" w:type="dxa"/>
            <w:tcBorders/>
            <w:shd w:fill="CCEEFF" w:val="clear"/>
            <w:vAlign w:val="center"/>
          </w:tcPr>
          <w:p>
            <w:pPr>
              <w:pStyle w:val="TableContents"/>
              <w:bidi w:val="0"/>
              <w:spacing w:before="0" w:after="283"/>
              <w:jc w:val="right"/>
              <w:rPr>
                <w:color w:val="000000"/>
              </w:rPr>
            </w:pPr>
            <w:r>
              <w:rPr>
                <w:color w:val="000000"/>
              </w:rPr>
              <w:t>6,005</w:t>
            </w:r>
          </w:p>
        </w:tc>
        <w:tc>
          <w:tcPr>
            <w:tcW w:w="135" w:type="dxa"/>
            <w:tcBorders/>
            <w:shd w:fill="CCEEFF" w:val="clear"/>
            <w:vAlign w:val="center"/>
          </w:tcPr>
          <w:p>
            <w:pPr>
              <w:pStyle w:val="TableContents"/>
              <w:bidi w:val="0"/>
              <w:spacing w:before="0" w:after="283"/>
              <w:jc w:val="left"/>
              <w:rPr>
                <w:color w:val="000000"/>
              </w:rPr>
            </w:pPr>
            <w:r>
              <w:rPr>
                <w:color w:val="000000"/>
              </w:rPr>
              <w:t> </w:t>
            </w:r>
          </w:p>
        </w:tc>
      </w:tr>
      <w:tr>
        <w:trPr/>
        <w:tc>
          <w:tcPr>
            <w:tcW w:w="4895" w:type="dxa"/>
            <w:tcBorders/>
            <w:vAlign w:val="center"/>
          </w:tcPr>
          <w:p>
            <w:pPr>
              <w:pStyle w:val="TableContents"/>
              <w:bidi w:val="0"/>
              <w:spacing w:before="0" w:after="0"/>
              <w:ind w:left="0" w:right="0" w:hanging="144"/>
              <w:jc w:val="left"/>
              <w:rPr/>
            </w:pPr>
            <w:r>
              <w:rPr>
                <w:color w:val="000000"/>
              </w:rPr>
              <w:t>Accrued interest</w:t>
            </w:r>
            <w:r>
              <w:rPr/>
              <w:t xml:space="preserve"> </w:t>
            </w:r>
          </w:p>
        </w:tc>
        <w:tc>
          <w:tcPr>
            <w:tcW w:w="90" w:type="dxa"/>
            <w:tcBorders/>
            <w:vAlign w:val="center"/>
          </w:tcPr>
          <w:p>
            <w:pPr>
              <w:pStyle w:val="TableContents"/>
              <w:bidi w:val="0"/>
              <w:spacing w:before="0" w:after="283"/>
              <w:jc w:val="right"/>
              <w:rPr>
                <w:color w:val="000000"/>
              </w:rPr>
            </w:pPr>
            <w:r>
              <w:rPr>
                <w:color w:val="000000"/>
              </w:rPr>
              <w:t> </w:t>
            </w:r>
          </w:p>
        </w:tc>
        <w:tc>
          <w:tcPr>
            <w:tcW w:w="170" w:type="dxa"/>
            <w:tcBorders/>
            <w:vAlign w:val="center"/>
          </w:tcPr>
          <w:p>
            <w:pPr>
              <w:pStyle w:val="TableContents"/>
              <w:bidi w:val="0"/>
              <w:spacing w:before="0" w:after="283"/>
              <w:jc w:val="left"/>
              <w:rPr>
                <w:color w:val="000000"/>
              </w:rPr>
            </w:pPr>
            <w:r>
              <w:rPr>
                <w:color w:val="000000"/>
              </w:rPr>
              <w:t> </w:t>
            </w:r>
          </w:p>
        </w:tc>
        <w:tc>
          <w:tcPr>
            <w:tcW w:w="965" w:type="dxa"/>
            <w:tcBorders/>
            <w:vAlign w:val="center"/>
          </w:tcPr>
          <w:p>
            <w:pPr>
              <w:pStyle w:val="TableContents"/>
              <w:bidi w:val="0"/>
              <w:spacing w:before="0" w:after="283"/>
              <w:jc w:val="right"/>
              <w:rPr>
                <w:color w:val="000000"/>
              </w:rPr>
            </w:pPr>
            <w:r>
              <w:rPr>
                <w:color w:val="000000"/>
              </w:rPr>
              <w:t>122</w:t>
            </w:r>
          </w:p>
        </w:tc>
        <w:tc>
          <w:tcPr>
            <w:tcW w:w="90"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right"/>
              <w:rPr>
                <w:color w:val="000000"/>
              </w:rPr>
            </w:pPr>
            <w:r>
              <w:rPr>
                <w:color w:val="000000"/>
              </w:rPr>
              <w:t> </w:t>
            </w:r>
          </w:p>
        </w:tc>
        <w:tc>
          <w:tcPr>
            <w:tcW w:w="170" w:type="dxa"/>
            <w:tcBorders/>
            <w:vAlign w:val="center"/>
          </w:tcPr>
          <w:p>
            <w:pPr>
              <w:pStyle w:val="TableContents"/>
              <w:bidi w:val="0"/>
              <w:spacing w:before="0" w:after="283"/>
              <w:jc w:val="left"/>
              <w:rPr>
                <w:color w:val="000000"/>
              </w:rPr>
            </w:pPr>
            <w:r>
              <w:rPr>
                <w:color w:val="000000"/>
              </w:rPr>
              <w:t> </w:t>
            </w:r>
          </w:p>
        </w:tc>
        <w:tc>
          <w:tcPr>
            <w:tcW w:w="1505" w:type="dxa"/>
            <w:tcBorders/>
            <w:vAlign w:val="center"/>
          </w:tcPr>
          <w:p>
            <w:pPr>
              <w:pStyle w:val="TableContents"/>
              <w:bidi w:val="0"/>
              <w:spacing w:before="0" w:after="283"/>
              <w:jc w:val="right"/>
              <w:rPr>
                <w:color w:val="000000"/>
              </w:rPr>
            </w:pPr>
            <w:r>
              <w:rPr>
                <w:color w:val="000000"/>
              </w:rPr>
              <w:t>172</w:t>
            </w:r>
          </w:p>
        </w:tc>
        <w:tc>
          <w:tcPr>
            <w:tcW w:w="135" w:type="dxa"/>
            <w:tcBorders/>
            <w:vAlign w:val="center"/>
          </w:tcPr>
          <w:p>
            <w:pPr>
              <w:pStyle w:val="TableContents"/>
              <w:bidi w:val="0"/>
              <w:spacing w:before="0" w:after="283"/>
              <w:jc w:val="left"/>
              <w:rPr>
                <w:color w:val="000000"/>
              </w:rPr>
            </w:pPr>
            <w:r>
              <w:rPr>
                <w:color w:val="000000"/>
              </w:rPr>
              <w:t> </w:t>
            </w:r>
          </w:p>
        </w:tc>
      </w:tr>
      <w:tr>
        <w:trPr/>
        <w:tc>
          <w:tcPr>
            <w:tcW w:w="4895" w:type="dxa"/>
            <w:tcBorders/>
            <w:shd w:fill="CCEEFF" w:val="clear"/>
            <w:vAlign w:val="center"/>
          </w:tcPr>
          <w:p>
            <w:pPr>
              <w:pStyle w:val="TableContents"/>
              <w:bidi w:val="0"/>
              <w:spacing w:before="0" w:after="0"/>
              <w:ind w:left="0" w:right="0" w:hanging="144"/>
              <w:jc w:val="left"/>
              <w:rPr/>
            </w:pPr>
            <w:r>
              <w:rPr>
                <w:color w:val="000000"/>
              </w:rPr>
              <w:t>Accrued testing</w:t>
            </w:r>
            <w:r>
              <w:rPr/>
              <w:t xml:space="preserve"> </w:t>
            </w:r>
          </w:p>
        </w:tc>
        <w:tc>
          <w:tcPr>
            <w:tcW w:w="90" w:type="dxa"/>
            <w:tcBorders/>
            <w:shd w:fill="CCEEFF" w:val="clear"/>
            <w:vAlign w:val="center"/>
          </w:tcPr>
          <w:p>
            <w:pPr>
              <w:pStyle w:val="TableContents"/>
              <w:bidi w:val="0"/>
              <w:spacing w:before="0" w:after="283"/>
              <w:jc w:val="righ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 </w:t>
            </w:r>
          </w:p>
        </w:tc>
        <w:tc>
          <w:tcPr>
            <w:tcW w:w="965" w:type="dxa"/>
            <w:tcBorders/>
            <w:shd w:fill="CCEEFF" w:val="clear"/>
            <w:vAlign w:val="center"/>
          </w:tcPr>
          <w:p>
            <w:pPr>
              <w:pStyle w:val="TableContents"/>
              <w:bidi w:val="0"/>
              <w:spacing w:before="0" w:after="283"/>
              <w:jc w:val="right"/>
              <w:rPr>
                <w:color w:val="000000"/>
              </w:rPr>
            </w:pPr>
            <w:r>
              <w:rPr>
                <w:color w:val="000000"/>
              </w:rPr>
              <w:t>285</w:t>
            </w:r>
          </w:p>
        </w:tc>
        <w:tc>
          <w:tcPr>
            <w:tcW w:w="90" w:type="dxa"/>
            <w:tcBorders/>
            <w:shd w:fill="CCEEFF" w:val="clear"/>
            <w:vAlign w:val="center"/>
          </w:tcPr>
          <w:p>
            <w:pPr>
              <w:pStyle w:val="TableContents"/>
              <w:bidi w:val="0"/>
              <w:spacing w:before="0" w:after="283"/>
              <w:jc w:val="left"/>
              <w:rPr>
                <w:color w:val="000000"/>
              </w:rPr>
            </w:pPr>
            <w:r>
              <w:rPr>
                <w:color w:val="000000"/>
              </w:rPr>
              <w:t> </w:t>
            </w:r>
          </w:p>
        </w:tc>
        <w:tc>
          <w:tcPr>
            <w:tcW w:w="90" w:type="dxa"/>
            <w:tcBorders/>
            <w:shd w:fill="CCEEFF" w:val="clear"/>
            <w:vAlign w:val="center"/>
          </w:tcPr>
          <w:p>
            <w:pPr>
              <w:pStyle w:val="TableContents"/>
              <w:bidi w:val="0"/>
              <w:spacing w:before="0" w:after="283"/>
              <w:jc w:val="righ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 </w:t>
            </w:r>
          </w:p>
        </w:tc>
        <w:tc>
          <w:tcPr>
            <w:tcW w:w="1505" w:type="dxa"/>
            <w:tcBorders/>
            <w:shd w:fill="CCEEFF" w:val="clear"/>
            <w:vAlign w:val="center"/>
          </w:tcPr>
          <w:p>
            <w:pPr>
              <w:pStyle w:val="TableContents"/>
              <w:bidi w:val="0"/>
              <w:spacing w:before="0" w:after="283"/>
              <w:jc w:val="right"/>
              <w:rPr>
                <w:color w:val="000000"/>
              </w:rPr>
            </w:pPr>
            <w:r>
              <w:rPr>
                <w:color w:val="000000"/>
              </w:rPr>
              <w:t>130</w:t>
            </w:r>
          </w:p>
        </w:tc>
        <w:tc>
          <w:tcPr>
            <w:tcW w:w="135" w:type="dxa"/>
            <w:tcBorders/>
            <w:shd w:fill="CCEEFF" w:val="clear"/>
            <w:vAlign w:val="center"/>
          </w:tcPr>
          <w:p>
            <w:pPr>
              <w:pStyle w:val="TableContents"/>
              <w:bidi w:val="0"/>
              <w:spacing w:before="0" w:after="283"/>
              <w:jc w:val="left"/>
              <w:rPr>
                <w:color w:val="000000"/>
              </w:rPr>
            </w:pPr>
            <w:r>
              <w:rPr>
                <w:color w:val="000000"/>
              </w:rPr>
              <w:t> </w:t>
            </w:r>
          </w:p>
        </w:tc>
      </w:tr>
      <w:tr>
        <w:trPr/>
        <w:tc>
          <w:tcPr>
            <w:tcW w:w="4895" w:type="dxa"/>
            <w:tcBorders/>
            <w:vAlign w:val="center"/>
          </w:tcPr>
          <w:p>
            <w:pPr>
              <w:pStyle w:val="TableContents"/>
              <w:bidi w:val="0"/>
              <w:spacing w:before="0" w:after="0"/>
              <w:ind w:left="0" w:right="0" w:hanging="144"/>
              <w:jc w:val="left"/>
              <w:rPr/>
            </w:pPr>
            <w:r>
              <w:rPr>
                <w:color w:val="000000"/>
              </w:rPr>
              <w:t>Accrued payroll and other compensation</w:t>
            </w:r>
            <w:r>
              <w:rPr/>
              <w:t xml:space="preserve"> </w:t>
            </w:r>
          </w:p>
        </w:tc>
        <w:tc>
          <w:tcPr>
            <w:tcW w:w="90" w:type="dxa"/>
            <w:tcBorders/>
            <w:vAlign w:val="center"/>
          </w:tcPr>
          <w:p>
            <w:pPr>
              <w:pStyle w:val="TableContents"/>
              <w:bidi w:val="0"/>
              <w:spacing w:before="0" w:after="283"/>
              <w:jc w:val="right"/>
              <w:rPr>
                <w:color w:val="000000"/>
              </w:rPr>
            </w:pPr>
            <w:r>
              <w:rPr>
                <w:color w:val="000000"/>
              </w:rPr>
              <w:t> </w:t>
            </w:r>
          </w:p>
        </w:tc>
        <w:tc>
          <w:tcPr>
            <w:tcW w:w="170" w:type="dxa"/>
            <w:tcBorders/>
            <w:vAlign w:val="center"/>
          </w:tcPr>
          <w:p>
            <w:pPr>
              <w:pStyle w:val="TableContents"/>
              <w:bidi w:val="0"/>
              <w:spacing w:before="0" w:after="283"/>
              <w:jc w:val="left"/>
              <w:rPr>
                <w:color w:val="000000"/>
              </w:rPr>
            </w:pPr>
            <w:r>
              <w:rPr>
                <w:color w:val="000000"/>
              </w:rPr>
              <w:t> </w:t>
            </w:r>
          </w:p>
        </w:tc>
        <w:tc>
          <w:tcPr>
            <w:tcW w:w="965" w:type="dxa"/>
            <w:tcBorders/>
            <w:vAlign w:val="center"/>
          </w:tcPr>
          <w:p>
            <w:pPr>
              <w:pStyle w:val="TableContents"/>
              <w:bidi w:val="0"/>
              <w:spacing w:before="0" w:after="283"/>
              <w:jc w:val="right"/>
              <w:rPr>
                <w:color w:val="000000"/>
              </w:rPr>
            </w:pPr>
            <w:r>
              <w:rPr>
                <w:color w:val="000000"/>
              </w:rPr>
              <w:t>3,450</w:t>
            </w:r>
          </w:p>
        </w:tc>
        <w:tc>
          <w:tcPr>
            <w:tcW w:w="90"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right"/>
              <w:rPr>
                <w:color w:val="000000"/>
              </w:rPr>
            </w:pPr>
            <w:r>
              <w:rPr>
                <w:color w:val="000000"/>
              </w:rPr>
              <w:t> </w:t>
            </w:r>
          </w:p>
        </w:tc>
        <w:tc>
          <w:tcPr>
            <w:tcW w:w="170" w:type="dxa"/>
            <w:tcBorders/>
            <w:vAlign w:val="center"/>
          </w:tcPr>
          <w:p>
            <w:pPr>
              <w:pStyle w:val="TableContents"/>
              <w:bidi w:val="0"/>
              <w:spacing w:before="0" w:after="283"/>
              <w:jc w:val="left"/>
              <w:rPr>
                <w:color w:val="000000"/>
              </w:rPr>
            </w:pPr>
            <w:r>
              <w:rPr>
                <w:color w:val="000000"/>
              </w:rPr>
              <w:t> </w:t>
            </w:r>
          </w:p>
        </w:tc>
        <w:tc>
          <w:tcPr>
            <w:tcW w:w="1505" w:type="dxa"/>
            <w:tcBorders/>
            <w:vAlign w:val="center"/>
          </w:tcPr>
          <w:p>
            <w:pPr>
              <w:pStyle w:val="TableContents"/>
              <w:bidi w:val="0"/>
              <w:spacing w:before="0" w:after="283"/>
              <w:jc w:val="right"/>
              <w:rPr>
                <w:color w:val="000000"/>
              </w:rPr>
            </w:pPr>
            <w:r>
              <w:rPr>
                <w:color w:val="000000"/>
              </w:rPr>
              <w:t>809</w:t>
            </w:r>
          </w:p>
        </w:tc>
        <w:tc>
          <w:tcPr>
            <w:tcW w:w="135" w:type="dxa"/>
            <w:tcBorders/>
            <w:vAlign w:val="center"/>
          </w:tcPr>
          <w:p>
            <w:pPr>
              <w:pStyle w:val="TableContents"/>
              <w:bidi w:val="0"/>
              <w:spacing w:before="0" w:after="283"/>
              <w:jc w:val="left"/>
              <w:rPr>
                <w:color w:val="000000"/>
              </w:rPr>
            </w:pPr>
            <w:r>
              <w:rPr>
                <w:color w:val="000000"/>
              </w:rPr>
              <w:t> </w:t>
            </w:r>
          </w:p>
        </w:tc>
      </w:tr>
      <w:tr>
        <w:trPr/>
        <w:tc>
          <w:tcPr>
            <w:tcW w:w="4895" w:type="dxa"/>
            <w:tcBorders/>
            <w:shd w:fill="CCEEFF" w:val="clear"/>
            <w:vAlign w:val="center"/>
          </w:tcPr>
          <w:p>
            <w:pPr>
              <w:pStyle w:val="TableContents"/>
              <w:bidi w:val="0"/>
              <w:spacing w:before="0" w:after="0"/>
              <w:ind w:left="0" w:right="0" w:hanging="144"/>
              <w:jc w:val="left"/>
              <w:rPr/>
            </w:pPr>
            <w:r>
              <w:rPr>
                <w:color w:val="000000"/>
              </w:rPr>
              <w:t>Accrued income taxes</w:t>
            </w:r>
            <w:r>
              <w:rPr/>
              <w:t xml:space="preserve"> </w:t>
            </w:r>
          </w:p>
        </w:tc>
        <w:tc>
          <w:tcPr>
            <w:tcW w:w="90" w:type="dxa"/>
            <w:tcBorders/>
            <w:shd w:fill="CCEEFF" w:val="clear"/>
            <w:vAlign w:val="center"/>
          </w:tcPr>
          <w:p>
            <w:pPr>
              <w:pStyle w:val="TableContents"/>
              <w:bidi w:val="0"/>
              <w:spacing w:before="0" w:after="283"/>
              <w:jc w:val="righ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 </w:t>
            </w:r>
          </w:p>
        </w:tc>
        <w:tc>
          <w:tcPr>
            <w:tcW w:w="965" w:type="dxa"/>
            <w:tcBorders/>
            <w:shd w:fill="CCEEFF" w:val="clear"/>
            <w:vAlign w:val="center"/>
          </w:tcPr>
          <w:p>
            <w:pPr>
              <w:pStyle w:val="TableContents"/>
              <w:bidi w:val="0"/>
              <w:spacing w:before="0" w:after="283"/>
              <w:jc w:val="right"/>
              <w:rPr>
                <w:color w:val="000000"/>
              </w:rPr>
            </w:pPr>
            <w:r>
              <w:rPr>
                <w:color w:val="000000"/>
              </w:rPr>
              <w:t>6,216</w:t>
            </w:r>
          </w:p>
        </w:tc>
        <w:tc>
          <w:tcPr>
            <w:tcW w:w="90" w:type="dxa"/>
            <w:tcBorders/>
            <w:shd w:fill="CCEEFF" w:val="clear"/>
            <w:vAlign w:val="center"/>
          </w:tcPr>
          <w:p>
            <w:pPr>
              <w:pStyle w:val="TableContents"/>
              <w:bidi w:val="0"/>
              <w:spacing w:before="0" w:after="283"/>
              <w:jc w:val="left"/>
              <w:rPr>
                <w:color w:val="000000"/>
              </w:rPr>
            </w:pPr>
            <w:r>
              <w:rPr>
                <w:color w:val="000000"/>
              </w:rPr>
              <w:t> </w:t>
            </w:r>
          </w:p>
        </w:tc>
        <w:tc>
          <w:tcPr>
            <w:tcW w:w="90" w:type="dxa"/>
            <w:tcBorders/>
            <w:shd w:fill="CCEEFF" w:val="clear"/>
            <w:vAlign w:val="center"/>
          </w:tcPr>
          <w:p>
            <w:pPr>
              <w:pStyle w:val="TableContents"/>
              <w:bidi w:val="0"/>
              <w:spacing w:before="0" w:after="283"/>
              <w:jc w:val="righ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 </w:t>
            </w:r>
          </w:p>
        </w:tc>
        <w:tc>
          <w:tcPr>
            <w:tcW w:w="1505" w:type="dxa"/>
            <w:tcBorders/>
            <w:shd w:fill="CCEEFF" w:val="clear"/>
            <w:vAlign w:val="center"/>
          </w:tcPr>
          <w:p>
            <w:pPr>
              <w:pStyle w:val="TableContents"/>
              <w:bidi w:val="0"/>
              <w:spacing w:before="0" w:after="283"/>
              <w:jc w:val="right"/>
              <w:rPr>
                <w:color w:val="000000"/>
              </w:rPr>
            </w:pPr>
            <w:r>
              <w:rPr>
                <w:color w:val="000000"/>
              </w:rPr>
              <w:t>8,616</w:t>
            </w:r>
          </w:p>
        </w:tc>
        <w:tc>
          <w:tcPr>
            <w:tcW w:w="135" w:type="dxa"/>
            <w:tcBorders/>
            <w:shd w:fill="CCEEFF" w:val="clear"/>
            <w:vAlign w:val="center"/>
          </w:tcPr>
          <w:p>
            <w:pPr>
              <w:pStyle w:val="TableContents"/>
              <w:bidi w:val="0"/>
              <w:spacing w:before="0" w:after="283"/>
              <w:jc w:val="left"/>
              <w:rPr>
                <w:color w:val="000000"/>
              </w:rPr>
            </w:pPr>
            <w:r>
              <w:rPr>
                <w:color w:val="000000"/>
              </w:rPr>
              <w:t> </w:t>
            </w:r>
          </w:p>
        </w:tc>
      </w:tr>
      <w:tr>
        <w:trPr/>
        <w:tc>
          <w:tcPr>
            <w:tcW w:w="4895" w:type="dxa"/>
            <w:tcBorders/>
            <w:vAlign w:val="center"/>
          </w:tcPr>
          <w:p>
            <w:pPr>
              <w:pStyle w:val="TableContents"/>
              <w:bidi w:val="0"/>
              <w:spacing w:before="0" w:after="0"/>
              <w:ind w:left="0" w:right="0" w:hanging="144"/>
              <w:jc w:val="left"/>
              <w:rPr/>
            </w:pPr>
            <w:r>
              <w:rPr>
                <w:color w:val="000000"/>
              </w:rPr>
              <w:t>Other</w:t>
            </w:r>
            <w:r>
              <w:rPr/>
              <w:t xml:space="preserve"> </w:t>
            </w:r>
          </w:p>
        </w:tc>
        <w:tc>
          <w:tcPr>
            <w:tcW w:w="90" w:type="dxa"/>
            <w:tcBorders/>
            <w:vAlign w:val="center"/>
          </w:tcPr>
          <w:p>
            <w:pPr>
              <w:pStyle w:val="TableContents"/>
              <w:bidi w:val="0"/>
              <w:spacing w:before="0" w:after="283"/>
              <w:jc w:val="right"/>
              <w:rPr>
                <w:color w:val="000000"/>
              </w:rPr>
            </w:pPr>
            <w:r>
              <w:rPr>
                <w:color w:val="000000"/>
              </w:rPr>
              <w:t> </w:t>
            </w:r>
          </w:p>
        </w:tc>
        <w:tc>
          <w:tcPr>
            <w:tcW w:w="170" w:type="dxa"/>
            <w:tcBorders>
              <w:bottom w:val="single" w:sz="6" w:space="0" w:color="000000"/>
            </w:tcBorders>
            <w:tcMar>
              <w:bottom w:w="28" w:type="dxa"/>
            </w:tcMar>
            <w:vAlign w:val="center"/>
          </w:tcPr>
          <w:p>
            <w:pPr>
              <w:pStyle w:val="TableContents"/>
              <w:bidi w:val="0"/>
              <w:spacing w:before="0" w:after="283"/>
              <w:jc w:val="left"/>
              <w:rPr>
                <w:color w:val="000000"/>
              </w:rPr>
            </w:pPr>
            <w:r>
              <w:rPr>
                <w:color w:val="000000"/>
              </w:rPr>
              <w:t> </w:t>
            </w:r>
          </w:p>
        </w:tc>
        <w:tc>
          <w:tcPr>
            <w:tcW w:w="965" w:type="dxa"/>
            <w:tcBorders>
              <w:bottom w:val="single" w:sz="6" w:space="0" w:color="000000"/>
            </w:tcBorders>
            <w:tcMar>
              <w:bottom w:w="28" w:type="dxa"/>
            </w:tcMar>
            <w:vAlign w:val="center"/>
          </w:tcPr>
          <w:p>
            <w:pPr>
              <w:pStyle w:val="TableContents"/>
              <w:bidi w:val="0"/>
              <w:spacing w:before="0" w:after="283"/>
              <w:jc w:val="right"/>
              <w:rPr>
                <w:color w:val="000000"/>
              </w:rPr>
            </w:pPr>
            <w:r>
              <w:rPr>
                <w:color w:val="000000"/>
              </w:rPr>
              <w:t>4,776</w:t>
            </w:r>
          </w:p>
        </w:tc>
        <w:tc>
          <w:tcPr>
            <w:tcW w:w="90"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right"/>
              <w:rPr>
                <w:color w:val="000000"/>
              </w:rPr>
            </w:pPr>
            <w:r>
              <w:rPr>
                <w:color w:val="000000"/>
              </w:rPr>
              <w:t> </w:t>
            </w:r>
          </w:p>
        </w:tc>
        <w:tc>
          <w:tcPr>
            <w:tcW w:w="170" w:type="dxa"/>
            <w:tcBorders>
              <w:bottom w:val="single" w:sz="6" w:space="0" w:color="000000"/>
            </w:tcBorders>
            <w:tcMar>
              <w:bottom w:w="28" w:type="dxa"/>
            </w:tcMar>
            <w:vAlign w:val="center"/>
          </w:tcPr>
          <w:p>
            <w:pPr>
              <w:pStyle w:val="TableContents"/>
              <w:bidi w:val="0"/>
              <w:spacing w:before="0" w:after="283"/>
              <w:jc w:val="left"/>
              <w:rPr>
                <w:color w:val="000000"/>
              </w:rPr>
            </w:pPr>
            <w:r>
              <w:rPr>
                <w:color w:val="000000"/>
              </w:rPr>
              <w:t> </w:t>
            </w:r>
          </w:p>
        </w:tc>
        <w:tc>
          <w:tcPr>
            <w:tcW w:w="1505" w:type="dxa"/>
            <w:tcBorders>
              <w:bottom w:val="single" w:sz="6" w:space="0" w:color="000000"/>
            </w:tcBorders>
            <w:tcMar>
              <w:bottom w:w="28" w:type="dxa"/>
            </w:tcMar>
            <w:vAlign w:val="center"/>
          </w:tcPr>
          <w:p>
            <w:pPr>
              <w:pStyle w:val="TableContents"/>
              <w:bidi w:val="0"/>
              <w:spacing w:before="0" w:after="283"/>
              <w:jc w:val="right"/>
              <w:rPr>
                <w:color w:val="000000"/>
              </w:rPr>
            </w:pPr>
            <w:r>
              <w:rPr>
                <w:color w:val="000000"/>
              </w:rPr>
              <w:t>4,168</w:t>
            </w:r>
          </w:p>
        </w:tc>
        <w:tc>
          <w:tcPr>
            <w:tcW w:w="135" w:type="dxa"/>
            <w:tcBorders/>
            <w:vAlign w:val="center"/>
          </w:tcPr>
          <w:p>
            <w:pPr>
              <w:pStyle w:val="TableContents"/>
              <w:bidi w:val="0"/>
              <w:spacing w:before="0" w:after="283"/>
              <w:jc w:val="left"/>
              <w:rPr>
                <w:color w:val="000000"/>
              </w:rPr>
            </w:pPr>
            <w:r>
              <w:rPr>
                <w:color w:val="000000"/>
              </w:rPr>
              <w:t> </w:t>
            </w:r>
          </w:p>
        </w:tc>
      </w:tr>
      <w:tr>
        <w:trPr/>
        <w:tc>
          <w:tcPr>
            <w:tcW w:w="4895" w:type="dxa"/>
            <w:tcBorders/>
            <w:shd w:fill="CCEEFF" w:val="clear"/>
            <w:vAlign w:val="center"/>
          </w:tcPr>
          <w:p>
            <w:pPr>
              <w:pStyle w:val="TableContents"/>
              <w:bidi w:val="0"/>
              <w:spacing w:before="0" w:after="0"/>
              <w:ind w:left="0" w:right="0" w:hanging="144"/>
              <w:jc w:val="left"/>
              <w:rPr/>
            </w:pPr>
            <w:r>
              <w:rPr>
                <w:color w:val="000000"/>
              </w:rPr>
              <w:t>Total accrued expenses and other current liabilities</w:t>
            </w:r>
            <w:r>
              <w:rPr/>
              <w:t xml:space="preserve"> </w:t>
            </w:r>
          </w:p>
        </w:tc>
        <w:tc>
          <w:tcPr>
            <w:tcW w:w="90" w:type="dxa"/>
            <w:tcBorders/>
            <w:shd w:fill="CCEEFF" w:val="clear"/>
            <w:vAlign w:val="center"/>
          </w:tcPr>
          <w:p>
            <w:pPr>
              <w:pStyle w:val="TableContents"/>
              <w:bidi w:val="0"/>
              <w:spacing w:before="0" w:after="283"/>
              <w:jc w:val="right"/>
              <w:rPr>
                <w:color w:val="000000"/>
              </w:rPr>
            </w:pPr>
            <w:r>
              <w:rPr>
                <w:color w:val="000000"/>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965" w:type="dxa"/>
            <w:tcBorders>
              <w:bottom w:val="sing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39,105</w:t>
            </w:r>
          </w:p>
        </w:tc>
        <w:tc>
          <w:tcPr>
            <w:tcW w:w="90" w:type="dxa"/>
            <w:tcBorders/>
            <w:shd w:fill="CCEEFF" w:val="clear"/>
            <w:vAlign w:val="center"/>
          </w:tcPr>
          <w:p>
            <w:pPr>
              <w:pStyle w:val="TableContents"/>
              <w:bidi w:val="0"/>
              <w:spacing w:before="0" w:after="283"/>
              <w:jc w:val="left"/>
              <w:rPr>
                <w:color w:val="000000"/>
              </w:rPr>
            </w:pPr>
            <w:r>
              <w:rPr>
                <w:color w:val="000000"/>
              </w:rPr>
              <w:t> </w:t>
            </w:r>
          </w:p>
        </w:tc>
        <w:tc>
          <w:tcPr>
            <w:tcW w:w="90" w:type="dxa"/>
            <w:tcBorders/>
            <w:shd w:fill="CCEEFF" w:val="clear"/>
            <w:vAlign w:val="center"/>
          </w:tcPr>
          <w:p>
            <w:pPr>
              <w:pStyle w:val="TableContents"/>
              <w:bidi w:val="0"/>
              <w:spacing w:before="0" w:after="283"/>
              <w:jc w:val="right"/>
              <w:rPr>
                <w:color w:val="000000"/>
              </w:rPr>
            </w:pPr>
            <w:r>
              <w:rPr>
                <w:color w:val="000000"/>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505" w:type="dxa"/>
            <w:tcBorders>
              <w:bottom w:val="sing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40,466</w:t>
            </w:r>
          </w:p>
        </w:tc>
        <w:tc>
          <w:tcPr>
            <w:tcW w:w="135"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jc w:val="center"/>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ADMA BIOLOGICS,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CONDENSED CONSOLIDATED FINANCIAL STATEMENTS (UNAUDITED)</w:t>
      </w:r>
      <w:r>
        <w:rPr>
          <w:rFonts w:ascii="Times New Roman" w:hAnsi="Times New Roman"/>
          <w:sz w:val="20"/>
        </w:rPr>
        <w:t xml:space="preserve"> </w:t>
      </w:r>
    </w:p>
    <w:p>
      <w:pPr>
        <w:pStyle w:val="TextBody"/>
        <w:bidi w:val="0"/>
        <w:spacing w:before="0" w:after="0"/>
        <w:ind w:left="540" w:right="0" w:hanging="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DEBT</w:t>
      </w:r>
      <w:r>
        <w:rPr>
          <w:rFonts w:ascii="Times New Roman" w:hAnsi="Times New Roman"/>
          <w:sz w:val="20"/>
        </w:rPr>
        <w:t xml:space="preserve"> </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342900" cy="175260"/>
                <wp:effectExtent l="0" t="0" r="0" b="0"/>
                <wp:wrapSquare wrapText="right"/>
                <wp:docPr id="46" name="Frame46"/>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sz w:val="20"/>
                              </w:rPr>
                              <w:t>7.</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7.</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A summary of outstanding senior notes payable is as follows: </w:t>
      </w:r>
    </w:p>
    <w:p>
      <w:pPr>
        <w:pStyle w:val="TextBody"/>
        <w:bidi w:val="0"/>
        <w:spacing w:before="0" w:after="0"/>
        <w:jc w:val="left"/>
        <w:rPr/>
      </w:pPr>
      <w:r>
        <w:rPr/>
        <w:t xml:space="preserve">  </w:t>
      </w:r>
    </w:p>
    <w:tbl>
      <w:tblPr>
        <w:tblW w:w="7190" w:type="dxa"/>
        <w:jc w:val="left"/>
        <w:tblInd w:w="0" w:type="dxa"/>
        <w:tblLayout w:type="fixed"/>
        <w:tblCellMar>
          <w:top w:w="0" w:type="dxa"/>
          <w:left w:w="0" w:type="dxa"/>
          <w:bottom w:w="0" w:type="dxa"/>
          <w:right w:w="0" w:type="dxa"/>
        </w:tblCellMar>
      </w:tblPr>
      <w:tblGrid>
        <w:gridCol w:w="3785"/>
        <w:gridCol w:w="90"/>
        <w:gridCol w:w="170"/>
        <w:gridCol w:w="965"/>
        <w:gridCol w:w="185"/>
        <w:gridCol w:w="90"/>
        <w:gridCol w:w="170"/>
        <w:gridCol w:w="1505"/>
        <w:gridCol w:w="230"/>
      </w:tblGrid>
      <w:tr>
        <w:trPr/>
        <w:tc>
          <w:tcPr>
            <w:tcW w:w="3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65" w:type="dxa"/>
            <w:tcBorders>
              <w:bottom w:val="single" w:sz="6" w:space="0" w:color="000000"/>
            </w:tcBorders>
            <w:tcMar>
              <w:bottom w:w="28" w:type="dxa"/>
            </w:tcMar>
            <w:vAlign w:val="center"/>
          </w:tcPr>
          <w:p>
            <w:pPr>
              <w:pStyle w:val="TableContents"/>
              <w:bidi w:val="0"/>
              <w:spacing w:before="0" w:after="283"/>
              <w:jc w:val="center"/>
              <w:rPr/>
            </w:pPr>
            <w:r>
              <w:rPr>
                <w:b/>
                <w:color w:val="000000"/>
              </w:rPr>
              <w:t xml:space="preserve">June 30, </w:t>
              <w:br/>
              <w:t>2026</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505" w:type="dxa"/>
            <w:tcBorders>
              <w:bottom w:val="single" w:sz="6" w:space="0" w:color="000000"/>
            </w:tcBorders>
            <w:tcMar>
              <w:bottom w:w="28" w:type="dxa"/>
            </w:tcMar>
            <w:vAlign w:val="center"/>
          </w:tcPr>
          <w:p>
            <w:pPr>
              <w:pStyle w:val="TableContents"/>
              <w:bidi w:val="0"/>
              <w:spacing w:before="0" w:after="283"/>
              <w:jc w:val="center"/>
              <w:rPr/>
            </w:pPr>
            <w:r>
              <w:rPr>
                <w:b/>
                <w:color w:val="000000"/>
              </w:rPr>
              <w:t xml:space="preserve">December 31, </w:t>
              <w:br/>
              <w:t>2025</w:t>
            </w:r>
            <w:r>
              <w:rPr/>
              <w:t xml:space="preserve"> </w:t>
            </w:r>
          </w:p>
        </w:tc>
        <w:tc>
          <w:tcPr>
            <w:tcW w:w="230" w:type="dxa"/>
            <w:tcBorders/>
            <w:vAlign w:val="center"/>
          </w:tcPr>
          <w:p>
            <w:pPr>
              <w:pStyle w:val="TableContents"/>
              <w:bidi w:val="0"/>
              <w:spacing w:before="0" w:after="283"/>
              <w:jc w:val="center"/>
              <w:rPr/>
            </w:pPr>
            <w:r>
              <w:rPr/>
              <w:t> </w:t>
            </w:r>
          </w:p>
        </w:tc>
      </w:tr>
      <w:tr>
        <w:trPr/>
        <w:tc>
          <w:tcPr>
            <w:tcW w:w="3785" w:type="dxa"/>
            <w:tcBorders/>
            <w:vAlign w:val="center"/>
          </w:tcPr>
          <w:p>
            <w:pPr>
              <w:pStyle w:val="TableContents"/>
              <w:bidi w:val="0"/>
              <w:spacing w:before="0" w:after="0"/>
              <w:ind w:left="0" w:right="0" w:hanging="144"/>
              <w:jc w:val="left"/>
              <w:rPr/>
            </w:pPr>
            <w:r>
              <w:rPr>
                <w:i/>
              </w:rPr>
              <w:t>(In thousands)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ind w:left="0" w:right="0" w:hanging="144"/>
              <w:jc w:val="left"/>
              <w:rPr/>
            </w:pPr>
            <w:r>
              <w:rPr>
                <w:color w:val="000000"/>
              </w:rPr>
              <w:t>JPM revolving credit facility</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color w:val="000000"/>
              </w:rPr>
            </w:pPr>
            <w:r>
              <w:rPr>
                <w:color w:val="000000"/>
              </w:rPr>
              <w:t>$</w:t>
            </w:r>
          </w:p>
        </w:tc>
        <w:tc>
          <w:tcPr>
            <w:tcW w:w="965" w:type="dxa"/>
            <w:tcBorders/>
            <w:shd w:fill="CCEEFF" w:val="clear"/>
            <w:vAlign w:val="center"/>
          </w:tcPr>
          <w:p>
            <w:pPr>
              <w:pStyle w:val="TableContents"/>
              <w:bidi w:val="0"/>
              <w:spacing w:before="0" w:after="283"/>
              <w:jc w:val="right"/>
              <w:rPr>
                <w:color w:val="000000"/>
              </w:rPr>
            </w:pPr>
            <w:r>
              <w:rPr>
                <w:color w:val="000000"/>
              </w:rPr>
              <w:t>125,000</w:t>
            </w:r>
          </w:p>
        </w:tc>
        <w:tc>
          <w:tcPr>
            <w:tcW w:w="185" w:type="dxa"/>
            <w:tcBorders/>
            <w:shd w:fill="CCEEFF" w:val="clear"/>
            <w:vAlign w:val="center"/>
          </w:tcPr>
          <w:p>
            <w:pPr>
              <w:pStyle w:val="TableContents"/>
              <w:bidi w:val="0"/>
              <w:spacing w:before="0" w:after="283"/>
              <w:jc w:val="left"/>
              <w:rPr>
                <w:color w:val="000000"/>
              </w:rPr>
            </w:pPr>
            <w:r>
              <w:rPr>
                <w:color w:val="000000"/>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color w:val="000000"/>
              </w:rPr>
            </w:pPr>
            <w:r>
              <w:rPr>
                <w:color w:val="000000"/>
              </w:rPr>
              <w:t>$</w:t>
            </w:r>
          </w:p>
        </w:tc>
        <w:tc>
          <w:tcPr>
            <w:tcW w:w="1505" w:type="dxa"/>
            <w:tcBorders/>
            <w:shd w:fill="CCEEFF" w:val="clear"/>
            <w:vAlign w:val="center"/>
          </w:tcPr>
          <w:p>
            <w:pPr>
              <w:pStyle w:val="TableContents"/>
              <w:bidi w:val="0"/>
              <w:spacing w:before="0" w:after="283"/>
              <w:jc w:val="right"/>
              <w:rPr>
                <w:color w:val="000000"/>
              </w:rPr>
            </w:pPr>
            <w:r>
              <w:rPr>
                <w:color w:val="000000"/>
              </w:rPr>
              <w:t xml:space="preserve">            </w:t>
            </w:r>
            <w:r>
              <w:rPr>
                <w:color w:val="000000"/>
              </w:rPr>
              <w:t xml:space="preserve">- </w:t>
            </w:r>
          </w:p>
        </w:tc>
        <w:tc>
          <w:tcPr>
            <w:tcW w:w="230" w:type="dxa"/>
            <w:tcBorders/>
            <w:shd w:fill="CCEEFF" w:val="clear"/>
            <w:vAlign w:val="center"/>
          </w:tcPr>
          <w:p>
            <w:pPr>
              <w:pStyle w:val="TableContents"/>
              <w:bidi w:val="0"/>
              <w:spacing w:before="0" w:after="283"/>
              <w:jc w:val="left"/>
              <w:rPr>
                <w:color w:val="000000"/>
              </w:rPr>
            </w:pPr>
            <w:r>
              <w:rPr>
                <w:color w:val="000000"/>
              </w:rPr>
              <w:t> </w:t>
            </w:r>
          </w:p>
        </w:tc>
      </w:tr>
      <w:tr>
        <w:trPr/>
        <w:tc>
          <w:tcPr>
            <w:tcW w:w="3785" w:type="dxa"/>
            <w:tcBorders/>
            <w:vAlign w:val="center"/>
          </w:tcPr>
          <w:p>
            <w:pPr>
              <w:pStyle w:val="TableContents"/>
              <w:bidi w:val="0"/>
              <w:spacing w:before="0" w:after="0"/>
              <w:ind w:left="0" w:right="0" w:hanging="144"/>
              <w:jc w:val="left"/>
              <w:rPr/>
            </w:pPr>
            <w:r>
              <w:rPr>
                <w:color w:val="000000"/>
              </w:rPr>
              <w:t>JPM term loan</w:t>
            </w:r>
            <w:r>
              <w:rPr/>
              <w:t xml:space="preserv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73,125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74,063</w:t>
            </w:r>
          </w:p>
        </w:tc>
        <w:tc>
          <w:tcPr>
            <w:tcW w:w="23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pPr>
            <w:r>
              <w:rPr>
                <w:color w:val="000000"/>
              </w:rPr>
              <w:t>Less: Debt discount and issuance costs</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65" w:type="dxa"/>
            <w:tcBorders>
              <w:bottom w:val="sing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(1,536</w:t>
            </w:r>
          </w:p>
        </w:tc>
        <w:tc>
          <w:tcPr>
            <w:tcW w:w="185" w:type="dxa"/>
            <w:tcBorders/>
            <w:shd w:fill="CCEEFF" w:val="clear"/>
            <w:vAlign w:val="center"/>
          </w:tcPr>
          <w:p>
            <w:pPr>
              <w:pStyle w:val="TableContents"/>
              <w:bidi w:val="0"/>
              <w:spacing w:before="0" w:after="283"/>
              <w:jc w:val="left"/>
              <w:rPr>
                <w:color w:val="000000"/>
              </w:rPr>
            </w:pPr>
            <w:r>
              <w:rPr>
                <w:color w:val="000000"/>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505" w:type="dxa"/>
            <w:tcBorders>
              <w:bottom w:val="sing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(1,920</w:t>
            </w:r>
          </w:p>
        </w:tc>
        <w:tc>
          <w:tcPr>
            <w:tcW w:w="230" w:type="dxa"/>
            <w:tcBorders/>
            <w:shd w:fill="CCEEFF" w:val="clear"/>
            <w:vAlign w:val="center"/>
          </w:tcPr>
          <w:p>
            <w:pPr>
              <w:pStyle w:val="TableContents"/>
              <w:bidi w:val="0"/>
              <w:spacing w:before="0" w:after="283"/>
              <w:jc w:val="left"/>
              <w:rPr>
                <w:color w:val="000000"/>
              </w:rPr>
            </w:pPr>
            <w:r>
              <w:rPr>
                <w:color w:val="000000"/>
              </w:rPr>
              <w:t>) </w:t>
            </w:r>
          </w:p>
        </w:tc>
      </w:tr>
      <w:tr>
        <w:trPr/>
        <w:tc>
          <w:tcPr>
            <w:tcW w:w="3785" w:type="dxa"/>
            <w:tcBorders/>
            <w:vAlign w:val="center"/>
          </w:tcPr>
          <w:p>
            <w:pPr>
              <w:pStyle w:val="TableContents"/>
              <w:bidi w:val="0"/>
              <w:spacing w:before="0" w:after="0"/>
              <w:ind w:left="0" w:right="0" w:hanging="144"/>
              <w:jc w:val="left"/>
              <w:rPr/>
            </w:pPr>
            <w:r>
              <w:rPr>
                <w:color w:val="000000"/>
              </w:rPr>
              <w:t>Total debt</w:t>
            </w:r>
            <w:r>
              <w:rPr/>
              <w:t xml:space="preserve">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before="0" w:after="283"/>
              <w:jc w:val="right"/>
              <w:rPr/>
            </w:pPr>
            <w:r>
              <w:rPr/>
              <w:t>196,589</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tcMar>
              <w:bottom w:w="28" w:type="dxa"/>
            </w:tcMar>
            <w:vAlign w:val="center"/>
          </w:tcPr>
          <w:p>
            <w:pPr>
              <w:pStyle w:val="TableContents"/>
              <w:bidi w:val="0"/>
              <w:spacing w:before="0" w:after="283"/>
              <w:jc w:val="right"/>
              <w:rPr/>
            </w:pPr>
            <w:r>
              <w:rPr/>
              <w:t>72,143</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pPr>
            <w:r>
              <w:rPr>
                <w:color w:val="000000"/>
              </w:rPr>
              <w:t>Less: current portion of long-term debt</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shd w:fill="CCEEFF" w:val="clear"/>
            <w:tcMar>
              <w:bottom w:w="28" w:type="dxa"/>
            </w:tcMar>
            <w:vAlign w:val="center"/>
          </w:tcPr>
          <w:p>
            <w:pPr>
              <w:pStyle w:val="TableContents"/>
              <w:bidi w:val="0"/>
              <w:spacing w:before="0" w:after="283"/>
              <w:jc w:val="right"/>
              <w:rPr/>
            </w:pPr>
            <w:r>
              <w:rPr/>
              <w:t>(3,750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single" w:sz="6" w:space="0" w:color="000000"/>
            </w:tcBorders>
            <w:shd w:fill="CCEEFF" w:val="clear"/>
            <w:tcMar>
              <w:bottom w:w="28" w:type="dxa"/>
            </w:tcMar>
            <w:vAlign w:val="center"/>
          </w:tcPr>
          <w:p>
            <w:pPr>
              <w:pStyle w:val="TableContents"/>
              <w:bidi w:val="0"/>
              <w:spacing w:before="0" w:after="283"/>
              <w:jc w:val="right"/>
              <w:rPr/>
            </w:pPr>
            <w:r>
              <w:rPr/>
              <w:t>(2,813</w:t>
            </w:r>
          </w:p>
        </w:tc>
        <w:tc>
          <w:tcPr>
            <w:tcW w:w="23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ind w:left="0" w:right="0" w:hanging="144"/>
              <w:jc w:val="left"/>
              <w:rPr/>
            </w:pPr>
            <w:r>
              <w:rPr>
                <w:color w:val="000000"/>
              </w:rPr>
              <w:t>Long-term debt</w:t>
            </w:r>
            <w:r>
              <w:rPr/>
              <w:t xml:space="preserve">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965" w:type="dxa"/>
            <w:tcBorders>
              <w:bottom w:val="single" w:sz="12" w:space="0" w:color="000000"/>
            </w:tcBorders>
            <w:tcMar>
              <w:bottom w:w="28" w:type="dxa"/>
            </w:tcMar>
            <w:vAlign w:val="center"/>
          </w:tcPr>
          <w:p>
            <w:pPr>
              <w:pStyle w:val="TableContents"/>
              <w:bidi w:val="0"/>
              <w:spacing w:before="0" w:after="283"/>
              <w:jc w:val="right"/>
              <w:rPr/>
            </w:pPr>
            <w:r>
              <w:rPr/>
              <w:t>192,839</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505" w:type="dxa"/>
            <w:tcBorders>
              <w:bottom w:val="single" w:sz="12" w:space="0" w:color="000000"/>
            </w:tcBorders>
            <w:tcMar>
              <w:bottom w:w="28" w:type="dxa"/>
            </w:tcMar>
            <w:vAlign w:val="center"/>
          </w:tcPr>
          <w:p>
            <w:pPr>
              <w:pStyle w:val="TableContents"/>
              <w:bidi w:val="0"/>
              <w:spacing w:before="0" w:after="283"/>
              <w:jc w:val="right"/>
              <w:rPr/>
            </w:pPr>
            <w:r>
              <w:rPr/>
              <w:t>69,330</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jc w:val="left"/>
        <w:rPr>
          <w:rFonts w:ascii="Times New Roman" w:hAnsi="Times New Roman"/>
          <w:sz w:val="20"/>
        </w:rPr>
      </w:pPr>
      <w:r>
        <w:rPr>
          <w:rFonts w:ascii="Times New Roman" w:hAnsi="Times New Roman"/>
          <w:i/>
          <w:color w:val="000000"/>
          <w:sz w:val="20"/>
        </w:rPr>
        <w:t>JPM Credit Agreement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On August 5, 2025 (the “JPM Closing Date”), the Company and all of the Company’s subsidiaries entered into a Credit Agreement (the “JPM Credit Agreement”) with the lenders party thereto and JPMorgan Chase Bank, N.A., as administrative agent. The JPM Credit Agreement provides for $300 million of senior secured credit facilities, consisting of (a) a term loan in the aggregate principal amount of $75 million (the “JPM Term Loan Facility”), which was drawn in full on the JPM Closing Date, and (b) a revolving credit facility in the aggregate principal amount of $225 million (the “JPM Revolving Facility”). The Company may also request, subject to customary conditions, additional incremental revolving commitments or term loans in an aggregate principal amount not to exceed $100 million (together with the JPM Term Loan Facility and the JPM Revolving Facility, the “JPM Credit Facilities”). The JPM Term Loan Facility has a maturity date of August 5, 2028 (the “JPM Term Maturity Date”), and the JPM Revolving Facility has a maturity date of August 5, 2028 or any earlier date on which the commitments under the JPM Revolving Facility are reduced to zero or otherwise terminated pursuant to the terms of the JPM Credit Agreement.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On March 2, 2026, the Company borrowed $125.0 million under the JPM Revolving Facility, used to fund the accelerated share repurchase agreement (“ASR Agreement”). See Note 8 for further details.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Interest on borrowings under the JPM Credit Facilities accrues at an applicable rate equal to (i) an alternate base rate plus an applicable spread (each such borrowing, an “ABR Borrowing”) or (ii) Term Secured Overnight Financing Rate (“SOFR”) plus an applicable spread (each such borrowing, a “Term Benchmark Borrowing”), in each case based on the lower of the applicable rates set forth in the JPM Credit Agreement, which are based on the Company’s total leverage ratio. These applicable spreads range from 150 basis points to 200 basis points over the alternate base rate and 250 basis points to 300 basis points over Term SOFR, in each case, as determined in accordance with the provisions of the JPM Credit Agreement. The Company has agreed to pay a commitment fee at specified rates set forth in the JPM Credit Agreement, which, based on the Company’s total leverage ratio, ranges from 30 basis points to 35 basis points on the daily amount of the undrawn portion of the aggregate commitments of the lenders under the JPM Revolving Facility. At the Company’s request, each borrowing initially shall be either an ABR Borrowing or a Term Benchmark Borrowing, and the Company may thereafter elect to convert any such borrowing to a different type. During the occurrence and continuance of an Event of Default (as defined in the JPM Credit Agreement), all borrowings shall accrue interest at a rate per annum equal to 2% plus the applicable rate. As of June 30, 2026, the interest rate on the JPM Term Loan Facility and the JPM Revolving Facility was approximately 6.12%.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On the JPM Revolving Facility Maturity Date, the Company will repay the unpaid principal amount outstanding under the JPM Revolving Facility. Under the JPM Term Loan Facility, the Company will make principal payments in accordance with and on the dates specified in the amortization schedule set forth in the JPM Credit Agreement, with the remaining unpaid principal amount to be paid in full on the JPM Term Maturity Date. The Company may prepay at any time and from time to time any borrowing in whole or in part, without premium or penalty (other than, if applicable, any break funding expenses), subject to customary notice requirements.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All of the Company’s obligations under the JPM Credit Agreement are secured by a first-priority lien and security interest in substantially all of the tangible and intangible assets, including intellectual property and equity interests, of the Company and all of its subsidiaries.</w:t>
      </w:r>
    </w:p>
    <w:p>
      <w:pPr>
        <w:pStyle w:val="TextBody"/>
        <w:bidi w:val="0"/>
        <w:spacing w:before="0" w:after="0"/>
        <w:ind w:left="0" w:right="0" w:firstLine="72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ADMA BIOLOGICS,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CONDENSED CONSOLIDATED FINANCIAL STATEMENTS (UNAUDITED)</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JPM Credit Agreement contains certain representations and warranties, affirmative covenants, negative covenants and conditions that are customarily required for similar debt financings. The negative covenants include certain financial covenants, including a maximum total leverage ratio of 2.50 to 1.00 and a minimum fixed charge coverage ratio of 1.20 to 1.00. The negative covenants also restrict or limit the Company’s ability and the ability of the Company’s subsidiaries to, among other things and subject to certain exceptions contained in the JPM Credit Agreement, incur new indebtedness; create liens on assets; engage in certain fundamental corporate changes; make certain investments; dispose of certain assets; engage in sale and leaseback transactions or swap agreements; make dividend payments and other certain Restricted Payments (as defined in the JPM Credit Agreement); engage in certain affiliate transactions; enter into any other agreements that have the impact of restricting the Company’s ability to make loan repayments under the JPM Credit Agreement; or amend certain material documents.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debt maturities over the next five years are as follows (</w:t>
      </w:r>
      <w:r>
        <w:rPr>
          <w:rFonts w:ascii="Times New Roman" w:hAnsi="Times New Roman"/>
          <w:i/>
          <w:sz w:val="20"/>
        </w:rPr>
        <w:t>in thousands</w:t>
      </w:r>
      <w:r>
        <w:rPr>
          <w:rFonts w:ascii="Times New Roman" w:hAnsi="Times New Roman"/>
          <w:sz w:val="20"/>
        </w:rPr>
        <w:t xml:space="preserve">): </w:t>
      </w:r>
    </w:p>
    <w:p>
      <w:pPr>
        <w:pStyle w:val="TextBody"/>
        <w:bidi w:val="0"/>
        <w:spacing w:before="0" w:after="0"/>
        <w:jc w:val="both"/>
        <w:rPr/>
      </w:pPr>
      <w:r>
        <w:rPr/>
        <w:t xml:space="preserve">  </w:t>
      </w:r>
    </w:p>
    <w:tbl>
      <w:tblPr>
        <w:tblW w:w="2565" w:type="dxa"/>
        <w:jc w:val="left"/>
        <w:tblInd w:w="0" w:type="dxa"/>
        <w:tblLayout w:type="fixed"/>
        <w:tblCellMar>
          <w:top w:w="0" w:type="dxa"/>
          <w:left w:w="0" w:type="dxa"/>
          <w:bottom w:w="0" w:type="dxa"/>
          <w:right w:w="0" w:type="dxa"/>
        </w:tblCellMar>
      </w:tblPr>
      <w:tblGrid>
        <w:gridCol w:w="1220"/>
        <w:gridCol w:w="90"/>
        <w:gridCol w:w="170"/>
        <w:gridCol w:w="950"/>
        <w:gridCol w:w="135"/>
      </w:tblGrid>
      <w:tr>
        <w:trPr/>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20" w:type="dxa"/>
            <w:tcBorders>
              <w:bottom w:val="single" w:sz="6" w:space="0" w:color="000000"/>
            </w:tcBorders>
            <w:tcMar>
              <w:bottom w:w="28" w:type="dxa"/>
            </w:tcMar>
            <w:vAlign w:val="center"/>
          </w:tcPr>
          <w:p>
            <w:pPr>
              <w:pStyle w:val="TableContents"/>
              <w:bidi w:val="0"/>
              <w:spacing w:before="0" w:after="283"/>
              <w:jc w:val="left"/>
              <w:rPr/>
            </w:pPr>
            <w:r>
              <w:rPr>
                <w:b/>
                <w:color w:val="000000"/>
              </w:rPr>
              <w:t>Fiscal year</w:t>
            </w:r>
            <w:r>
              <w:rPr/>
              <w:t xml:space="preserve">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50" w:type="dxa"/>
            <w:tcBorders>
              <w:bottom w:val="single" w:sz="6" w:space="0" w:color="000000"/>
            </w:tcBorders>
            <w:tcMar>
              <w:bottom w:w="28" w:type="dxa"/>
            </w:tcMar>
            <w:vAlign w:val="center"/>
          </w:tcPr>
          <w:p>
            <w:pPr>
              <w:pStyle w:val="TableContents"/>
              <w:bidi w:val="0"/>
              <w:spacing w:before="0" w:after="283"/>
              <w:jc w:val="center"/>
              <w:rPr/>
            </w:pPr>
            <w:r>
              <w:rPr>
                <w:b/>
                <w:color w:val="000000"/>
              </w:rPr>
              <w:t>Amount</w:t>
            </w:r>
            <w:r>
              <w:rPr/>
              <w:t xml:space="preserve"> </w:t>
            </w:r>
          </w:p>
        </w:tc>
        <w:tc>
          <w:tcPr>
            <w:tcW w:w="135" w:type="dxa"/>
            <w:tcBorders/>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left"/>
              <w:rPr/>
            </w:pPr>
            <w:r>
              <w:rPr>
                <w:color w:val="000000"/>
              </w:rPr>
              <w:t>2026</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1,875</w:t>
            </w:r>
          </w:p>
        </w:tc>
        <w:tc>
          <w:tcPr>
            <w:tcW w:w="135"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color w:val="000000"/>
              </w:rPr>
              <w:t>2027</w:t>
            </w:r>
            <w:r>
              <w:rPr/>
              <w:t xml:space="preserv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4,688</w:t>
            </w:r>
          </w:p>
        </w:tc>
        <w:tc>
          <w:tcPr>
            <w:tcW w:w="13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color w:val="000000"/>
              </w:rPr>
              <w:t>2028</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191,562</w:t>
            </w:r>
          </w:p>
        </w:tc>
        <w:tc>
          <w:tcPr>
            <w:tcW w:w="135"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color w:val="000000"/>
              </w:rPr>
              <w:t>2029</w:t>
            </w:r>
            <w:r>
              <w:rPr/>
              <w:t xml:space="preserv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xml:space="preserve">- </w:t>
            </w:r>
          </w:p>
        </w:tc>
        <w:tc>
          <w:tcPr>
            <w:tcW w:w="13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color w:val="000000"/>
              </w:rPr>
              <w:t>2030</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color w:val="000000"/>
              </w:rPr>
              <w:t>Total</w:t>
            </w:r>
            <w:r>
              <w:rPr/>
              <w:t xml:space="preserve">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950" w:type="dxa"/>
            <w:tcBorders>
              <w:bottom w:val="double" w:sz="8" w:space="0" w:color="000000"/>
            </w:tcBorders>
            <w:tcMar>
              <w:bottom w:w="28" w:type="dxa"/>
            </w:tcMar>
            <w:vAlign w:val="center"/>
          </w:tcPr>
          <w:p>
            <w:pPr>
              <w:pStyle w:val="TableContents"/>
              <w:bidi w:val="0"/>
              <w:spacing w:before="0" w:after="283"/>
              <w:jc w:val="right"/>
              <w:rPr/>
            </w:pPr>
            <w:r>
              <w:rPr/>
              <w:t>198,125</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As of June 30, 2026, the Company was in compliance with all of its debt covenants in the JPM Credit Agreement. </w:t>
      </w:r>
    </w:p>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STOCKHOLDERS’ EQUITY</w:t>
      </w:r>
      <w:r>
        <w:rPr>
          <w:rFonts w:ascii="Times New Roman" w:hAnsi="Times New Roman"/>
          <w:sz w:val="20"/>
        </w:rPr>
        <w:t xml:space="preserve">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342900" cy="175260"/>
                <wp:effectExtent l="0" t="0" r="0" b="0"/>
                <wp:wrapSquare wrapText="right"/>
                <wp:docPr id="47" name="Frame47"/>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sz w:val="20"/>
                              </w:rPr>
                              <w:t>8.</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8.</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u w:val="single"/>
        </w:rPr>
        <w:t>Treasury Stock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May 2025, the Company’s board of directors (the “Board”) authorized a share repurchase program of up to $500.0 million of the Company’s outstanding shares of common stock (the “Repurchase Program”). The Repurchase Program does not obligate the Company to acquire any particular amount of its common stock, and may be modified, suspended, or terminated at any time. The Repurchase Program has no expiration date.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March 2, 2026, the Company entered into the ASR Agreement with J.P. Morgan Chase Bank, National Association ("J.P. Morgan") to repurchase $125.0 million of the Company's common stock. In connection with the ASR Agreement, the Company made an upfront cash prepayment of $125.0 million to J.P. Morgan and received an initial delivery of 6,422,608 shares of common stock. The initial delivery of shares was valued at approximately $105.2 million based on the closing price of the Company's common stock of $16.38 on the March 3, 2026 delivery date, and was recorded as treasury stock in the consolidated balance sheet. The remaining $19.8 million of the prepayment, representing the embedded forward contract component, was initially recorded within Additional Paid-In Capital ("APIC") in the consolidated balance sheet as of March 31, 2026.</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May 7, 2026, upon final settlement of the ASR Agreement, the Company received an additional 4,337,879 shares of common stock from J.P. Morgan. The final number of shares received was based on the volume-weighted average price of the Company’s common stock during the term of ASR Agreement, less a discount and subject to adjustments. In connection with the final settlement of ASR Agreement, the $19.8 million previously recorded in APIC was reclassified to treasury stock during the second quarter of 2026.</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delivery of shares resulted in an immediate reduction of the outstanding shares used to calculate the weighted-average common shares outstanding for basic and diluted net income per share.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addition to the shares repurchased under the ASR Agreement, during the three and six months ended June 30, 2026, the Company repurchased 2,723,659 and 3,055,207 shares of common stock under the Repurchase Program at a total cost of $25.1 million and $30.2 million, respectively.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During the three and six months ended June 30, 2026, the Company recognized $0.4 million and $1.1 million of excise tax liability related to share repurchases in accordance with the Inflation Reduction Act of 2022, respectively.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ADMA BIOLOGICS,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CONDENSED CONSOLIDATED FINANCIAL STATEMENTS (UNAUDITED)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following table summarizes the common stock repurchase activity under the Repurchase Program: </w:t>
      </w:r>
    </w:p>
    <w:p>
      <w:pPr>
        <w:pStyle w:val="TextBody"/>
        <w:bidi w:val="0"/>
        <w:spacing w:before="0" w:after="0"/>
        <w:jc w:val="left"/>
        <w:rPr/>
      </w:pPr>
      <w:r>
        <w:rPr/>
        <w:t xml:space="preserve">  </w:t>
      </w:r>
    </w:p>
    <w:tbl>
      <w:tblPr>
        <w:tblW w:w="10025" w:type="dxa"/>
        <w:jc w:val="left"/>
        <w:tblInd w:w="0" w:type="dxa"/>
        <w:tblLayout w:type="fixed"/>
        <w:tblCellMar>
          <w:top w:w="0" w:type="dxa"/>
          <w:left w:w="0" w:type="dxa"/>
          <w:bottom w:w="0" w:type="dxa"/>
          <w:right w:w="0" w:type="dxa"/>
        </w:tblCellMar>
      </w:tblPr>
      <w:tblGrid>
        <w:gridCol w:w="3155"/>
        <w:gridCol w:w="90"/>
        <w:gridCol w:w="170"/>
        <w:gridCol w:w="1289"/>
        <w:gridCol w:w="163"/>
        <w:gridCol w:w="163"/>
        <w:gridCol w:w="308"/>
        <w:gridCol w:w="1289"/>
        <w:gridCol w:w="90"/>
        <w:gridCol w:w="90"/>
        <w:gridCol w:w="170"/>
        <w:gridCol w:w="1280"/>
        <w:gridCol w:w="138"/>
        <w:gridCol w:w="138"/>
        <w:gridCol w:w="262"/>
        <w:gridCol w:w="1095"/>
        <w:gridCol w:w="135"/>
      </w:tblGrid>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3212" w:type="dxa"/>
            <w:gridSpan w:val="5"/>
            <w:tcBorders>
              <w:bottom w:val="single" w:sz="6" w:space="0" w:color="000000"/>
            </w:tcBorders>
            <w:tcMar>
              <w:bottom w:w="28" w:type="dxa"/>
            </w:tcMar>
            <w:vAlign w:val="center"/>
          </w:tcPr>
          <w:p>
            <w:pPr>
              <w:pStyle w:val="TableContents"/>
              <w:bidi w:val="0"/>
              <w:spacing w:before="0" w:after="283"/>
              <w:jc w:val="center"/>
              <w:rPr/>
            </w:pPr>
            <w:r>
              <w:rPr>
                <w:b/>
                <w:spacing w:val="0"/>
              </w:rPr>
              <w:t>Three Months Ended June 30,</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2913" w:type="dxa"/>
            <w:gridSpan w:val="5"/>
            <w:tcBorders>
              <w:bottom w:val="single" w:sz="6" w:space="0" w:color="000000"/>
            </w:tcBorders>
            <w:tcMar>
              <w:bottom w:w="28" w:type="dxa"/>
            </w:tcMar>
            <w:vAlign w:val="center"/>
          </w:tcPr>
          <w:p>
            <w:pPr>
              <w:pStyle w:val="TableContents"/>
              <w:bidi w:val="0"/>
              <w:spacing w:before="0" w:after="283"/>
              <w:jc w:val="center"/>
              <w:rPr/>
            </w:pPr>
            <w:r>
              <w:rPr>
                <w:b/>
                <w:spacing w:val="0"/>
              </w:rPr>
              <w:t>Six Months Ended June 30,</w:t>
            </w:r>
            <w:r>
              <w:rPr/>
              <w:t xml:space="preserve"> </w:t>
            </w:r>
          </w:p>
        </w:tc>
        <w:tc>
          <w:tcPr>
            <w:tcW w:w="135" w:type="dxa"/>
            <w:tcBorders/>
            <w:vAlign w:val="center"/>
          </w:tcPr>
          <w:p>
            <w:pPr>
              <w:pStyle w:val="TableContents"/>
              <w:bidi w:val="0"/>
              <w:spacing w:before="0" w:after="283"/>
              <w:jc w:val="center"/>
              <w:rPr/>
            </w:pPr>
            <w:r>
              <w:rPr/>
              <w:t> </w:t>
            </w:r>
          </w:p>
        </w:tc>
      </w:tr>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89" w:type="dxa"/>
            <w:tcBorders>
              <w:bottom w:val="single" w:sz="6"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63" w:type="dxa"/>
            <w:tcBorders/>
            <w:vAlign w:val="center"/>
          </w:tcPr>
          <w:p>
            <w:pPr>
              <w:pStyle w:val="TableContents"/>
              <w:bidi w:val="0"/>
              <w:spacing w:before="0" w:after="283"/>
              <w:jc w:val="center"/>
              <w:rPr/>
            </w:pPr>
            <w:r>
              <w:rPr/>
              <w:t> </w:t>
            </w:r>
          </w:p>
        </w:tc>
        <w:tc>
          <w:tcPr>
            <w:tcW w:w="163" w:type="dxa"/>
            <w:tcBorders/>
            <w:vAlign w:val="center"/>
          </w:tcPr>
          <w:p>
            <w:pPr>
              <w:pStyle w:val="TableContents"/>
              <w:bidi w:val="0"/>
              <w:spacing w:before="0" w:after="283"/>
              <w:jc w:val="center"/>
              <w:rPr/>
            </w:pPr>
            <w:r>
              <w:rPr/>
              <w:t> </w:t>
            </w:r>
          </w:p>
        </w:tc>
        <w:tc>
          <w:tcPr>
            <w:tcW w:w="308"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89" w:type="dxa"/>
            <w:tcBorders>
              <w:bottom w:val="single" w:sz="6" w:space="0" w:color="000000"/>
            </w:tcBorders>
            <w:tcMar>
              <w:bottom w:w="28" w:type="dxa"/>
            </w:tcMar>
            <w:vAlign w:val="center"/>
          </w:tcPr>
          <w:p>
            <w:pPr>
              <w:pStyle w:val="TableContents"/>
              <w:bidi w:val="0"/>
              <w:spacing w:before="0" w:after="283"/>
              <w:jc w:val="center"/>
              <w:rPr/>
            </w:pPr>
            <w:r>
              <w:rPr>
                <w:b/>
              </w:rP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80" w:type="dxa"/>
            <w:tcBorders>
              <w:bottom w:val="single" w:sz="6"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38" w:type="dxa"/>
            <w:tcBorders/>
            <w:vAlign w:val="center"/>
          </w:tcPr>
          <w:p>
            <w:pPr>
              <w:pStyle w:val="TableContents"/>
              <w:bidi w:val="0"/>
              <w:spacing w:before="0" w:after="283"/>
              <w:jc w:val="center"/>
              <w:rPr/>
            </w:pPr>
            <w:r>
              <w:rPr/>
              <w:t> </w:t>
            </w:r>
          </w:p>
        </w:tc>
        <w:tc>
          <w:tcPr>
            <w:tcW w:w="138" w:type="dxa"/>
            <w:tcBorders/>
            <w:vAlign w:val="center"/>
          </w:tcPr>
          <w:p>
            <w:pPr>
              <w:pStyle w:val="TableContents"/>
              <w:bidi w:val="0"/>
              <w:spacing w:before="0" w:after="283"/>
              <w:jc w:val="center"/>
              <w:rPr/>
            </w:pPr>
            <w:r>
              <w:rPr/>
              <w:t> </w:t>
            </w:r>
          </w:p>
        </w:tc>
        <w:tc>
          <w:tcPr>
            <w:tcW w:w="262"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95" w:type="dxa"/>
            <w:tcBorders>
              <w:bottom w:val="single" w:sz="6"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35" w:type="dxa"/>
            <w:tcBorders/>
            <w:vAlign w:val="center"/>
          </w:tcPr>
          <w:p>
            <w:pPr>
              <w:pStyle w:val="TableContents"/>
              <w:bidi w:val="0"/>
              <w:spacing w:before="0" w:after="283"/>
              <w:jc w:val="center"/>
              <w:rPr/>
            </w:pPr>
            <w:r>
              <w:rPr/>
              <w:t> </w:t>
            </w:r>
          </w:p>
        </w:tc>
      </w:tr>
      <w:tr>
        <w:trPr/>
        <w:tc>
          <w:tcPr>
            <w:tcW w:w="3155" w:type="dxa"/>
            <w:tcBorders/>
            <w:vAlign w:val="center"/>
          </w:tcPr>
          <w:p>
            <w:pPr>
              <w:pStyle w:val="TableContents"/>
              <w:bidi w:val="0"/>
              <w:spacing w:before="0" w:after="0"/>
              <w:jc w:val="left"/>
              <w:rPr/>
            </w:pPr>
            <w:r>
              <w:rPr>
                <w:i/>
              </w:rPr>
              <w:t>(In thousands)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pPr>
            <w:r>
              <w:rPr/>
              <w:t xml:space="preserve">Shares repurchased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7,062</w:t>
            </w:r>
          </w:p>
        </w:tc>
        <w:tc>
          <w:tcPr>
            <w:tcW w:w="163"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right"/>
              <w:rPr/>
            </w:pPr>
            <w:r>
              <w:rPr/>
              <w:t> </w:t>
            </w:r>
          </w:p>
        </w:tc>
        <w:tc>
          <w:tcPr>
            <w:tcW w:w="30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816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13,816</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816</w:t>
            </w:r>
          </w:p>
        </w:tc>
        <w:tc>
          <w:tcPr>
            <w:tcW w:w="13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pPr>
            <w:r>
              <w:rPr/>
              <w:t xml:space="preserve">Total cost of shares repurchased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289" w:type="dxa"/>
            <w:tcBorders/>
            <w:vAlign w:val="center"/>
          </w:tcPr>
          <w:p>
            <w:pPr>
              <w:pStyle w:val="TableContents"/>
              <w:bidi w:val="0"/>
              <w:spacing w:before="0" w:after="283"/>
              <w:jc w:val="right"/>
              <w:rPr/>
            </w:pPr>
            <w:r>
              <w:rPr/>
              <w:t>45,282</w:t>
            </w:r>
          </w:p>
        </w:tc>
        <w:tc>
          <w:tcPr>
            <w:tcW w:w="163"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right"/>
              <w:rPr/>
            </w:pPr>
            <w:r>
              <w:rPr/>
              <w:t> </w:t>
            </w:r>
          </w:p>
        </w:tc>
        <w:tc>
          <w:tcPr>
            <w:tcW w:w="308" w:type="dxa"/>
            <w:tcBorders/>
            <w:vAlign w:val="center"/>
          </w:tcPr>
          <w:p>
            <w:pPr>
              <w:pStyle w:val="TableContents"/>
              <w:bidi w:val="0"/>
              <w:spacing w:before="0" w:after="283"/>
              <w:jc w:val="left"/>
              <w:rPr/>
            </w:pPr>
            <w:r>
              <w:rPr/>
              <w:t>$</w:t>
            </w:r>
          </w:p>
        </w:tc>
        <w:tc>
          <w:tcPr>
            <w:tcW w:w="1289" w:type="dxa"/>
            <w:tcBorders/>
            <w:vAlign w:val="center"/>
          </w:tcPr>
          <w:p>
            <w:pPr>
              <w:pStyle w:val="TableContents"/>
              <w:bidi w:val="0"/>
              <w:spacing w:before="0" w:after="283"/>
              <w:jc w:val="right"/>
              <w:rPr/>
            </w:pPr>
            <w:r>
              <w:rPr/>
              <w:t>15,148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156,362</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15,148</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repurchased shares are recorded at the repurchase cost in treasury stock in the Company’s condensed consolidated balance sheet and are available for reissuance.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u w:val="single"/>
        </w:rPr>
        <w:t>Preferred Stock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Company is currently authorized to issue up to 10 million shares of preferred stock, $0.0001 par value per share. There were no shares of preferred stock outstanding at June 30, 2026 and December 31, 2025.</w:t>
      </w:r>
    </w:p>
    <w:p>
      <w:pPr>
        <w:pStyle w:val="TextBody"/>
        <w:bidi w:val="0"/>
        <w:spacing w:before="0" w:after="0"/>
        <w:ind w:left="0" w:right="0" w:firstLine="720"/>
        <w:jc w:val="left"/>
        <w:rPr/>
      </w:pPr>
      <w:r>
        <w:rPr/>
        <w:t> </w:t>
      </w:r>
    </w:p>
    <w:p>
      <w:pPr>
        <w:pStyle w:val="TextBody"/>
        <w:bidi w:val="0"/>
        <w:spacing w:before="0" w:after="0"/>
        <w:jc w:val="left"/>
        <w:rPr>
          <w:rFonts w:ascii="Times New Roman" w:hAnsi="Times New Roman"/>
          <w:sz w:val="20"/>
        </w:rPr>
      </w:pPr>
      <w:r>
        <w:rPr>
          <w:rFonts w:ascii="Times New Roman" w:hAnsi="Times New Roman"/>
          <w:sz w:val="20"/>
          <w:u w:val="single"/>
        </w:rPr>
        <w:t>Common Stock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of June 30, 2026 and December 31, 2025, the Company was authorized to issue 300,000,000 shares of its common stock, $0.0001 par value per share, and 225,355,228 and 237,874,496 shares of common stock were outstanding as of June 30, 2026 and December 31, 2025, respectively. After giving effect to shares reserved for the issuance of awards issued under the Company’s equity incentive plans, 52,836,993 shares of common stock were available for issuance as of June 30, 2026.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u w:val="single"/>
        </w:rPr>
        <w:t>Equity Incentive Plans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2022, the Company’s stockholders approved the ADMA Biologics, Inc. 2022 Compensation Plan (the “2022 Equity Plan”), which replaced the Company’s Amended and Restated 2014 Omnibus Incentive Compensation Plan. Approval of the 2022 Equity Plan resulted in approximately 18 million additional shares of the Company’s common stock being reserved for future awards. The 2022 Equity Plan provides for the Company’s Board or a Committee of the Board (the “Committee”) to grant awards to grantees and to determine the exercise price, vesting term, expiration date and all other terms and conditions of the awards, including acceleration of the vesting of an award at any time. Any options granted under the 2022 Equity Plan are intended to be Incentive Stock Options (“ISOs”), unless specified by the Committee to be Non-Qualified Options (“NQOs”) as defined by the Internal Revenue Code. ISOs and NQOs may be granted to employees, consultants or Board members at an option price not less than the fair market value of the common stock subject to the stock option agreement. Shares issued in connection with the exercise of stock options or the vesting of restricted stock units (“RSUs”) are newly issued shares.</w:t>
      </w:r>
    </w:p>
    <w:p>
      <w:pPr>
        <w:pStyle w:val="TextBody"/>
        <w:bidi w:val="0"/>
        <w:spacing w:before="0" w:after="0"/>
        <w:ind w:left="0" w:right="0" w:firstLine="720"/>
        <w:jc w:val="both"/>
        <w:rPr/>
      </w:pPr>
      <w:r>
        <w:rPr/>
        <w:t> </w:t>
      </w:r>
    </w:p>
    <w:p>
      <w:pPr>
        <w:pStyle w:val="TextBody"/>
        <w:bidi w:val="0"/>
        <w:spacing w:before="0" w:after="0"/>
        <w:jc w:val="left"/>
        <w:rPr>
          <w:rFonts w:ascii="Times New Roman" w:hAnsi="Times New Roman"/>
          <w:sz w:val="20"/>
        </w:rPr>
      </w:pPr>
      <w:r>
        <w:rPr>
          <w:rFonts w:ascii="Times New Roman" w:hAnsi="Times New Roman"/>
          <w:i/>
          <w:sz w:val="20"/>
        </w:rPr>
        <w:t>Options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fair value of stock options granted is determined on the date of grant using the Black-Scholes model. To determine the risk-free interest rate, the Company utilizes the U.S. Treasury yield curve in effect at the time of the grant with a term consistent with the term of the awards granted by the Company. The expected term of all options granted is in accordance with Staff Accounting Bulletins 107 and 110, which is based on the average between vesting terms and contractual terms as the Company had a limited history of option exercises prior to the middle of fiscal 2023. The expected dividend yield reflects the Company’s current and expected future policy for dividends on the Company’s common stock.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ADMA BIOLOGICS,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CONDENSED CONSOLIDATED FINANCIAL STATEMENTS (UNAUDITED)</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following assumptions were used to determine the fair value of options granted during the six months ended June 30, 2026 and 2025: </w:t>
      </w:r>
    </w:p>
    <w:p>
      <w:pPr>
        <w:pStyle w:val="TextBody"/>
        <w:bidi w:val="0"/>
        <w:spacing w:before="0" w:after="0"/>
        <w:jc w:val="left"/>
        <w:rPr/>
      </w:pPr>
      <w:r>
        <w:rPr/>
        <w:t xml:space="preserve">  </w:t>
      </w:r>
    </w:p>
    <w:tbl>
      <w:tblPr>
        <w:tblW w:w="5950" w:type="dxa"/>
        <w:jc w:val="left"/>
        <w:tblInd w:w="0" w:type="dxa"/>
        <w:tblLayout w:type="fixed"/>
        <w:tblCellMar>
          <w:top w:w="0" w:type="dxa"/>
          <w:left w:w="0" w:type="dxa"/>
          <w:bottom w:w="0" w:type="dxa"/>
          <w:right w:w="0" w:type="dxa"/>
        </w:tblCellMar>
      </w:tblPr>
      <w:tblGrid>
        <w:gridCol w:w="2135"/>
        <w:gridCol w:w="90"/>
        <w:gridCol w:w="90"/>
        <w:gridCol w:w="1460"/>
        <w:gridCol w:w="245"/>
        <w:gridCol w:w="90"/>
        <w:gridCol w:w="90"/>
        <w:gridCol w:w="1460"/>
        <w:gridCol w:w="290"/>
      </w:tblGrid>
      <w:tr>
        <w:trPr/>
        <w:tc>
          <w:tcPr>
            <w:tcW w:w="21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3345" w:type="dxa"/>
            <w:gridSpan w:val="5"/>
            <w:tcBorders>
              <w:bottom w:val="single" w:sz="6" w:space="0" w:color="000000"/>
            </w:tcBorders>
            <w:tcMar>
              <w:bottom w:w="28" w:type="dxa"/>
            </w:tcMar>
            <w:vAlign w:val="center"/>
          </w:tcPr>
          <w:p>
            <w:pPr>
              <w:pStyle w:val="TableContents"/>
              <w:bidi w:val="0"/>
              <w:spacing w:before="0" w:after="283"/>
              <w:jc w:val="center"/>
              <w:rPr/>
            </w:pPr>
            <w:r>
              <w:rPr>
                <w:b/>
                <w:spacing w:val="0"/>
              </w:rPr>
              <w:t>Six Month Ended June 30,</w:t>
            </w:r>
            <w:r>
              <w:rPr/>
              <w:t xml:space="preserve"> </w:t>
            </w:r>
          </w:p>
        </w:tc>
        <w:tc>
          <w:tcPr>
            <w:tcW w:w="290" w:type="dxa"/>
            <w:tcBorders/>
            <w:vAlign w:val="center"/>
          </w:tcPr>
          <w:p>
            <w:pPr>
              <w:pStyle w:val="TableContents"/>
              <w:bidi w:val="0"/>
              <w:spacing w:before="0" w:after="283"/>
              <w:jc w:val="center"/>
              <w:rPr/>
            </w:pPr>
            <w:r>
              <w:rPr/>
              <w:t> </w:t>
            </w:r>
          </w:p>
        </w:tc>
      </w:tr>
      <w:tr>
        <w:trPr/>
        <w:tc>
          <w:tcPr>
            <w:tcW w:w="21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60" w:type="dxa"/>
            <w:tcBorders>
              <w:bottom w:val="single" w:sz="6" w:space="0" w:color="000000"/>
            </w:tcBorders>
            <w:tcMar>
              <w:bottom w:w="28" w:type="dxa"/>
            </w:tcMar>
            <w:vAlign w:val="center"/>
          </w:tcPr>
          <w:p>
            <w:pPr>
              <w:pStyle w:val="TableContents"/>
              <w:bidi w:val="0"/>
              <w:spacing w:before="0" w:after="283"/>
              <w:jc w:val="center"/>
              <w:rPr/>
            </w:pPr>
            <w:r>
              <w:rPr>
                <w:b/>
              </w:rPr>
              <w:t>2026</w:t>
            </w:r>
            <w:r>
              <w:rPr/>
              <w:t xml:space="preserve"> </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60" w:type="dxa"/>
            <w:tcBorders>
              <w:bottom w:val="single" w:sz="6"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90" w:type="dxa"/>
            <w:tcBorders/>
            <w:vAlign w:val="center"/>
          </w:tcPr>
          <w:p>
            <w:pPr>
              <w:pStyle w:val="TableContents"/>
              <w:bidi w:val="0"/>
              <w:spacing w:before="0" w:after="283"/>
              <w:jc w:val="center"/>
              <w:rPr/>
            </w:pPr>
            <w:r>
              <w:rPr/>
              <w:t> </w:t>
            </w:r>
          </w:p>
        </w:tc>
      </w:tr>
      <w:tr>
        <w:trPr/>
        <w:tc>
          <w:tcPr>
            <w:tcW w:w="2135" w:type="dxa"/>
            <w:tcBorders/>
            <w:vAlign w:val="center"/>
          </w:tcPr>
          <w:p>
            <w:pPr>
              <w:pStyle w:val="TableContents"/>
              <w:bidi w:val="0"/>
              <w:spacing w:before="0" w:after="0"/>
              <w:jc w:val="left"/>
              <w:rPr/>
            </w:pPr>
            <w:r>
              <w:rPr/>
              <w:t xml:space="preserve">Expected term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60" w:type="dxa"/>
            <w:tcBorders/>
            <w:vAlign w:val="center"/>
          </w:tcPr>
          <w:p>
            <w:pPr>
              <w:pStyle w:val="TableContents"/>
              <w:bidi w:val="0"/>
              <w:spacing w:before="0" w:after="283"/>
              <w:jc w:val="center"/>
              <w:rPr/>
            </w:pPr>
            <w:r>
              <w:rPr/>
              <w:t xml:space="preserve">5.5 - 6.3 years </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60" w:type="dxa"/>
            <w:tcBorders/>
            <w:vAlign w:val="center"/>
          </w:tcPr>
          <w:p>
            <w:pPr>
              <w:pStyle w:val="TableContents"/>
              <w:bidi w:val="0"/>
              <w:spacing w:before="0" w:after="283"/>
              <w:jc w:val="center"/>
              <w:rPr/>
            </w:pPr>
            <w:r>
              <w:rPr/>
              <w:t xml:space="preserve">5.5 - 6.3 years </w:t>
            </w:r>
          </w:p>
        </w:tc>
        <w:tc>
          <w:tcPr>
            <w:tcW w:w="290" w:type="dxa"/>
            <w:tcBorders/>
            <w:vAlign w:val="center"/>
          </w:tcPr>
          <w:p>
            <w:pPr>
              <w:pStyle w:val="TableContents"/>
              <w:bidi w:val="0"/>
              <w:spacing w:before="0" w:after="283"/>
              <w:jc w:val="center"/>
              <w:rPr/>
            </w:pPr>
            <w:r>
              <w:rPr/>
              <w:t> </w:t>
            </w:r>
          </w:p>
        </w:tc>
      </w:tr>
      <w:tr>
        <w:trPr/>
        <w:tc>
          <w:tcPr>
            <w:tcW w:w="2135" w:type="dxa"/>
            <w:tcBorders/>
            <w:shd w:fill="CCEEFF" w:val="clear"/>
            <w:vAlign w:val="center"/>
          </w:tcPr>
          <w:p>
            <w:pPr>
              <w:pStyle w:val="TableContents"/>
              <w:bidi w:val="0"/>
              <w:spacing w:before="0" w:after="0"/>
              <w:jc w:val="left"/>
              <w:rPr/>
            </w:pPr>
            <w:r>
              <w:rPr/>
              <w:t xml:space="preserve">Volatility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460" w:type="dxa"/>
            <w:tcBorders/>
            <w:shd w:fill="CCEEFF" w:val="clear"/>
            <w:vAlign w:val="center"/>
          </w:tcPr>
          <w:p>
            <w:pPr>
              <w:pStyle w:val="TableContents"/>
              <w:bidi w:val="0"/>
              <w:spacing w:before="0" w:after="283"/>
              <w:jc w:val="right"/>
              <w:rPr/>
            </w:pPr>
            <w:r>
              <w:rPr/>
              <w:t>68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66</w:t>
            </w:r>
          </w:p>
        </w:tc>
        <w:tc>
          <w:tcPr>
            <w:tcW w:w="290" w:type="dxa"/>
            <w:tcBorders/>
            <w:shd w:fill="CCEEFF" w:val="clear"/>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0"/>
              <w:jc w:val="left"/>
              <w:rPr/>
            </w:pPr>
            <w:r>
              <w:rPr/>
              <w:t xml:space="preserve">Dividend yield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pPr>
            <w:r>
              <w:rPr/>
              <w:t xml:space="preserve">Risk-free interest rate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1460" w:type="dxa"/>
            <w:tcBorders/>
            <w:shd w:fill="CCEEFF" w:val="clear"/>
            <w:vAlign w:val="center"/>
          </w:tcPr>
          <w:p>
            <w:pPr>
              <w:pStyle w:val="TableContents"/>
              <w:bidi w:val="0"/>
              <w:spacing w:before="0" w:after="283"/>
              <w:jc w:val="right"/>
              <w:rPr/>
            </w:pPr>
            <w:r>
              <w:rPr/>
              <w:t>3.80 - 3.87</w:t>
            </w:r>
          </w:p>
        </w:tc>
        <w:tc>
          <w:tcPr>
            <w:tcW w:w="245" w:type="dxa"/>
            <w:tcBorders/>
            <w:shd w:fill="CCEEFF" w:val="clear"/>
            <w:vAlign w:val="center"/>
          </w:tcPr>
          <w:p>
            <w:pPr>
              <w:pStyle w:val="TableContents"/>
              <w:bidi w:val="0"/>
              <w:spacing w:before="0" w:after="283"/>
              <w:jc w:val="left"/>
              <w:rPr>
                <w:spacing w:val="0"/>
              </w:rPr>
            </w:pPr>
            <w:r>
              <w:rPr>
                <w:spacing w:val="0"/>
              </w:rPr>
              <w:t>%</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4.40</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following table summarizes information about the Company’s stock options under the Company’s equity incentive plans and related information: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885"/>
        <w:gridCol w:w="90"/>
        <w:gridCol w:w="90"/>
        <w:gridCol w:w="1010"/>
        <w:gridCol w:w="185"/>
        <w:gridCol w:w="90"/>
        <w:gridCol w:w="170"/>
        <w:gridCol w:w="1549"/>
        <w:gridCol w:w="136"/>
      </w:tblGrid>
      <w:tr>
        <w:trPr/>
        <w:tc>
          <w:tcPr>
            <w:tcW w:w="68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6" w:space="0" w:color="000000"/>
            </w:tcBorders>
            <w:tcMar>
              <w:bottom w:w="28" w:type="dxa"/>
            </w:tcMar>
            <w:vAlign w:val="center"/>
          </w:tcPr>
          <w:p>
            <w:pPr>
              <w:pStyle w:val="TableContents"/>
              <w:bidi w:val="0"/>
              <w:spacing w:before="0" w:after="283"/>
              <w:jc w:val="center"/>
              <w:rPr/>
            </w:pPr>
            <w:r>
              <w:rPr>
                <w:b/>
              </w:rPr>
              <w:t>Shares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549" w:type="dxa"/>
            <w:tcBorders>
              <w:bottom w:val="single" w:sz="6" w:space="0" w:color="000000"/>
            </w:tcBorders>
            <w:tcMar>
              <w:bottom w:w="28" w:type="dxa"/>
            </w:tcMar>
            <w:vAlign w:val="center"/>
          </w:tcPr>
          <w:p>
            <w:pPr>
              <w:pStyle w:val="TableContents"/>
              <w:bidi w:val="0"/>
              <w:spacing w:before="0" w:after="283"/>
              <w:jc w:val="center"/>
              <w:rPr/>
            </w:pPr>
            <w:r>
              <w:rPr>
                <w:b/>
              </w:rPr>
              <w:t>Weighted-</w:t>
              <w:br/>
              <w:t xml:space="preserve">Average </w:t>
              <w:br/>
              <w:t>Exercise Price</w:t>
            </w:r>
            <w:r>
              <w:rPr/>
              <w:t xml:space="preserve"> </w:t>
            </w:r>
          </w:p>
        </w:tc>
        <w:tc>
          <w:tcPr>
            <w:tcW w:w="136" w:type="dxa"/>
            <w:tcBorders/>
            <w:vAlign w:val="center"/>
          </w:tcPr>
          <w:p>
            <w:pPr>
              <w:pStyle w:val="TableContents"/>
              <w:bidi w:val="0"/>
              <w:spacing w:before="0" w:after="283"/>
              <w:jc w:val="center"/>
              <w:rPr/>
            </w:pPr>
            <w:r>
              <w:rPr/>
              <w:t> </w:t>
            </w:r>
          </w:p>
        </w:tc>
      </w:tr>
      <w:tr>
        <w:trPr/>
        <w:tc>
          <w:tcPr>
            <w:tcW w:w="6885" w:type="dxa"/>
            <w:tcBorders/>
            <w:shd w:fill="CCEEFF" w:val="clear"/>
            <w:vAlign w:val="center"/>
          </w:tcPr>
          <w:p>
            <w:pPr>
              <w:pStyle w:val="TableContents"/>
              <w:bidi w:val="0"/>
              <w:spacing w:before="0" w:after="0"/>
              <w:ind w:left="0" w:right="0" w:hanging="144"/>
              <w:jc w:val="left"/>
              <w:rPr/>
            </w:pPr>
            <w:r>
              <w:rPr/>
              <w:t xml:space="preserve">Options outstanding, vested and expected to vest at December 31, 2025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before="0" w:after="283"/>
              <w:jc w:val="right"/>
              <w:rPr/>
            </w:pPr>
            <w:r>
              <w:rPr/>
              <w:t>4,682,783</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w:t>
            </w:r>
          </w:p>
        </w:tc>
        <w:tc>
          <w:tcPr>
            <w:tcW w:w="1549" w:type="dxa"/>
            <w:tcBorders/>
            <w:shd w:fill="CCEEFF" w:val="clear"/>
            <w:vAlign w:val="center"/>
          </w:tcPr>
          <w:p>
            <w:pPr>
              <w:pStyle w:val="TableContents"/>
              <w:bidi w:val="0"/>
              <w:spacing w:before="0" w:after="283"/>
              <w:jc w:val="right"/>
              <w:rPr/>
            </w:pPr>
            <w:r>
              <w:rPr/>
              <w:t>6.13</w:t>
            </w:r>
          </w:p>
        </w:tc>
        <w:tc>
          <w:tcPr>
            <w:tcW w:w="136" w:type="dxa"/>
            <w:tcBorders/>
            <w:shd w:fill="CCEEFF" w:val="clear"/>
            <w:vAlign w:val="center"/>
          </w:tcPr>
          <w:p>
            <w:pPr>
              <w:pStyle w:val="TableContents"/>
              <w:bidi w:val="0"/>
              <w:spacing w:before="0" w:after="283"/>
              <w:jc w:val="left"/>
              <w:rPr/>
            </w:pPr>
            <w:r>
              <w:rPr/>
              <w:t> </w:t>
            </w:r>
          </w:p>
        </w:tc>
      </w:tr>
      <w:tr>
        <w:trPr/>
        <w:tc>
          <w:tcPr>
            <w:tcW w:w="6885" w:type="dxa"/>
            <w:tcBorders/>
            <w:vAlign w:val="center"/>
          </w:tcPr>
          <w:p>
            <w:pPr>
              <w:pStyle w:val="TableContents"/>
              <w:bidi w:val="0"/>
              <w:spacing w:before="0" w:after="0"/>
              <w:ind w:left="0" w:right="0" w:hanging="144"/>
              <w:jc w:val="left"/>
              <w:rPr/>
            </w:pPr>
            <w:r>
              <w:rPr/>
              <w:t xml:space="preserve">Forfeited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right"/>
              <w:rPr/>
            </w:pPr>
            <w:r>
              <w:rPr/>
              <w:t>(117,629</w:t>
            </w:r>
          </w:p>
        </w:tc>
        <w:tc>
          <w:tcPr>
            <w:tcW w:w="18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w:t>
            </w:r>
          </w:p>
        </w:tc>
        <w:tc>
          <w:tcPr>
            <w:tcW w:w="1549" w:type="dxa"/>
            <w:tcBorders/>
            <w:vAlign w:val="center"/>
          </w:tcPr>
          <w:p>
            <w:pPr>
              <w:pStyle w:val="TableContents"/>
              <w:bidi w:val="0"/>
              <w:spacing w:before="0" w:after="283"/>
              <w:jc w:val="right"/>
              <w:rPr/>
            </w:pPr>
            <w:r>
              <w:rPr/>
              <w:t>14.85</w:t>
            </w:r>
          </w:p>
        </w:tc>
        <w:tc>
          <w:tcPr>
            <w:tcW w:w="136" w:type="dxa"/>
            <w:tcBorders/>
            <w:vAlign w:val="center"/>
          </w:tcPr>
          <w:p>
            <w:pPr>
              <w:pStyle w:val="TableContents"/>
              <w:bidi w:val="0"/>
              <w:spacing w:before="0" w:after="283"/>
              <w:jc w:val="left"/>
              <w:rPr/>
            </w:pPr>
            <w:r>
              <w:rPr/>
              <w:t> </w:t>
            </w:r>
          </w:p>
        </w:tc>
      </w:tr>
      <w:tr>
        <w:trPr/>
        <w:tc>
          <w:tcPr>
            <w:tcW w:w="6885" w:type="dxa"/>
            <w:tcBorders/>
            <w:shd w:fill="CCEEFF" w:val="clear"/>
            <w:vAlign w:val="center"/>
          </w:tcPr>
          <w:p>
            <w:pPr>
              <w:pStyle w:val="TableContents"/>
              <w:bidi w:val="0"/>
              <w:spacing w:before="0" w:after="0"/>
              <w:ind w:left="0" w:right="0" w:hanging="144"/>
              <w:jc w:val="left"/>
              <w:rPr/>
            </w:pPr>
            <w:r>
              <w:rPr/>
              <w:t xml:space="preserve">Expired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w:t>
            </w:r>
          </w:p>
        </w:tc>
        <w:tc>
          <w:tcPr>
            <w:tcW w:w="1549" w:type="dxa"/>
            <w:tcBorders/>
            <w:shd w:fill="CCEEFF" w:val="clear"/>
            <w:vAlign w:val="center"/>
          </w:tcPr>
          <w:p>
            <w:pPr>
              <w:pStyle w:val="TableContents"/>
              <w:bidi w:val="0"/>
              <w:spacing w:before="0" w:after="283"/>
              <w:jc w:val="right"/>
              <w:rPr/>
            </w:pPr>
            <w:r>
              <w:rPr/>
              <w:t xml:space="preserve">- </w:t>
            </w:r>
          </w:p>
        </w:tc>
        <w:tc>
          <w:tcPr>
            <w:tcW w:w="136" w:type="dxa"/>
            <w:tcBorders/>
            <w:shd w:fill="CCEEFF" w:val="clear"/>
            <w:vAlign w:val="center"/>
          </w:tcPr>
          <w:p>
            <w:pPr>
              <w:pStyle w:val="TableContents"/>
              <w:bidi w:val="0"/>
              <w:spacing w:before="0" w:after="283"/>
              <w:jc w:val="left"/>
              <w:rPr/>
            </w:pPr>
            <w:r>
              <w:rPr/>
              <w:t> </w:t>
            </w:r>
          </w:p>
        </w:tc>
      </w:tr>
      <w:tr>
        <w:trPr/>
        <w:tc>
          <w:tcPr>
            <w:tcW w:w="6885" w:type="dxa"/>
            <w:tcBorders/>
            <w:vAlign w:val="center"/>
          </w:tcPr>
          <w:p>
            <w:pPr>
              <w:pStyle w:val="TableContents"/>
              <w:bidi w:val="0"/>
              <w:spacing w:before="0" w:after="0"/>
              <w:ind w:left="0" w:right="0" w:hanging="144"/>
              <w:jc w:val="left"/>
              <w:rPr/>
            </w:pPr>
            <w:r>
              <w:rPr/>
              <w:t xml:space="preserve">Granted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695,321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w:t>
            </w:r>
          </w:p>
        </w:tc>
        <w:tc>
          <w:tcPr>
            <w:tcW w:w="1549" w:type="dxa"/>
            <w:tcBorders/>
            <w:vAlign w:val="center"/>
          </w:tcPr>
          <w:p>
            <w:pPr>
              <w:pStyle w:val="TableContents"/>
              <w:bidi w:val="0"/>
              <w:spacing w:before="0" w:after="283"/>
              <w:jc w:val="right"/>
              <w:rPr/>
            </w:pPr>
            <w:r>
              <w:rPr/>
              <w:t>16.37</w:t>
            </w:r>
          </w:p>
        </w:tc>
        <w:tc>
          <w:tcPr>
            <w:tcW w:w="136" w:type="dxa"/>
            <w:tcBorders/>
            <w:vAlign w:val="center"/>
          </w:tcPr>
          <w:p>
            <w:pPr>
              <w:pStyle w:val="TableContents"/>
              <w:bidi w:val="0"/>
              <w:spacing w:before="0" w:after="283"/>
              <w:jc w:val="left"/>
              <w:rPr/>
            </w:pPr>
            <w:r>
              <w:rPr/>
              <w:t> </w:t>
            </w:r>
          </w:p>
        </w:tc>
      </w:tr>
      <w:tr>
        <w:trPr/>
        <w:tc>
          <w:tcPr>
            <w:tcW w:w="6885" w:type="dxa"/>
            <w:tcBorders/>
            <w:shd w:fill="CCEEFF" w:val="clear"/>
            <w:vAlign w:val="center"/>
          </w:tcPr>
          <w:p>
            <w:pPr>
              <w:pStyle w:val="TableContents"/>
              <w:bidi w:val="0"/>
              <w:spacing w:before="0" w:after="0"/>
              <w:ind w:left="0" w:right="0" w:hanging="144"/>
              <w:jc w:val="left"/>
              <w:rPr/>
            </w:pPr>
            <w:r>
              <w:rPr/>
              <w:t xml:space="preserve">Exercised </w:t>
            </w:r>
          </w:p>
        </w:tc>
        <w:tc>
          <w:tcPr>
            <w:tcW w:w="90" w:type="dxa"/>
            <w:tcBorders/>
            <w:shd w:fill="CCEEFF" w:val="clear"/>
            <w:vAlign w:val="center"/>
          </w:tcPr>
          <w:p>
            <w:pPr>
              <w:pStyle w:val="TableContents"/>
              <w:bidi w:val="0"/>
              <w:spacing w:before="0" w:after="283"/>
              <w:jc w:val="center"/>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CCEEFF" w:val="clear"/>
            <w:tcMar>
              <w:bottom w:w="28" w:type="dxa"/>
            </w:tcMar>
            <w:vAlign w:val="center"/>
          </w:tcPr>
          <w:p>
            <w:pPr>
              <w:pStyle w:val="TableContents"/>
              <w:bidi w:val="0"/>
              <w:spacing w:before="0" w:after="283"/>
              <w:jc w:val="right"/>
              <w:rPr/>
            </w:pPr>
            <w:r>
              <w:rPr/>
              <w:t>(209,290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w:t>
            </w:r>
          </w:p>
        </w:tc>
        <w:tc>
          <w:tcPr>
            <w:tcW w:w="1549" w:type="dxa"/>
            <w:tcBorders/>
            <w:shd w:fill="CCEEFF" w:val="clear"/>
            <w:vAlign w:val="center"/>
          </w:tcPr>
          <w:p>
            <w:pPr>
              <w:pStyle w:val="TableContents"/>
              <w:bidi w:val="0"/>
              <w:spacing w:before="0" w:after="283"/>
              <w:jc w:val="right"/>
              <w:rPr/>
            </w:pPr>
            <w:r>
              <w:rPr/>
              <w:t>3.25</w:t>
            </w:r>
          </w:p>
        </w:tc>
        <w:tc>
          <w:tcPr>
            <w:tcW w:w="136" w:type="dxa"/>
            <w:tcBorders/>
            <w:shd w:fill="CCEEFF" w:val="clear"/>
            <w:vAlign w:val="center"/>
          </w:tcPr>
          <w:p>
            <w:pPr>
              <w:pStyle w:val="TableContents"/>
              <w:bidi w:val="0"/>
              <w:spacing w:before="0" w:after="283"/>
              <w:jc w:val="left"/>
              <w:rPr/>
            </w:pPr>
            <w:r>
              <w:rPr/>
              <w:t> </w:t>
            </w:r>
          </w:p>
        </w:tc>
      </w:tr>
      <w:tr>
        <w:trPr/>
        <w:tc>
          <w:tcPr>
            <w:tcW w:w="6885" w:type="dxa"/>
            <w:tcBorders/>
            <w:vAlign w:val="center"/>
          </w:tcPr>
          <w:p>
            <w:pPr>
              <w:pStyle w:val="TableContents"/>
              <w:bidi w:val="0"/>
              <w:spacing w:before="0" w:after="0"/>
              <w:ind w:left="0" w:right="0" w:hanging="144"/>
              <w:jc w:val="left"/>
              <w:rPr/>
            </w:pPr>
            <w:r>
              <w:rPr/>
              <w:t xml:space="preserve">Options outstanding, vested and expected to vest at June 30, 2026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5,051,185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w:t>
            </w:r>
          </w:p>
        </w:tc>
        <w:tc>
          <w:tcPr>
            <w:tcW w:w="1549" w:type="dxa"/>
            <w:tcBorders/>
            <w:vAlign w:val="center"/>
          </w:tcPr>
          <w:p>
            <w:pPr>
              <w:pStyle w:val="TableContents"/>
              <w:bidi w:val="0"/>
              <w:spacing w:before="0" w:after="283"/>
              <w:jc w:val="right"/>
              <w:rPr/>
            </w:pPr>
            <w:r>
              <w:rPr/>
              <w:t>7.46</w:t>
            </w:r>
          </w:p>
        </w:tc>
        <w:tc>
          <w:tcPr>
            <w:tcW w:w="136" w:type="dxa"/>
            <w:tcBorders/>
            <w:vAlign w:val="center"/>
          </w:tcPr>
          <w:p>
            <w:pPr>
              <w:pStyle w:val="TableContents"/>
              <w:bidi w:val="0"/>
              <w:spacing w:before="0" w:after="283"/>
              <w:jc w:val="left"/>
              <w:rPr/>
            </w:pPr>
            <w:r>
              <w:rPr/>
              <w:t> </w:t>
            </w:r>
          </w:p>
        </w:tc>
      </w:tr>
      <w:tr>
        <w:trPr/>
        <w:tc>
          <w:tcPr>
            <w:tcW w:w="68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1010" w:type="dxa"/>
            <w:tcBorders/>
            <w:shd w:fill="CCEEFF" w:val="clear"/>
            <w:vAlign w:val="center"/>
          </w:tcPr>
          <w:p>
            <w:pPr>
              <w:pStyle w:val="TableContents"/>
              <w:bidi w:val="0"/>
              <w:spacing w:before="0" w:after="283"/>
              <w:jc w:val="center"/>
              <w:rPr/>
            </w:pPr>
            <w:r>
              <w:rPr/>
              <w:t> </w:t>
            </w:r>
          </w:p>
        </w:tc>
        <w:tc>
          <w:tcPr>
            <w:tcW w:w="18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center"/>
              <w:rPr/>
            </w:pPr>
            <w:r>
              <w:rPr/>
              <w:t> </w:t>
            </w:r>
          </w:p>
        </w:tc>
        <w:tc>
          <w:tcPr>
            <w:tcW w:w="1549" w:type="dxa"/>
            <w:tcBorders/>
            <w:shd w:fill="CCEEFF" w:val="clear"/>
            <w:vAlign w:val="center"/>
          </w:tcPr>
          <w:p>
            <w:pPr>
              <w:pStyle w:val="TableContents"/>
              <w:bidi w:val="0"/>
              <w:spacing w:before="0" w:after="283"/>
              <w:jc w:val="center"/>
              <w:rPr/>
            </w:pPr>
            <w:r>
              <w:rPr/>
              <w:t> </w:t>
            </w:r>
          </w:p>
        </w:tc>
        <w:tc>
          <w:tcPr>
            <w:tcW w:w="136" w:type="dxa"/>
            <w:tcBorders/>
            <w:shd w:fill="CCEEFF" w:val="clear"/>
            <w:vAlign w:val="center"/>
          </w:tcPr>
          <w:p>
            <w:pPr>
              <w:pStyle w:val="TableContents"/>
              <w:bidi w:val="0"/>
              <w:spacing w:before="0" w:after="283"/>
              <w:jc w:val="center"/>
              <w:rPr/>
            </w:pPr>
            <w:r>
              <w:rPr/>
              <w:t> </w:t>
            </w:r>
          </w:p>
        </w:tc>
      </w:tr>
      <w:tr>
        <w:trPr/>
        <w:tc>
          <w:tcPr>
            <w:tcW w:w="6885" w:type="dxa"/>
            <w:tcBorders/>
            <w:vAlign w:val="center"/>
          </w:tcPr>
          <w:p>
            <w:pPr>
              <w:pStyle w:val="TableContents"/>
              <w:bidi w:val="0"/>
              <w:spacing w:before="0" w:after="0"/>
              <w:ind w:left="0" w:right="0" w:hanging="144"/>
              <w:jc w:val="left"/>
              <w:rPr/>
            </w:pPr>
            <w:r>
              <w:rPr/>
              <w:t xml:space="preserve">Options exercisable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3,250,165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w:t>
            </w:r>
          </w:p>
        </w:tc>
        <w:tc>
          <w:tcPr>
            <w:tcW w:w="1549" w:type="dxa"/>
            <w:tcBorders/>
            <w:vAlign w:val="center"/>
          </w:tcPr>
          <w:p>
            <w:pPr>
              <w:pStyle w:val="TableContents"/>
              <w:bidi w:val="0"/>
              <w:spacing w:before="0" w:after="283"/>
              <w:jc w:val="right"/>
              <w:rPr/>
            </w:pPr>
            <w:r>
              <w:rPr/>
              <w:t>4.97</w:t>
            </w:r>
          </w:p>
        </w:tc>
        <w:tc>
          <w:tcPr>
            <w:tcW w:w="136" w:type="dxa"/>
            <w:tcBorders/>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ind w:left="0" w:right="0" w:firstLine="720"/>
        <w:jc w:val="both"/>
        <w:rPr>
          <w:rFonts w:ascii="Times New Roman" w:hAnsi="Times New Roman"/>
          <w:sz w:val="22"/>
        </w:rPr>
      </w:pPr>
      <w:r>
        <w:rPr>
          <w:rFonts w:ascii="Times New Roman" w:hAnsi="Times New Roman"/>
          <w:sz w:val="20"/>
        </w:rPr>
        <w:t>As of June 30, 2026, the Company had $13.7</w:t>
      </w:r>
      <w:r>
        <w:rPr>
          <w:rFonts w:ascii="Times New Roman" w:hAnsi="Times New Roman"/>
          <w:sz w:val="22"/>
        </w:rPr>
        <w:t xml:space="preserve"> </w:t>
      </w:r>
      <w:r>
        <w:rPr>
          <w:rFonts w:ascii="Times New Roman" w:hAnsi="Times New Roman"/>
          <w:sz w:val="20"/>
        </w:rPr>
        <w:t>million of unrecognized compensation expense related to stock options granted under the Company’s equity incentive plans, which is expected to be recognized over a weighted-average period of 2.8 years.</w:t>
      </w:r>
    </w:p>
    <w:p>
      <w:pPr>
        <w:pStyle w:val="TextBody"/>
        <w:bidi w:val="0"/>
        <w:spacing w:before="0" w:after="0"/>
        <w:ind w:left="0" w:right="0" w:firstLine="720"/>
        <w:jc w:val="both"/>
        <w:rPr/>
      </w:pPr>
      <w:r>
        <w:rPr/>
        <w:t> </w:t>
      </w:r>
    </w:p>
    <w:p>
      <w:pPr>
        <w:pStyle w:val="TextBody"/>
        <w:bidi w:val="0"/>
        <w:spacing w:before="0" w:after="0"/>
        <w:jc w:val="left"/>
        <w:rPr>
          <w:rFonts w:ascii="Times New Roman" w:hAnsi="Times New Roman"/>
          <w:sz w:val="20"/>
        </w:rPr>
      </w:pPr>
      <w:r>
        <w:rPr>
          <w:rFonts w:ascii="Times New Roman" w:hAnsi="Times New Roman"/>
          <w:i/>
          <w:sz w:val="20"/>
        </w:rPr>
        <w:t>Restricted Stock Units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grants RSUs to certain employees and consultants of the Company and to members of its Board. The RSUs generally vest annually over a period of four years for employees and consultants, and in two installments over a period of one year for directors.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 summary of the Company’s RSU activity and related information is as follows: </w:t>
      </w:r>
    </w:p>
    <w:p>
      <w:pPr>
        <w:pStyle w:val="TextBody"/>
        <w:bidi w:val="0"/>
        <w:spacing w:before="0" w:after="0"/>
        <w:jc w:val="both"/>
        <w:rPr/>
      </w:pPr>
      <w:r>
        <w:rPr/>
        <w:t xml:space="preserve">  </w:t>
      </w:r>
    </w:p>
    <w:tbl>
      <w:tblPr>
        <w:tblW w:w="6640" w:type="dxa"/>
        <w:jc w:val="left"/>
        <w:tblInd w:w="0" w:type="dxa"/>
        <w:tblLayout w:type="fixed"/>
        <w:tblCellMar>
          <w:top w:w="0" w:type="dxa"/>
          <w:left w:w="0" w:type="dxa"/>
          <w:bottom w:w="0" w:type="dxa"/>
          <w:right w:w="0" w:type="dxa"/>
        </w:tblCellMar>
      </w:tblPr>
      <w:tblGrid>
        <w:gridCol w:w="3050"/>
        <w:gridCol w:w="90"/>
        <w:gridCol w:w="90"/>
        <w:gridCol w:w="1085"/>
        <w:gridCol w:w="185"/>
        <w:gridCol w:w="90"/>
        <w:gridCol w:w="170"/>
        <w:gridCol w:w="1745"/>
        <w:gridCol w:w="135"/>
      </w:tblGrid>
      <w:tr>
        <w:trPr/>
        <w:tc>
          <w:tcPr>
            <w:tcW w:w="30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85" w:type="dxa"/>
            <w:tcBorders>
              <w:bottom w:val="single" w:sz="6" w:space="0" w:color="000000"/>
            </w:tcBorders>
            <w:tcMar>
              <w:bottom w:w="28" w:type="dxa"/>
            </w:tcMar>
            <w:vAlign w:val="center"/>
          </w:tcPr>
          <w:p>
            <w:pPr>
              <w:pStyle w:val="TableContents"/>
              <w:bidi w:val="0"/>
              <w:spacing w:before="0" w:after="283"/>
              <w:jc w:val="center"/>
              <w:rPr/>
            </w:pPr>
            <w:r>
              <w:rPr>
                <w:b/>
              </w:rPr>
              <w:t>Shares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745" w:type="dxa"/>
            <w:tcBorders>
              <w:bottom w:val="single" w:sz="6" w:space="0" w:color="000000"/>
            </w:tcBorders>
            <w:tcMar>
              <w:bottom w:w="28" w:type="dxa"/>
            </w:tcMar>
            <w:vAlign w:val="center"/>
          </w:tcPr>
          <w:p>
            <w:pPr>
              <w:pStyle w:val="TableContents"/>
              <w:bidi w:val="0"/>
              <w:spacing w:before="0" w:after="283"/>
              <w:jc w:val="center"/>
              <w:rPr/>
            </w:pPr>
            <w:r>
              <w:rPr>
                <w:b/>
              </w:rPr>
              <w:t>Weighted-</w:t>
              <w:br/>
              <w:t xml:space="preserve">Average Grant </w:t>
              <w:br/>
              <w:t>Date Fair Value</w:t>
            </w:r>
            <w:r>
              <w:rPr/>
              <w:t xml:space="preserve"> </w:t>
            </w:r>
          </w:p>
        </w:tc>
        <w:tc>
          <w:tcPr>
            <w:tcW w:w="135" w:type="dxa"/>
            <w:tcBorders/>
            <w:vAlign w:val="center"/>
          </w:tcPr>
          <w:p>
            <w:pPr>
              <w:pStyle w:val="TableContents"/>
              <w:bidi w:val="0"/>
              <w:spacing w:before="0" w:after="283"/>
              <w:jc w:val="center"/>
              <w:rPr/>
            </w:pPr>
            <w:r>
              <w:rPr/>
              <w:t> </w:t>
            </w:r>
          </w:p>
        </w:tc>
      </w:tr>
      <w:tr>
        <w:trPr/>
        <w:tc>
          <w:tcPr>
            <w:tcW w:w="3050" w:type="dxa"/>
            <w:tcBorders/>
            <w:shd w:fill="CCEEFF" w:val="clear"/>
            <w:vAlign w:val="center"/>
          </w:tcPr>
          <w:p>
            <w:pPr>
              <w:pStyle w:val="TableContents"/>
              <w:bidi w:val="0"/>
              <w:spacing w:before="0" w:after="0"/>
              <w:ind w:left="0" w:right="0" w:hanging="144"/>
              <w:jc w:val="left"/>
              <w:rPr/>
            </w:pPr>
            <w:r>
              <w:rPr/>
              <w:t xml:space="preserve">Balance at December 31, 2025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5,144,503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w:t>
            </w:r>
          </w:p>
        </w:tc>
        <w:tc>
          <w:tcPr>
            <w:tcW w:w="1745" w:type="dxa"/>
            <w:tcBorders/>
            <w:shd w:fill="CCEEFF" w:val="clear"/>
            <w:vAlign w:val="center"/>
          </w:tcPr>
          <w:p>
            <w:pPr>
              <w:pStyle w:val="TableContents"/>
              <w:bidi w:val="0"/>
              <w:spacing w:before="0" w:after="283"/>
              <w:jc w:val="right"/>
              <w:rPr/>
            </w:pPr>
            <w:r>
              <w:rPr/>
              <w:t>9.31</w:t>
            </w:r>
          </w:p>
        </w:tc>
        <w:tc>
          <w:tcPr>
            <w:tcW w:w="135"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ind w:left="0" w:right="0" w:hanging="144"/>
              <w:jc w:val="left"/>
              <w:rPr/>
            </w:pPr>
            <w:r>
              <w:rPr/>
              <w:t xml:space="preserve">Granted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1,297,884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283"/>
              <w:jc w:val="right"/>
              <w:rPr/>
            </w:pPr>
            <w:r>
              <w:rPr/>
              <w:t>15.66</w:t>
            </w:r>
          </w:p>
        </w:tc>
        <w:tc>
          <w:tcPr>
            <w:tcW w:w="13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144"/>
              <w:jc w:val="left"/>
              <w:rPr/>
            </w:pPr>
            <w:r>
              <w:rPr/>
              <w:t xml:space="preserve">Vested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(1,694,229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w:t>
            </w:r>
          </w:p>
        </w:tc>
        <w:tc>
          <w:tcPr>
            <w:tcW w:w="1745" w:type="dxa"/>
            <w:tcBorders/>
            <w:shd w:fill="CCEEFF" w:val="clear"/>
            <w:vAlign w:val="center"/>
          </w:tcPr>
          <w:p>
            <w:pPr>
              <w:pStyle w:val="TableContents"/>
              <w:bidi w:val="0"/>
              <w:spacing w:before="0" w:after="283"/>
              <w:jc w:val="right"/>
              <w:rPr/>
            </w:pPr>
            <w:r>
              <w:rPr/>
              <w:t>7.22</w:t>
            </w:r>
          </w:p>
        </w:tc>
        <w:tc>
          <w:tcPr>
            <w:tcW w:w="135"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ind w:left="0" w:right="0" w:hanging="144"/>
              <w:jc w:val="left"/>
              <w:rPr/>
            </w:pPr>
            <w:r>
              <w:rPr/>
              <w:t xml:space="preserve">Forfeited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085" w:type="dxa"/>
            <w:tcBorders>
              <w:bottom w:val="single" w:sz="6" w:space="0" w:color="000000"/>
            </w:tcBorders>
            <w:tcMar>
              <w:bottom w:w="28" w:type="dxa"/>
            </w:tcMar>
            <w:vAlign w:val="center"/>
          </w:tcPr>
          <w:p>
            <w:pPr>
              <w:pStyle w:val="TableContents"/>
              <w:bidi w:val="0"/>
              <w:spacing w:before="0" w:after="283"/>
              <w:jc w:val="right"/>
              <w:rPr/>
            </w:pPr>
            <w:r>
              <w:rPr/>
              <w:t>(206,487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283"/>
              <w:jc w:val="right"/>
              <w:rPr/>
            </w:pPr>
            <w:r>
              <w:rPr/>
              <w:t>12.09</w:t>
            </w:r>
          </w:p>
        </w:tc>
        <w:tc>
          <w:tcPr>
            <w:tcW w:w="13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144"/>
              <w:jc w:val="left"/>
              <w:rPr/>
            </w:pPr>
            <w:r>
              <w:rPr/>
              <w:t xml:space="preserve">Balance at June 30, 2026 </w:t>
            </w:r>
          </w:p>
        </w:tc>
        <w:tc>
          <w:tcPr>
            <w:tcW w:w="90" w:type="dxa"/>
            <w:tcBorders/>
            <w:shd w:fill="CCEEFF" w:val="clear"/>
            <w:vAlign w:val="center"/>
          </w:tcPr>
          <w:p>
            <w:pPr>
              <w:pStyle w:val="TableContents"/>
              <w:bidi w:val="0"/>
              <w:spacing w:before="0" w:after="283"/>
              <w:jc w:val="center"/>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6" w:space="0" w:color="000000"/>
            </w:tcBorders>
            <w:shd w:fill="CCEEFF" w:val="clear"/>
            <w:tcMar>
              <w:bottom w:w="28" w:type="dxa"/>
            </w:tcMar>
            <w:vAlign w:val="center"/>
          </w:tcPr>
          <w:p>
            <w:pPr>
              <w:pStyle w:val="TableContents"/>
              <w:bidi w:val="0"/>
              <w:spacing w:before="0" w:after="283"/>
              <w:jc w:val="right"/>
              <w:rPr/>
            </w:pPr>
            <w:r>
              <w:rPr/>
              <w:t>4,541,671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w:t>
            </w:r>
          </w:p>
        </w:tc>
        <w:tc>
          <w:tcPr>
            <w:tcW w:w="1745" w:type="dxa"/>
            <w:tcBorders/>
            <w:shd w:fill="CCEEFF" w:val="clear"/>
            <w:vAlign w:val="center"/>
          </w:tcPr>
          <w:p>
            <w:pPr>
              <w:pStyle w:val="TableContents"/>
              <w:bidi w:val="0"/>
              <w:spacing w:before="0" w:after="283"/>
              <w:jc w:val="right"/>
              <w:rPr/>
            </w:pPr>
            <w:r>
              <w:rPr/>
              <w:t>11.77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of June 30, 2026, the Company had $46.0 million of unrecognized compensation expense related to unvested RSUs granted under the Company’s equity incentive plans, which is expected to be recognized over a weighted-average period of 2.8 years. </w:t>
      </w:r>
    </w:p>
    <w:p>
      <w:pPr>
        <w:pStyle w:val="TextBody"/>
        <w:bidi w:val="0"/>
        <w:spacing w:before="0" w:after="0"/>
        <w:ind w:left="180" w:right="0" w:hanging="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Total stock-based compensation expense for all awards granted under the Company’s equity incentive plans for the three and six months ended June 30, 2026 and 2025 was as follows: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3702"/>
        <w:gridCol w:w="90"/>
        <w:gridCol w:w="170"/>
        <w:gridCol w:w="1169"/>
        <w:gridCol w:w="178"/>
        <w:gridCol w:w="178"/>
        <w:gridCol w:w="337"/>
        <w:gridCol w:w="1169"/>
        <w:gridCol w:w="90"/>
        <w:gridCol w:w="90"/>
        <w:gridCol w:w="170"/>
        <w:gridCol w:w="1172"/>
        <w:gridCol w:w="148"/>
        <w:gridCol w:w="148"/>
        <w:gridCol w:w="280"/>
        <w:gridCol w:w="974"/>
        <w:gridCol w:w="140"/>
      </w:tblGrid>
      <w:tr>
        <w:trPr/>
        <w:tc>
          <w:tcPr>
            <w:tcW w:w="37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3031" w:type="dxa"/>
            <w:gridSpan w:val="5"/>
            <w:tcBorders>
              <w:bottom w:val="single" w:sz="6" w:space="0" w:color="000000"/>
            </w:tcBorders>
            <w:tcMar>
              <w:bottom w:w="28" w:type="dxa"/>
            </w:tcMar>
            <w:vAlign w:val="center"/>
          </w:tcPr>
          <w:p>
            <w:pPr>
              <w:pStyle w:val="TableContents"/>
              <w:bidi w:val="0"/>
              <w:spacing w:before="0" w:after="283"/>
              <w:jc w:val="center"/>
              <w:rPr/>
            </w:pPr>
            <w:r>
              <w:rPr>
                <w:b/>
                <w:spacing w:val="0"/>
              </w:rPr>
              <w:t>Three Months Ended June 30,</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2722" w:type="dxa"/>
            <w:gridSpan w:val="5"/>
            <w:tcBorders>
              <w:bottom w:val="single" w:sz="2" w:space="0" w:color="000000"/>
            </w:tcBorders>
            <w:tcMar>
              <w:bottom w:w="28" w:type="dxa"/>
            </w:tcMar>
            <w:vAlign w:val="center"/>
          </w:tcPr>
          <w:p>
            <w:pPr>
              <w:pStyle w:val="TableContents"/>
              <w:bidi w:val="0"/>
              <w:spacing w:before="0" w:after="283"/>
              <w:jc w:val="center"/>
              <w:rPr>
                <w:b/>
              </w:rPr>
            </w:pPr>
            <w:r>
              <w:rPr>
                <w:b/>
              </w:rPr>
              <w:t>Six Months Ended June 30,</w:t>
            </w:r>
          </w:p>
        </w:tc>
        <w:tc>
          <w:tcPr>
            <w:tcW w:w="140" w:type="dxa"/>
            <w:tcBorders/>
            <w:vAlign w:val="center"/>
          </w:tcPr>
          <w:p>
            <w:pPr>
              <w:pStyle w:val="TableContents"/>
              <w:bidi w:val="0"/>
              <w:spacing w:before="0" w:after="283"/>
              <w:jc w:val="center"/>
              <w:rPr/>
            </w:pPr>
            <w:r>
              <w:rPr/>
              <w:t> </w:t>
            </w:r>
          </w:p>
        </w:tc>
      </w:tr>
      <w:tr>
        <w:trPr/>
        <w:tc>
          <w:tcPr>
            <w:tcW w:w="3702" w:type="dxa"/>
            <w:tcBorders/>
            <w:vAlign w:val="center"/>
          </w:tcPr>
          <w:p>
            <w:pPr>
              <w:pStyle w:val="TableContents"/>
              <w:bidi w:val="0"/>
              <w:spacing w:before="0" w:after="0"/>
              <w:ind w:left="0" w:right="0" w:hanging="144"/>
              <w:jc w:val="left"/>
              <w:rPr/>
            </w:pPr>
            <w:r>
              <w:rPr>
                <w:i/>
              </w:rPr>
              <w:t>(in thousands)</w:t>
            </w:r>
            <w:r>
              <w:rPr/>
              <w:t xml:space="preserve">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69" w:type="dxa"/>
            <w:tcBorders>
              <w:bottom w:val="single" w:sz="6"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78" w:type="dxa"/>
            <w:tcBorders/>
            <w:vAlign w:val="center"/>
          </w:tcPr>
          <w:p>
            <w:pPr>
              <w:pStyle w:val="TableContents"/>
              <w:bidi w:val="0"/>
              <w:spacing w:before="0" w:after="283"/>
              <w:jc w:val="center"/>
              <w:rPr/>
            </w:pPr>
            <w:r>
              <w:rPr/>
              <w:t> </w:t>
            </w:r>
          </w:p>
        </w:tc>
        <w:tc>
          <w:tcPr>
            <w:tcW w:w="178" w:type="dxa"/>
            <w:tcBorders/>
            <w:vAlign w:val="center"/>
          </w:tcPr>
          <w:p>
            <w:pPr>
              <w:pStyle w:val="TableContents"/>
              <w:bidi w:val="0"/>
              <w:spacing w:before="0" w:after="283"/>
              <w:jc w:val="center"/>
              <w:rPr/>
            </w:pPr>
            <w:r>
              <w:rPr/>
              <w:t> </w:t>
            </w:r>
          </w:p>
        </w:tc>
        <w:tc>
          <w:tcPr>
            <w:tcW w:w="337"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69" w:type="dxa"/>
            <w:tcBorders>
              <w:bottom w:val="single" w:sz="6" w:space="0" w:color="000000"/>
            </w:tcBorders>
            <w:tcMar>
              <w:bottom w:w="28" w:type="dxa"/>
            </w:tcMar>
            <w:vAlign w:val="center"/>
          </w:tcPr>
          <w:p>
            <w:pPr>
              <w:pStyle w:val="TableContents"/>
              <w:bidi w:val="0"/>
              <w:spacing w:before="0" w:after="283"/>
              <w:jc w:val="center"/>
              <w:rPr/>
            </w:pPr>
            <w:r>
              <w:rPr>
                <w:b/>
              </w:rP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72" w:type="dxa"/>
            <w:tcBorders>
              <w:bottom w:val="single" w:sz="6"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48" w:type="dxa"/>
            <w:tcBorders/>
            <w:vAlign w:val="center"/>
          </w:tcPr>
          <w:p>
            <w:pPr>
              <w:pStyle w:val="TableContents"/>
              <w:bidi w:val="0"/>
              <w:spacing w:before="0" w:after="283"/>
              <w:jc w:val="center"/>
              <w:rPr/>
            </w:pPr>
            <w:r>
              <w:rPr/>
              <w:t> </w:t>
            </w:r>
          </w:p>
        </w:tc>
        <w:tc>
          <w:tcPr>
            <w:tcW w:w="148" w:type="dxa"/>
            <w:tcBorders/>
            <w:vAlign w:val="center"/>
          </w:tcPr>
          <w:p>
            <w:pPr>
              <w:pStyle w:val="TableContents"/>
              <w:bidi w:val="0"/>
              <w:spacing w:before="0" w:after="283"/>
              <w:jc w:val="center"/>
              <w:rPr/>
            </w:pPr>
            <w:r>
              <w:rPr/>
              <w:t> </w:t>
            </w:r>
          </w:p>
        </w:tc>
        <w:tc>
          <w:tcPr>
            <w:tcW w:w="28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74" w:type="dxa"/>
            <w:tcBorders>
              <w:bottom w:val="single" w:sz="6"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40" w:type="dxa"/>
            <w:tcBorders/>
            <w:vAlign w:val="center"/>
          </w:tcPr>
          <w:p>
            <w:pPr>
              <w:pStyle w:val="TableContents"/>
              <w:bidi w:val="0"/>
              <w:spacing w:before="0" w:after="283"/>
              <w:jc w:val="center"/>
              <w:rPr/>
            </w:pPr>
            <w:r>
              <w:rPr/>
              <w:t> </w:t>
            </w:r>
          </w:p>
        </w:tc>
      </w:tr>
      <w:tr>
        <w:trPr/>
        <w:tc>
          <w:tcPr>
            <w:tcW w:w="3702" w:type="dxa"/>
            <w:tcBorders/>
            <w:shd w:fill="CCEEFF" w:val="clear"/>
            <w:vAlign w:val="center"/>
          </w:tcPr>
          <w:p>
            <w:pPr>
              <w:pStyle w:val="TableContents"/>
              <w:bidi w:val="0"/>
              <w:spacing w:before="0" w:after="0"/>
              <w:ind w:left="0" w:right="0" w:hanging="144"/>
              <w:jc w:val="left"/>
              <w:rPr/>
            </w:pPr>
            <w:r>
              <w:rPr/>
              <w:t xml:space="preserve">Research and development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75</w:t>
            </w:r>
          </w:p>
        </w:tc>
        <w:tc>
          <w:tcPr>
            <w:tcW w:w="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right"/>
              <w:rPr/>
            </w:pPr>
            <w:r>
              <w:rPr/>
              <w:t> </w:t>
            </w:r>
          </w:p>
        </w:tc>
        <w:tc>
          <w:tcPr>
            <w:tcW w:w="337"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141</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right"/>
              <w:rPr/>
            </w:pPr>
            <w:r>
              <w:rPr/>
              <w:t> </w:t>
            </w:r>
          </w:p>
        </w:tc>
        <w:tc>
          <w:tcPr>
            <w:tcW w:w="280" w:type="dxa"/>
            <w:tcBorders/>
            <w:shd w:fill="CCEEFF" w:val="clear"/>
            <w:vAlign w:val="center"/>
          </w:tcPr>
          <w:p>
            <w:pPr>
              <w:pStyle w:val="TableContents"/>
              <w:bidi w:val="0"/>
              <w:spacing w:before="0" w:after="283"/>
              <w:jc w:val="left"/>
              <w:rPr/>
            </w:pPr>
            <w:r>
              <w:rPr/>
              <w:t>$</w:t>
            </w:r>
          </w:p>
        </w:tc>
        <w:tc>
          <w:tcPr>
            <w:tcW w:w="974" w:type="dxa"/>
            <w:tcBorders/>
            <w:shd w:fill="CCEEFF" w:val="clear"/>
            <w:vAlign w:val="center"/>
          </w:tcPr>
          <w:p>
            <w:pPr>
              <w:pStyle w:val="TableContents"/>
              <w:bidi w:val="0"/>
              <w:spacing w:before="0" w:after="283"/>
              <w:jc w:val="right"/>
              <w:rPr/>
            </w:pPr>
            <w:r>
              <w:rPr/>
              <w:t>90</w:t>
            </w:r>
          </w:p>
        </w:tc>
        <w:tc>
          <w:tcPr>
            <w:tcW w:w="140" w:type="dxa"/>
            <w:tcBorders/>
            <w:shd w:fill="CCEEFF" w:val="clear"/>
            <w:vAlign w:val="center"/>
          </w:tcPr>
          <w:p>
            <w:pPr>
              <w:pStyle w:val="TableContents"/>
              <w:bidi w:val="0"/>
              <w:spacing w:before="0" w:after="283"/>
              <w:jc w:val="left"/>
              <w:rPr/>
            </w:pPr>
            <w:r>
              <w:rPr/>
              <w:t> </w:t>
            </w:r>
          </w:p>
        </w:tc>
      </w:tr>
      <w:tr>
        <w:trPr/>
        <w:tc>
          <w:tcPr>
            <w:tcW w:w="3702" w:type="dxa"/>
            <w:tcBorders/>
            <w:vAlign w:val="center"/>
          </w:tcPr>
          <w:p>
            <w:pPr>
              <w:pStyle w:val="TableContents"/>
              <w:bidi w:val="0"/>
              <w:spacing w:before="0" w:after="0"/>
              <w:ind w:left="0" w:right="0" w:hanging="144"/>
              <w:jc w:val="left"/>
              <w:rPr/>
            </w:pPr>
            <w:r>
              <w:rPr/>
              <w:t xml:space="preserve">Plasma center operating expenses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143</w:t>
            </w:r>
          </w:p>
        </w:tc>
        <w:tc>
          <w:tcPr>
            <w:tcW w:w="178"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337"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266</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right"/>
              <w:rPr/>
            </w:pPr>
            <w:r>
              <w:rPr/>
              <w:t> </w:t>
            </w:r>
          </w:p>
        </w:tc>
        <w:tc>
          <w:tcPr>
            <w:tcW w:w="2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178</w:t>
            </w:r>
          </w:p>
        </w:tc>
        <w:tc>
          <w:tcPr>
            <w:tcW w:w="140" w:type="dxa"/>
            <w:tcBorders/>
            <w:vAlign w:val="center"/>
          </w:tcPr>
          <w:p>
            <w:pPr>
              <w:pStyle w:val="TableContents"/>
              <w:bidi w:val="0"/>
              <w:spacing w:before="0" w:after="283"/>
              <w:jc w:val="left"/>
              <w:rPr/>
            </w:pPr>
            <w:r>
              <w:rPr/>
              <w:t> </w:t>
            </w:r>
          </w:p>
        </w:tc>
      </w:tr>
      <w:tr>
        <w:trPr/>
        <w:tc>
          <w:tcPr>
            <w:tcW w:w="3702" w:type="dxa"/>
            <w:tcBorders/>
            <w:shd w:fill="CCEEFF" w:val="clear"/>
            <w:vAlign w:val="center"/>
          </w:tcPr>
          <w:p>
            <w:pPr>
              <w:pStyle w:val="TableContents"/>
              <w:bidi w:val="0"/>
              <w:spacing w:before="0" w:after="0"/>
              <w:ind w:left="0" w:right="0" w:hanging="144"/>
              <w:jc w:val="left"/>
              <w:rPr/>
            </w:pPr>
            <w:r>
              <w:rPr/>
              <w:t xml:space="preserve">Selling, general and administrative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4,837</w:t>
            </w:r>
          </w:p>
        </w:tc>
        <w:tc>
          <w:tcPr>
            <w:tcW w:w="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right"/>
              <w:rPr/>
            </w:pPr>
            <w:r>
              <w:rPr/>
              <w:t> </w:t>
            </w:r>
          </w:p>
        </w:tc>
        <w:tc>
          <w:tcPr>
            <w:tcW w:w="337"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3,955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9,987</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right"/>
              <w:rPr/>
            </w:pPr>
            <w:r>
              <w:rPr/>
              <w:t> </w:t>
            </w:r>
          </w:p>
        </w:tc>
        <w:tc>
          <w:tcPr>
            <w:tcW w:w="2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7,828</w:t>
            </w:r>
          </w:p>
        </w:tc>
        <w:tc>
          <w:tcPr>
            <w:tcW w:w="140" w:type="dxa"/>
            <w:tcBorders/>
            <w:shd w:fill="CCEEFF" w:val="clear"/>
            <w:vAlign w:val="center"/>
          </w:tcPr>
          <w:p>
            <w:pPr>
              <w:pStyle w:val="TableContents"/>
              <w:bidi w:val="0"/>
              <w:spacing w:before="0" w:after="283"/>
              <w:jc w:val="left"/>
              <w:rPr/>
            </w:pPr>
            <w:r>
              <w:rPr/>
              <w:t> </w:t>
            </w:r>
          </w:p>
        </w:tc>
      </w:tr>
      <w:tr>
        <w:trPr/>
        <w:tc>
          <w:tcPr>
            <w:tcW w:w="3702" w:type="dxa"/>
            <w:tcBorders/>
            <w:vAlign w:val="center"/>
          </w:tcPr>
          <w:p>
            <w:pPr>
              <w:pStyle w:val="TableContents"/>
              <w:bidi w:val="0"/>
              <w:spacing w:before="0" w:after="0"/>
              <w:ind w:left="0" w:right="0" w:hanging="144"/>
              <w:jc w:val="left"/>
              <w:rPr/>
            </w:pPr>
            <w:r>
              <w:rPr/>
              <w:t xml:space="preserve">Cost of product revenue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9" w:type="dxa"/>
            <w:tcBorders>
              <w:bottom w:val="single" w:sz="6" w:space="0" w:color="000000"/>
            </w:tcBorders>
            <w:tcMar>
              <w:bottom w:w="28" w:type="dxa"/>
            </w:tcMar>
            <w:vAlign w:val="center"/>
          </w:tcPr>
          <w:p>
            <w:pPr>
              <w:pStyle w:val="TableContents"/>
              <w:bidi w:val="0"/>
              <w:spacing w:before="0" w:after="283"/>
              <w:jc w:val="right"/>
              <w:rPr/>
            </w:pPr>
            <w:r>
              <w:rPr/>
              <w:t>1,080</w:t>
            </w:r>
          </w:p>
        </w:tc>
        <w:tc>
          <w:tcPr>
            <w:tcW w:w="178"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337" w:type="dxa"/>
            <w:tcBorders>
              <w:bottom w:val="single" w:sz="6" w:space="0" w:color="000000"/>
            </w:tcBorders>
            <w:tcMar>
              <w:bottom w:w="28" w:type="dxa"/>
            </w:tcMar>
            <w:vAlign w:val="center"/>
          </w:tcPr>
          <w:p>
            <w:pPr>
              <w:pStyle w:val="TableContents"/>
              <w:bidi w:val="0"/>
              <w:spacing w:before="0" w:after="283"/>
              <w:jc w:val="left"/>
              <w:rPr/>
            </w:pPr>
            <w:r>
              <w:rPr/>
              <w:t> </w:t>
            </w:r>
          </w:p>
        </w:tc>
        <w:tc>
          <w:tcPr>
            <w:tcW w:w="1169" w:type="dxa"/>
            <w:tcBorders>
              <w:bottom w:val="single" w:sz="6" w:space="0" w:color="000000"/>
            </w:tcBorders>
            <w:tcMar>
              <w:bottom w:w="28" w:type="dxa"/>
            </w:tcMar>
            <w:vAlign w:val="center"/>
          </w:tcPr>
          <w:p>
            <w:pPr>
              <w:pStyle w:val="TableContents"/>
              <w:bidi w:val="0"/>
              <w:spacing w:before="0" w:after="283"/>
              <w:jc w:val="right"/>
              <w:rPr/>
            </w:pPr>
            <w:r>
              <w:rPr/>
              <w:t>856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2" w:type="dxa"/>
            <w:tcBorders>
              <w:bottom w:val="single" w:sz="6" w:space="0" w:color="000000"/>
            </w:tcBorders>
            <w:tcMar>
              <w:bottom w:w="28" w:type="dxa"/>
            </w:tcMar>
            <w:vAlign w:val="center"/>
          </w:tcPr>
          <w:p>
            <w:pPr>
              <w:pStyle w:val="TableContents"/>
              <w:bidi w:val="0"/>
              <w:spacing w:before="0" w:after="283"/>
              <w:jc w:val="right"/>
              <w:rPr/>
            </w:pPr>
            <w:r>
              <w:rPr/>
              <w:t>2,070</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right"/>
              <w:rPr/>
            </w:pPr>
            <w:r>
              <w:rPr/>
              <w:t> </w:t>
            </w:r>
          </w:p>
        </w:tc>
        <w:tc>
          <w:tcPr>
            <w:tcW w:w="280" w:type="dxa"/>
            <w:tcBorders>
              <w:bottom w:val="single" w:sz="6" w:space="0" w:color="000000"/>
            </w:tcBorders>
            <w:tcMar>
              <w:bottom w:w="28" w:type="dxa"/>
            </w:tcMar>
            <w:vAlign w:val="center"/>
          </w:tcPr>
          <w:p>
            <w:pPr>
              <w:pStyle w:val="TableContents"/>
              <w:bidi w:val="0"/>
              <w:spacing w:before="0" w:after="283"/>
              <w:jc w:val="left"/>
              <w:rPr/>
            </w:pPr>
            <w:r>
              <w:rPr/>
              <w:t> </w:t>
            </w:r>
          </w:p>
        </w:tc>
        <w:tc>
          <w:tcPr>
            <w:tcW w:w="974" w:type="dxa"/>
            <w:tcBorders>
              <w:bottom w:val="single" w:sz="6" w:space="0" w:color="000000"/>
            </w:tcBorders>
            <w:tcMar>
              <w:bottom w:w="28" w:type="dxa"/>
            </w:tcMar>
            <w:vAlign w:val="center"/>
          </w:tcPr>
          <w:p>
            <w:pPr>
              <w:pStyle w:val="TableContents"/>
              <w:bidi w:val="0"/>
              <w:spacing w:before="0" w:after="283"/>
              <w:jc w:val="right"/>
              <w:rPr/>
            </w:pPr>
            <w:r>
              <w:rPr/>
              <w:t>1,491</w:t>
            </w:r>
          </w:p>
        </w:tc>
        <w:tc>
          <w:tcPr>
            <w:tcW w:w="140" w:type="dxa"/>
            <w:tcBorders/>
            <w:vAlign w:val="center"/>
          </w:tcPr>
          <w:p>
            <w:pPr>
              <w:pStyle w:val="TableContents"/>
              <w:bidi w:val="0"/>
              <w:spacing w:before="0" w:after="283"/>
              <w:jc w:val="left"/>
              <w:rPr/>
            </w:pPr>
            <w:r>
              <w:rPr/>
              <w:t> </w:t>
            </w:r>
          </w:p>
        </w:tc>
      </w:tr>
      <w:tr>
        <w:trPr/>
        <w:tc>
          <w:tcPr>
            <w:tcW w:w="3702" w:type="dxa"/>
            <w:tcBorders/>
            <w:shd w:fill="CCEEFF" w:val="clear"/>
            <w:vAlign w:val="center"/>
          </w:tcPr>
          <w:p>
            <w:pPr>
              <w:pStyle w:val="TableContents"/>
              <w:bidi w:val="0"/>
              <w:spacing w:before="0" w:after="0"/>
              <w:jc w:val="left"/>
              <w:rPr/>
            </w:pPr>
            <w:r>
              <w:rPr/>
              <w:t xml:space="preserve">Total stock-based compensation expense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single" w:sz="6" w:space="0" w:color="000000"/>
            </w:tcBorders>
            <w:shd w:fill="CCEEFF" w:val="clear"/>
            <w:tcMar>
              <w:bottom w:w="28" w:type="dxa"/>
            </w:tcMar>
            <w:vAlign w:val="center"/>
          </w:tcPr>
          <w:p>
            <w:pPr>
              <w:pStyle w:val="TableContents"/>
              <w:bidi w:val="0"/>
              <w:spacing w:before="0" w:after="283"/>
              <w:jc w:val="right"/>
              <w:rPr/>
            </w:pPr>
            <w:r>
              <w:rPr/>
              <w:t>6,135</w:t>
            </w:r>
          </w:p>
        </w:tc>
        <w:tc>
          <w:tcPr>
            <w:tcW w:w="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right"/>
              <w:rPr/>
            </w:pPr>
            <w:r>
              <w:rPr/>
              <w:t> </w:t>
            </w:r>
          </w:p>
        </w:tc>
        <w:tc>
          <w:tcPr>
            <w:tcW w:w="337"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single" w:sz="6" w:space="0" w:color="000000"/>
            </w:tcBorders>
            <w:shd w:fill="CCEEFF" w:val="clear"/>
            <w:tcMar>
              <w:bottom w:w="28" w:type="dxa"/>
            </w:tcMar>
            <w:vAlign w:val="center"/>
          </w:tcPr>
          <w:p>
            <w:pPr>
              <w:pStyle w:val="TableContents"/>
              <w:bidi w:val="0"/>
              <w:spacing w:before="0" w:after="283"/>
              <w:jc w:val="right"/>
              <w:rPr/>
            </w:pPr>
            <w:r>
              <w:rPr/>
              <w:t>4,963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172" w:type="dxa"/>
            <w:tcBorders>
              <w:bottom w:val="single" w:sz="6" w:space="0" w:color="000000"/>
            </w:tcBorders>
            <w:shd w:fill="CCEEFF" w:val="clear"/>
            <w:tcMar>
              <w:bottom w:w="28" w:type="dxa"/>
            </w:tcMar>
            <w:vAlign w:val="center"/>
          </w:tcPr>
          <w:p>
            <w:pPr>
              <w:pStyle w:val="TableContents"/>
              <w:bidi w:val="0"/>
              <w:spacing w:before="0" w:after="283"/>
              <w:jc w:val="right"/>
              <w:rPr/>
            </w:pPr>
            <w:r>
              <w:rPr/>
              <w:t>12,464</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right"/>
              <w:rPr/>
            </w:pPr>
            <w:r>
              <w:rPr/>
              <w:t> </w:t>
            </w:r>
          </w:p>
        </w:tc>
        <w:tc>
          <w:tcPr>
            <w:tcW w:w="28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974" w:type="dxa"/>
            <w:tcBorders>
              <w:bottom w:val="single" w:sz="6" w:space="0" w:color="000000"/>
            </w:tcBorders>
            <w:shd w:fill="CCEEFF" w:val="clear"/>
            <w:tcMar>
              <w:bottom w:w="28" w:type="dxa"/>
            </w:tcMar>
            <w:vAlign w:val="center"/>
          </w:tcPr>
          <w:p>
            <w:pPr>
              <w:pStyle w:val="TableContents"/>
              <w:bidi w:val="0"/>
              <w:spacing w:before="0" w:after="283"/>
              <w:jc w:val="right"/>
              <w:rPr/>
            </w:pPr>
            <w:r>
              <w:rPr/>
              <w:t>9,587</w:t>
            </w:r>
          </w:p>
        </w:tc>
        <w:tc>
          <w:tcPr>
            <w:tcW w:w="14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ADMA BIOLOGICS,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CONDENSED CONSOLIDATED FINANCIAL STATEMENTS (UNAUDITED)</w:t>
      </w:r>
      <w:r>
        <w:rPr>
          <w:rFonts w:ascii="Times New Roman" w:hAnsi="Times New Roman"/>
          <w:sz w:val="20"/>
        </w:rPr>
        <w:t xml:space="preserve"> </w:t>
      </w:r>
    </w:p>
    <w:p>
      <w:pPr>
        <w:pStyle w:val="TextBody"/>
        <w:bidi w:val="0"/>
        <w:spacing w:before="0" w:after="0"/>
        <w:ind w:left="540" w:right="0" w:hanging="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RELATED PARTY TRANSACTIONS</w:t>
      </w:r>
      <w:r>
        <w:rPr>
          <w:rFonts w:ascii="Times New Roman" w:hAnsi="Times New Roman"/>
          <w:sz w:val="20"/>
        </w:rPr>
        <w:t xml:space="preserve"> </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342900" cy="175260"/>
                <wp:effectExtent l="0" t="0" r="0" b="0"/>
                <wp:wrapSquare wrapText="right"/>
                <wp:docPr id="48" name="Frame48"/>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sz w:val="20"/>
                              </w:rPr>
                              <w:t>9.</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9.</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leases an office building and equipment from Areth, LLC (“Areth”) pursuant to an agreement for services effective as of January 1, 2016, as amended from time to time, and pays monthly rent on this facility in the amount of $10,000. The Company amended the original Areth agreement to extend its term to December 31, 2026, with automatic successive one-year renewals thereafter. Either party may terminate the agreement by providing the other party with one year’s prior written notice. Rent expense for the three and six months ended June 30, 2026 and 2025 amounted to $30,000 and $60,000, respectively. Areth is a company controlled by Dr. Jerrold B. Grossman, the Vice Chairman of the Board, and Adam S. Grossman, the Company’s President and Chief Executive Officer. </w:t>
      </w:r>
    </w:p>
    <w:p>
      <w:pPr>
        <w:pStyle w:val="TextBody"/>
        <w:bidi w:val="0"/>
        <w:spacing w:before="0" w:after="0"/>
        <w:ind w:left="0" w:right="0" w:firstLine="72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During the six months ended June 30, 2025, the Company purchased certain specialized equipment and repair services used for the collection and processing of source plasma from GenesisBPS in the amount of approximately $34,000. GenesisBPS was owned by Dr. Grossman and Adam Grossman until September 30, 2025. </w:t>
      </w:r>
    </w:p>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b/>
          <w:sz w:val="20"/>
          <w:u w:val="single"/>
        </w:rPr>
      </w:pPr>
      <w:r>
        <w:rPr>
          <w:rFonts w:ascii="Times New Roman" w:hAnsi="Times New Roman"/>
          <w:b/>
          <w:sz w:val="20"/>
          <w:u w:val="single"/>
        </w:rPr>
        <w:t xml:space="preserve">COMMITMENTS AND CONTINGENCIES </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342900" cy="175260"/>
                <wp:effectExtent l="0" t="0" r="0" b="0"/>
                <wp:wrapSquare wrapText="right"/>
                <wp:docPr id="49" name="Frame49"/>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sz w:val="20"/>
                              </w:rPr>
                              <w:t>10.</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10.</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General Legal Matters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2"/>
        </w:rPr>
      </w:pPr>
      <w:r>
        <w:rPr>
          <w:rFonts w:ascii="Times New Roman" w:hAnsi="Times New Roman"/>
          <w:sz w:val="20"/>
        </w:rPr>
        <w:t xml:space="preserve">On July 10, 2026, plaintiff Lisa Mazzarino filed a putative securities class action lawsuit, </w:t>
      </w:r>
      <w:r>
        <w:rPr>
          <w:rFonts w:ascii="Times New Roman" w:hAnsi="Times New Roman"/>
          <w:i/>
          <w:sz w:val="20"/>
        </w:rPr>
        <w:t>Mazzarino v. ADMA Biologics, Inc. et al., Case No. 2:26-cv-06918 (D.N.J.)</w:t>
      </w:r>
      <w:r>
        <w:rPr>
          <w:rFonts w:ascii="Times New Roman" w:hAnsi="Times New Roman"/>
          <w:sz w:val="20"/>
        </w:rPr>
        <w:t>, against the Company, Adam Grossman, the Company’s director, President and Chief Executive Officer, Jerrold Grossman, the Company’s Vice Chairman</w:t>
      </w:r>
      <w:r>
        <w:rPr>
          <w:rFonts w:ascii="Times New Roman" w:hAnsi="Times New Roman"/>
          <w:sz w:val="22"/>
        </w:rPr>
        <w:t xml:space="preserve"> </w:t>
      </w:r>
      <w:r>
        <w:rPr>
          <w:rFonts w:ascii="Times New Roman" w:hAnsi="Times New Roman"/>
          <w:sz w:val="20"/>
        </w:rPr>
        <w:t>of the Board, and Brad Tade, the Company’s former Chief Financial Officer</w:t>
      </w:r>
      <w:r>
        <w:rPr>
          <w:rFonts w:ascii="Times New Roman" w:hAnsi="Times New Roman"/>
          <w:sz w:val="22"/>
        </w:rPr>
        <w:t xml:space="preserve"> </w:t>
      </w:r>
      <w:r>
        <w:rPr>
          <w:rFonts w:ascii="Times New Roman" w:hAnsi="Times New Roman"/>
          <w:sz w:val="20"/>
        </w:rPr>
        <w:t>and Treasurer, in the United States District Court for the District of New Jersey. The complaint alleges violations of Sections 10(b) and 20(a) of the Securities Exchange Act of 1934, as amended, and Rule 10b-5 promulgated thereunder and seeks monetary damages in an unspecified amount. The litigation remains at a preliminary stage. The Company believes that the claims asserted in the lawsuit are without merit and intends to vigorously defend against the action.</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At this time, the Company is unable to predict the outcome of the litigation or reasonably estimate the amount or range of any potential loss, if any, that may result from the matter. Accordingly, no accrual has been recorded in the accompanying condensed consolidated financial statements with respect to this litigation.</w:t>
      </w:r>
    </w:p>
    <w:p>
      <w:pPr>
        <w:pStyle w:val="TextBody"/>
        <w:bidi w:val="0"/>
        <w:spacing w:before="0" w:after="0"/>
        <w:ind w:left="0" w:right="0" w:firstLine="720"/>
        <w:jc w:val="both"/>
        <w:rPr/>
      </w:pPr>
      <w:r>
        <w:rPr/>
        <w:t> </w:t>
      </w:r>
    </w:p>
    <w:p>
      <w:pPr>
        <w:pStyle w:val="TextBody"/>
        <w:bidi w:val="0"/>
        <w:spacing w:before="0" w:after="0"/>
        <w:jc w:val="left"/>
        <w:rPr>
          <w:rFonts w:ascii="Times New Roman" w:hAnsi="Times New Roman"/>
          <w:sz w:val="20"/>
        </w:rPr>
      </w:pPr>
      <w:r>
        <w:rPr>
          <w:rFonts w:ascii="Times New Roman" w:hAnsi="Times New Roman"/>
          <w:i/>
          <w:sz w:val="20"/>
          <w:u w:val="single"/>
        </w:rPr>
        <w:t>Vendor Commitments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Pursuant to the terms of a Plasma Purchase Agreement entered into in November 2011 (the “2011 Plasma Purchase Agreement”), the Company agreed to purchase from its former contract manufacturer an annual minimum volume of source plasma containing antibodies to RSV to be used in the manufacture of ASCENIV. The Company must purchase a to-be-determined and agreed upon annual minimum volume from the counterparty, and under the original 2011 Plasma Purchase Agreement the Company was permitted to also collect high-titer plasma from up to five wholly owned ADMA plasma collection facilities. During 2015, the Company amended the 2011 Plasma Purchase Agreement to (i) allow the Company to collect its raw material high-titer plasma from any number of wholly owned ADMA plasma collection facilities and (ii) allow the Company to purchase its raw material high-titer plasma from other third-party collection organizations, in each case, provided that the annual minimum volumes from the Company’s former contract manufacturer were met, thus allowing the Company to expand its reach for raw material supply as it executes its commercialization plans for ASCENIV. In December 2018, the Company’s former contract manufacturer assigned its rights and obligations under the 2011 Plasma Purchase Agreement to Grifols Worldwide Operations Limited (“Grifols”) as its successor-in-interest, effective January 2019. Effective October 2024, the Company entered into an Amended and Restated Plasma Purchase Agreement with Grifols (the “A&amp;R Grifols Agreement”) with a term expiring in September 2039, after which it may be renewed for two additional multi-year periods if agreed to by the parties. Pursuant to the A&amp;R Grifols Agreement, Grifols supplies, on a non-exclusive basis, to ADMA BioManufacturing a minimum of 35,000 liters of RSV plasma annually to be used in the manufacture of ASCENIV, with an escalating price per liter depending on the volume supplied in a given 12-month period, with a minimum annual price increase every 12 months. Additionally, Grifols will be entitled to receive a fixed bonus payment in the event that a specified liter amount of high-titer plasma is supplied to the Company in any 12-month period during the term of the A&amp;R Grifols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Effective August 2024, the Company entered into a Plasma Purchase Agreement with KEDPlasma LLC (“KEDPlasma”) with a term expiring in July 2031, after which it may be renewed for an additional five-year period if agreed to by the parties (the “KEDPlasma Agreement”). Pursuant to the KEDPlasma Agreement, KEDPlasma supplies, on a non-exclusive basis, to ADMA BioManufacturing a minimum of 35,000 liters of RSV plasma annually commencing with the 12-month period ended July 31, 2026, with an escalating price per liter depending on the volume supplied in a given 12-month period. The price per liter of high-titer plasma supplied pursuant to the KEDPlasma Agreement is also scheduled to increase on an annual basis. Additionally, KEDPlasma will be entitled to receive a fixed bonus payment in the event that a specified liter amount of RSV plasma is supplied to the Company in any 12-month period during the term of the KEDPlasma Agreement.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ADMA BIOLOGICS, INC. AND SUBSIDIARIES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NOTES TO CONDENSED CONSOLIDATED FINANCIAL STATEMENTS (UNAUDITED)</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June 2017, the Company entered into a Plasma Supply Agreement with its former contract manufacturer (the “Plasma Supply Agreement”), pursuant to which the counterparty supplies, on an exclusive basis subject to certain exceptions, to ADMA BioManufacturing an annual minimum volume of hyperimmune plasma that contain antibodies to the Hepatitis B virus for the manufacture of Nabi-HB. The Plasma Supply Agreement has a 10-year term. In July 2018, the Plasma Supply Agreement was amended to provide, among other things, that in the event the counterparty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the counterparty, then the counterparty shall reimburse ADMA BioManufacturing for the difference in price ADMA BioManufacturing incurs. In December 2018, the Company’s former contract manufacturer assigned its rights and obligations under the Plasma Supply Agreement to Grifols, effective January 2019.</w:t>
      </w:r>
    </w:p>
    <w:p>
      <w:pPr>
        <w:pStyle w:val="TextBody"/>
        <w:bidi w:val="0"/>
        <w:spacing w:before="0" w:after="0"/>
        <w:ind w:left="0" w:right="0" w:firstLine="720"/>
        <w:jc w:val="both"/>
        <w:rPr/>
      </w:pPr>
      <w:r>
        <w:rPr/>
        <w:t> </w:t>
      </w:r>
    </w:p>
    <w:p>
      <w:pPr>
        <w:pStyle w:val="TextBody"/>
        <w:bidi w:val="0"/>
        <w:spacing w:before="0" w:after="0"/>
        <w:jc w:val="left"/>
        <w:rPr>
          <w:rFonts w:ascii="Times New Roman" w:hAnsi="Times New Roman"/>
          <w:sz w:val="20"/>
        </w:rPr>
      </w:pPr>
      <w:r>
        <w:rPr>
          <w:rFonts w:ascii="Times New Roman" w:hAnsi="Times New Roman"/>
          <w:i/>
          <w:sz w:val="20"/>
          <w:u w:val="single"/>
        </w:rPr>
        <w:t>Other Commitments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June 30, 2026. The Company does not anticipate recognizing any significant losses relating to these arrangements. </w:t>
      </w:r>
    </w:p>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SEGMENTS</w:t>
      </w:r>
      <w:r>
        <w:rPr>
          <w:rFonts w:ascii="Times New Roman" w:hAnsi="Times New Roman"/>
          <w:sz w:val="20"/>
        </w:rPr>
        <w:t xml:space="preserve"> </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342900" cy="175260"/>
                <wp:effectExtent l="0" t="0" r="0" b="0"/>
                <wp:wrapSquare wrapText="right"/>
                <wp:docPr id="50" name="Frame50"/>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sz w:val="20"/>
                              </w:rPr>
                              <w:t>11.</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11.</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is engaged in the manufacture, marketing and development of specialty plasma-derived biologics. The Company’s ADMA BioManufacturing operating segment reflects the Company’s immunoglobulin manufacturing, commercial and development operations in Boca Raton, Florida. The Plasma Collection Centers operating segment consisted of ten plasma collection facilities as of June 30, 2025 and seven plasma collection facilities as of June 30, 2026, all located throughout the United States. All facilities were operational, collecting plasma and holding FDA licenses as of each respective period. The Company defines its operating segments as those business units whose operating results are regularly reviewed by the chief operating decision maker (“CODM”) to analyze performance and allocate resources. The Corporate information included in the reconciliations below generally consists of certain unallocated general and administrative overhead expenses and interest expense on the Company’s senior debt (see Note 7). The Company’s CODM is its President and Chief Executive Officer. For the Company’s two operating segments, the CODM uses income before taxes as the measure of segment profit to determine the allocation of resources for each segment. Transactions between the two operating segments consist solely of the transfer of raw material plasma inventory at cost from the Plasma Collection Centers segment to the ADMA BioManufacturing segment with no markup or intercompany profit. Income tax benefit/expense is recorded in the Corporate entity and is not allocated to the operating segments. Summarized financial information concerning reportable segments is shown in the following tables:</w:t>
      </w:r>
    </w:p>
    <w:p>
      <w:pPr>
        <w:pStyle w:val="TextBody"/>
        <w:bidi w:val="0"/>
        <w:spacing w:before="0" w:after="0"/>
        <w:ind w:left="0" w:right="0" w:firstLine="72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tbl>
      <w:tblPr>
        <w:tblW w:w="1230" w:type="dxa"/>
        <w:jc w:val="left"/>
        <w:tblInd w:w="0" w:type="dxa"/>
        <w:tblLayout w:type="fixed"/>
        <w:tblCellMar>
          <w:top w:w="0" w:type="dxa"/>
          <w:left w:w="0" w:type="dxa"/>
          <w:bottom w:w="0" w:type="dxa"/>
          <w:right w:w="0" w:type="dxa"/>
        </w:tblCellMar>
      </w:tblPr>
      <w:tblGrid>
        <w:gridCol w:w="105"/>
        <w:gridCol w:w="90"/>
        <w:gridCol w:w="90"/>
        <w:gridCol w:w="90"/>
        <w:gridCol w:w="90"/>
        <w:gridCol w:w="90"/>
        <w:gridCol w:w="90"/>
        <w:gridCol w:w="90"/>
        <w:gridCol w:w="90"/>
        <w:gridCol w:w="90"/>
        <w:gridCol w:w="90"/>
        <w:gridCol w:w="90"/>
        <w:gridCol w:w="135"/>
      </w:tblGrid>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 w:hAnsi="Times New Roman"/>
          <w:b/>
          <w:sz w:val="20"/>
        </w:rPr>
      </w:pPr>
      <w:r>
        <w:rPr>
          <w:rFonts w:ascii="Times New Roman" w:hAnsi="Times New Roman"/>
          <w:b/>
          <w:sz w:val="20"/>
        </w:rPr>
        <w:t>ADMA BIOLOGICS, INC.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NOTES TO CONDENSED CONSOLIDATED FINANCIAL STATEMENTS (UNAUDITED)</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41"/>
        <w:gridCol w:w="90"/>
        <w:gridCol w:w="170"/>
        <w:gridCol w:w="1968"/>
        <w:gridCol w:w="185"/>
        <w:gridCol w:w="90"/>
        <w:gridCol w:w="170"/>
        <w:gridCol w:w="1442"/>
        <w:gridCol w:w="185"/>
        <w:gridCol w:w="90"/>
        <w:gridCol w:w="170"/>
        <w:gridCol w:w="933"/>
        <w:gridCol w:w="171"/>
      </w:tblGrid>
      <w:tr>
        <w:trPr/>
        <w:tc>
          <w:tcPr>
            <w:tcW w:w="45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10034" w:type="dxa"/>
            <w:gridSpan w:val="12"/>
            <w:tcBorders>
              <w:bottom w:val="single" w:sz="6" w:space="0" w:color="000000"/>
            </w:tcBorders>
            <w:tcMar>
              <w:bottom w:w="28" w:type="dxa"/>
            </w:tcMar>
            <w:vAlign w:val="center"/>
          </w:tcPr>
          <w:p>
            <w:pPr>
              <w:pStyle w:val="TableContents"/>
              <w:bidi w:val="0"/>
              <w:spacing w:before="0" w:after="283"/>
              <w:jc w:val="center"/>
              <w:rPr/>
            </w:pPr>
            <w:r>
              <w:rPr>
                <w:b/>
              </w:rPr>
              <w:t>Three Months Ended June 30, 2026</w:t>
            </w:r>
            <w:r>
              <w:rPr/>
              <w:t xml:space="preserve"> </w:t>
            </w:r>
          </w:p>
        </w:tc>
        <w:tc>
          <w:tcPr>
            <w:tcW w:w="171" w:type="dxa"/>
            <w:tcBorders/>
            <w:vAlign w:val="center"/>
          </w:tcPr>
          <w:p>
            <w:pPr>
              <w:pStyle w:val="TableContents"/>
              <w:bidi w:val="0"/>
              <w:spacing w:before="0" w:after="283"/>
              <w:jc w:val="center"/>
              <w:rPr/>
            </w:pPr>
            <w:r>
              <w:rPr/>
              <w:t> </w:t>
            </w:r>
          </w:p>
        </w:tc>
      </w:tr>
      <w:tr>
        <w:trPr/>
        <w:tc>
          <w:tcPr>
            <w:tcW w:w="4541" w:type="dxa"/>
            <w:tcBorders/>
            <w:vAlign w:val="center"/>
          </w:tcPr>
          <w:p>
            <w:pPr>
              <w:pStyle w:val="TableContents"/>
              <w:bidi w:val="0"/>
              <w:spacing w:before="0" w:after="0"/>
              <w:jc w:val="left"/>
              <w:rPr/>
            </w:pPr>
            <w:r>
              <w:rPr>
                <w:i/>
              </w:rPr>
              <w:t>(in thousands)</w:t>
            </w:r>
            <w:r>
              <w:rPr/>
              <w:t xml:space="preserve">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968" w:type="dxa"/>
            <w:tcBorders>
              <w:bottom w:val="single" w:sz="6" w:space="0" w:color="000000"/>
            </w:tcBorders>
            <w:tcMar>
              <w:bottom w:w="28" w:type="dxa"/>
            </w:tcMar>
            <w:vAlign w:val="center"/>
          </w:tcPr>
          <w:p>
            <w:pPr>
              <w:pStyle w:val="TableContents"/>
              <w:bidi w:val="0"/>
              <w:spacing w:before="0" w:after="283"/>
              <w:jc w:val="center"/>
              <w:rPr/>
            </w:pPr>
            <w:r>
              <w:rPr>
                <w:b/>
              </w:rPr>
              <w:t>ADMA</w:t>
              <w:br/>
              <w:t>BioManufacturing</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42" w:type="dxa"/>
            <w:tcBorders>
              <w:bottom w:val="single" w:sz="6" w:space="0" w:color="000000"/>
            </w:tcBorders>
            <w:tcMar>
              <w:bottom w:w="28" w:type="dxa"/>
            </w:tcMar>
            <w:vAlign w:val="center"/>
          </w:tcPr>
          <w:p>
            <w:pPr>
              <w:pStyle w:val="TableContents"/>
              <w:bidi w:val="0"/>
              <w:spacing w:before="0" w:after="283"/>
              <w:jc w:val="center"/>
              <w:rPr/>
            </w:pPr>
            <w:r>
              <w:rPr>
                <w:b/>
              </w:rPr>
              <w:t>Plasma Collection</w:t>
              <w:br/>
              <w:t>Centers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33" w:type="dxa"/>
            <w:tcBorders>
              <w:bottom w:val="single" w:sz="6" w:space="0" w:color="000000"/>
            </w:tcBorders>
            <w:tcMar>
              <w:bottom w:w="28" w:type="dxa"/>
            </w:tcMar>
            <w:vAlign w:val="center"/>
          </w:tcPr>
          <w:p>
            <w:pPr>
              <w:pStyle w:val="TableContents"/>
              <w:bidi w:val="0"/>
              <w:spacing w:before="0" w:after="283"/>
              <w:jc w:val="center"/>
              <w:rPr/>
            </w:pPr>
            <w:r>
              <w:rPr>
                <w:b/>
              </w:rPr>
              <w:t>Total</w:t>
            </w:r>
            <w:r>
              <w:rPr/>
              <w:t xml:space="preserve"> </w:t>
            </w:r>
          </w:p>
        </w:tc>
        <w:tc>
          <w:tcPr>
            <w:tcW w:w="171" w:type="dxa"/>
            <w:tcBorders/>
            <w:vAlign w:val="center"/>
          </w:tcPr>
          <w:p>
            <w:pPr>
              <w:pStyle w:val="TableContents"/>
              <w:bidi w:val="0"/>
              <w:spacing w:before="0" w:after="283"/>
              <w:jc w:val="center"/>
              <w:rPr/>
            </w:pPr>
            <w:r>
              <w:rPr/>
              <w:t> </w:t>
            </w:r>
          </w:p>
        </w:tc>
      </w:tr>
      <w:tr>
        <w:trPr/>
        <w:tc>
          <w:tcPr>
            <w:tcW w:w="4541" w:type="dxa"/>
            <w:tcBorders/>
            <w:shd w:fill="CCEEFF" w:val="clear"/>
            <w:vAlign w:val="center"/>
          </w:tcPr>
          <w:p>
            <w:pPr>
              <w:pStyle w:val="TableContents"/>
              <w:bidi w:val="0"/>
              <w:spacing w:before="0" w:after="0"/>
              <w:jc w:val="left"/>
              <w:rPr/>
            </w:pPr>
            <w:r>
              <w:rPr/>
              <w:t xml:space="preserve">Revenues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68" w:type="dxa"/>
            <w:tcBorders/>
            <w:shd w:fill="CCEEFF" w:val="clear"/>
            <w:vAlign w:val="center"/>
          </w:tcPr>
          <w:p>
            <w:pPr>
              <w:pStyle w:val="TableContents"/>
              <w:bidi w:val="0"/>
              <w:spacing w:before="0" w:after="283"/>
              <w:jc w:val="right"/>
              <w:rPr/>
            </w:pPr>
            <w:r>
              <w:rPr/>
              <w:t>123,637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2" w:type="dxa"/>
            <w:tcBorders/>
            <w:shd w:fill="CCEEFF" w:val="clear"/>
            <w:vAlign w:val="center"/>
          </w:tcPr>
          <w:p>
            <w:pPr>
              <w:pStyle w:val="TableContents"/>
              <w:bidi w:val="0"/>
              <w:spacing w:before="0" w:after="283"/>
              <w:jc w:val="right"/>
              <w:rPr/>
            </w:pPr>
            <w:r>
              <w:rPr/>
              <w:t>723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33" w:type="dxa"/>
            <w:tcBorders/>
            <w:shd w:fill="CCEEFF" w:val="clear"/>
            <w:vAlign w:val="center"/>
          </w:tcPr>
          <w:p>
            <w:pPr>
              <w:pStyle w:val="TableContents"/>
              <w:bidi w:val="0"/>
              <w:spacing w:before="0" w:after="283"/>
              <w:jc w:val="right"/>
              <w:rPr/>
            </w:pPr>
            <w:r>
              <w:rPr/>
              <w:t>124,360</w:t>
            </w:r>
          </w:p>
        </w:tc>
        <w:tc>
          <w:tcPr>
            <w:tcW w:w="171" w:type="dxa"/>
            <w:tcBorders/>
            <w:shd w:fill="CCEEFF" w:val="clear"/>
            <w:vAlign w:val="center"/>
          </w:tcPr>
          <w:p>
            <w:pPr>
              <w:pStyle w:val="TableContents"/>
              <w:bidi w:val="0"/>
              <w:spacing w:before="0" w:after="283"/>
              <w:jc w:val="left"/>
              <w:rPr/>
            </w:pPr>
            <w:r>
              <w:rPr/>
              <w:t> </w:t>
            </w:r>
          </w:p>
        </w:tc>
      </w:tr>
      <w:tr>
        <w:trPr/>
        <w:tc>
          <w:tcPr>
            <w:tcW w:w="45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4541" w:type="dxa"/>
            <w:tcBorders/>
            <w:shd w:fill="CCEEFF" w:val="clear"/>
            <w:vAlign w:val="center"/>
          </w:tcPr>
          <w:p>
            <w:pPr>
              <w:pStyle w:val="TableContents"/>
              <w:bidi w:val="0"/>
              <w:spacing w:before="0" w:after="0"/>
              <w:jc w:val="left"/>
              <w:rPr/>
            </w:pPr>
            <w:r>
              <w:rPr/>
              <w:t xml:space="preserve">Cost of product revenue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37,564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554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38,118</w:t>
            </w:r>
          </w:p>
        </w:tc>
        <w:tc>
          <w:tcPr>
            <w:tcW w:w="171" w:type="dxa"/>
            <w:tcBorders/>
            <w:shd w:fill="CCEEFF" w:val="clear"/>
            <w:vAlign w:val="center"/>
          </w:tcPr>
          <w:p>
            <w:pPr>
              <w:pStyle w:val="TableContents"/>
              <w:bidi w:val="0"/>
              <w:spacing w:before="0" w:after="283"/>
              <w:jc w:val="left"/>
              <w:rPr/>
            </w:pPr>
            <w:r>
              <w:rPr/>
              <w:t> </w:t>
            </w:r>
          </w:p>
        </w:tc>
      </w:tr>
      <w:tr>
        <w:trPr/>
        <w:tc>
          <w:tcPr>
            <w:tcW w:w="45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4541" w:type="dxa"/>
            <w:tcBorders/>
            <w:shd w:fill="CCEEFF" w:val="clear"/>
            <w:vAlign w:val="center"/>
          </w:tcPr>
          <w:p>
            <w:pPr>
              <w:pStyle w:val="TableContents"/>
              <w:bidi w:val="0"/>
              <w:spacing w:before="0" w:after="0"/>
              <w:jc w:val="left"/>
              <w:rPr/>
            </w:pPr>
            <w:r>
              <w:rPr/>
              <w:t xml:space="preserve">Research and development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6,014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6,014</w:t>
            </w:r>
          </w:p>
        </w:tc>
        <w:tc>
          <w:tcPr>
            <w:tcW w:w="171" w:type="dxa"/>
            <w:tcBorders/>
            <w:shd w:fill="CCEEFF" w:val="clear"/>
            <w:vAlign w:val="center"/>
          </w:tcPr>
          <w:p>
            <w:pPr>
              <w:pStyle w:val="TableContents"/>
              <w:bidi w:val="0"/>
              <w:spacing w:before="0" w:after="283"/>
              <w:jc w:val="left"/>
              <w:rPr/>
            </w:pPr>
            <w:r>
              <w:rPr/>
              <w:t> </w:t>
            </w:r>
          </w:p>
        </w:tc>
      </w:tr>
      <w:tr>
        <w:trPr/>
        <w:tc>
          <w:tcPr>
            <w:tcW w:w="45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4541" w:type="dxa"/>
            <w:tcBorders/>
            <w:shd w:fill="CCEEFF" w:val="clear"/>
            <w:vAlign w:val="center"/>
          </w:tcPr>
          <w:p>
            <w:pPr>
              <w:pStyle w:val="TableContents"/>
              <w:bidi w:val="0"/>
              <w:spacing w:before="0" w:after="0"/>
              <w:jc w:val="left"/>
              <w:rPr/>
            </w:pPr>
            <w:r>
              <w:rPr/>
              <w:t xml:space="preserve">Plasma center operating expenses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1,026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1,026</w:t>
            </w:r>
          </w:p>
        </w:tc>
        <w:tc>
          <w:tcPr>
            <w:tcW w:w="171" w:type="dxa"/>
            <w:tcBorders/>
            <w:shd w:fill="CCEEFF" w:val="clear"/>
            <w:vAlign w:val="center"/>
          </w:tcPr>
          <w:p>
            <w:pPr>
              <w:pStyle w:val="TableContents"/>
              <w:bidi w:val="0"/>
              <w:spacing w:before="0" w:after="283"/>
              <w:jc w:val="left"/>
              <w:rPr/>
            </w:pPr>
            <w:r>
              <w:rPr/>
              <w:t> </w:t>
            </w:r>
          </w:p>
        </w:tc>
      </w:tr>
      <w:tr>
        <w:trPr/>
        <w:tc>
          <w:tcPr>
            <w:tcW w:w="45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4541" w:type="dxa"/>
            <w:tcBorders/>
            <w:shd w:fill="CCEEFF" w:val="clear"/>
            <w:vAlign w:val="center"/>
          </w:tcPr>
          <w:p>
            <w:pPr>
              <w:pStyle w:val="TableContents"/>
              <w:bidi w:val="0"/>
              <w:spacing w:before="0" w:after="0"/>
              <w:jc w:val="left"/>
              <w:rPr/>
            </w:pPr>
            <w:r>
              <w:rPr/>
              <w:t xml:space="preserve">Gain on sale of plasma centers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             </w:t>
            </w:r>
            <w:r>
              <w:rPr/>
              <w:t xml:space="preserve">- </w:t>
            </w:r>
          </w:p>
        </w:tc>
        <w:tc>
          <w:tcPr>
            <w:tcW w:w="171" w:type="dxa"/>
            <w:tcBorders/>
            <w:shd w:fill="CCEEFF" w:val="clear"/>
            <w:vAlign w:val="center"/>
          </w:tcPr>
          <w:p>
            <w:pPr>
              <w:pStyle w:val="TableContents"/>
              <w:bidi w:val="0"/>
              <w:spacing w:before="0" w:after="283"/>
              <w:jc w:val="left"/>
              <w:rPr/>
            </w:pPr>
            <w:r>
              <w:rPr/>
              <w:t> </w:t>
            </w:r>
          </w:p>
        </w:tc>
      </w:tr>
      <w:tr>
        <w:trPr/>
        <w:tc>
          <w:tcPr>
            <w:tcW w:w="45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4541" w:type="dxa"/>
            <w:tcBorders/>
            <w:shd w:fill="CCEEFF" w:val="clear"/>
            <w:vAlign w:val="center"/>
          </w:tcPr>
          <w:p>
            <w:pPr>
              <w:pStyle w:val="TableContents"/>
              <w:bidi w:val="0"/>
              <w:spacing w:before="0" w:after="0"/>
              <w:jc w:val="left"/>
              <w:rPr/>
            </w:pPr>
            <w:r>
              <w:rPr/>
              <w:t xml:space="preserve">Selling, marketing and distribution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7,634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7,634</w:t>
            </w:r>
          </w:p>
        </w:tc>
        <w:tc>
          <w:tcPr>
            <w:tcW w:w="171" w:type="dxa"/>
            <w:tcBorders/>
            <w:shd w:fill="CCEEFF" w:val="clear"/>
            <w:vAlign w:val="center"/>
          </w:tcPr>
          <w:p>
            <w:pPr>
              <w:pStyle w:val="TableContents"/>
              <w:bidi w:val="0"/>
              <w:spacing w:before="0" w:after="283"/>
              <w:jc w:val="left"/>
              <w:rPr/>
            </w:pPr>
            <w:r>
              <w:rPr/>
              <w:t> </w:t>
            </w:r>
          </w:p>
        </w:tc>
      </w:tr>
      <w:tr>
        <w:trPr/>
        <w:tc>
          <w:tcPr>
            <w:tcW w:w="45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4541" w:type="dxa"/>
            <w:tcBorders/>
            <w:shd w:fill="CCEEFF" w:val="clear"/>
            <w:vAlign w:val="center"/>
          </w:tcPr>
          <w:p>
            <w:pPr>
              <w:pStyle w:val="TableContents"/>
              <w:bidi w:val="0"/>
              <w:spacing w:before="0" w:after="0"/>
              <w:jc w:val="left"/>
              <w:rPr/>
            </w:pPr>
            <w:r>
              <w:rPr/>
              <w:t xml:space="preserve">Depreciation and amortization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1,281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499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1,780</w:t>
            </w:r>
          </w:p>
        </w:tc>
        <w:tc>
          <w:tcPr>
            <w:tcW w:w="171" w:type="dxa"/>
            <w:tcBorders/>
            <w:shd w:fill="CCEEFF" w:val="clear"/>
            <w:vAlign w:val="center"/>
          </w:tcPr>
          <w:p>
            <w:pPr>
              <w:pStyle w:val="TableContents"/>
              <w:bidi w:val="0"/>
              <w:spacing w:before="0" w:after="283"/>
              <w:jc w:val="left"/>
              <w:rPr/>
            </w:pPr>
            <w:r>
              <w:rPr/>
              <w:t> </w:t>
            </w:r>
          </w:p>
        </w:tc>
      </w:tr>
      <w:tr>
        <w:trPr/>
        <w:tc>
          <w:tcPr>
            <w:tcW w:w="45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4541" w:type="dxa"/>
            <w:tcBorders/>
            <w:shd w:fill="CCEEFF" w:val="clear"/>
            <w:vAlign w:val="center"/>
          </w:tcPr>
          <w:p>
            <w:pPr>
              <w:pStyle w:val="TableContents"/>
              <w:bidi w:val="0"/>
              <w:spacing w:before="0" w:after="0"/>
              <w:jc w:val="left"/>
              <w:rPr/>
            </w:pPr>
            <w:r>
              <w:rPr/>
              <w:t xml:space="preserve">General and administrative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8,340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8,340</w:t>
            </w:r>
          </w:p>
        </w:tc>
        <w:tc>
          <w:tcPr>
            <w:tcW w:w="171" w:type="dxa"/>
            <w:tcBorders/>
            <w:shd w:fill="CCEEFF" w:val="clear"/>
            <w:vAlign w:val="center"/>
          </w:tcPr>
          <w:p>
            <w:pPr>
              <w:pStyle w:val="TableContents"/>
              <w:bidi w:val="0"/>
              <w:spacing w:before="0" w:after="283"/>
              <w:jc w:val="left"/>
              <w:rPr/>
            </w:pPr>
            <w:r>
              <w:rPr/>
              <w:t> </w:t>
            </w:r>
          </w:p>
        </w:tc>
      </w:tr>
      <w:tr>
        <w:trPr/>
        <w:tc>
          <w:tcPr>
            <w:tcW w:w="45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4541" w:type="dxa"/>
            <w:tcBorders/>
            <w:shd w:fill="CCEEFF" w:val="clear"/>
            <w:vAlign w:val="center"/>
          </w:tcPr>
          <w:p>
            <w:pPr>
              <w:pStyle w:val="TableContents"/>
              <w:bidi w:val="0"/>
              <w:spacing w:before="0" w:after="0"/>
              <w:jc w:val="left"/>
              <w:rPr/>
            </w:pPr>
            <w:r>
              <w:rPr/>
              <w:t xml:space="preserve">Other income (expense), net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(20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130</w:t>
            </w:r>
          </w:p>
        </w:tc>
        <w:tc>
          <w:tcPr>
            <w:tcW w:w="171" w:type="dxa"/>
            <w:tcBorders/>
            <w:shd w:fill="CCEEFF" w:val="clear"/>
            <w:vAlign w:val="center"/>
          </w:tcPr>
          <w:p>
            <w:pPr>
              <w:pStyle w:val="TableContents"/>
              <w:bidi w:val="0"/>
              <w:spacing w:before="0" w:after="283"/>
              <w:jc w:val="left"/>
              <w:rPr/>
            </w:pPr>
            <w:r>
              <w:rPr/>
              <w:t> </w:t>
            </w:r>
          </w:p>
        </w:tc>
      </w:tr>
      <w:tr>
        <w:trPr/>
        <w:tc>
          <w:tcPr>
            <w:tcW w:w="45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4541" w:type="dxa"/>
            <w:tcBorders/>
            <w:shd w:fill="CCEEFF" w:val="clear"/>
            <w:vAlign w:val="center"/>
          </w:tcPr>
          <w:p>
            <w:pPr>
              <w:pStyle w:val="TableContents"/>
              <w:bidi w:val="0"/>
              <w:spacing w:before="0" w:after="0"/>
              <w:jc w:val="left"/>
              <w:rPr/>
            </w:pPr>
            <w:r>
              <w:rPr/>
              <w:t xml:space="preserve">Income (loss) before taxes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64,010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(707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63,303</w:t>
            </w:r>
          </w:p>
        </w:tc>
        <w:tc>
          <w:tcPr>
            <w:tcW w:w="171" w:type="dxa"/>
            <w:tcBorders/>
            <w:shd w:fill="CCEEFF" w:val="clear"/>
            <w:vAlign w:val="center"/>
          </w:tcPr>
          <w:p>
            <w:pPr>
              <w:pStyle w:val="TableContents"/>
              <w:bidi w:val="0"/>
              <w:spacing w:before="0" w:after="283"/>
              <w:jc w:val="left"/>
              <w:rPr/>
            </w:pPr>
            <w:r>
              <w:rPr/>
              <w:t> </w:t>
            </w:r>
          </w:p>
        </w:tc>
      </w:tr>
      <w:tr>
        <w:trPr/>
        <w:tc>
          <w:tcPr>
            <w:tcW w:w="45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4541" w:type="dxa"/>
            <w:tcBorders/>
            <w:shd w:fill="CCEEFF" w:val="clear"/>
            <w:vAlign w:val="center"/>
          </w:tcPr>
          <w:p>
            <w:pPr>
              <w:pStyle w:val="TableContents"/>
              <w:bidi w:val="0"/>
              <w:spacing w:before="0" w:after="283"/>
              <w:jc w:val="left"/>
              <w:rPr>
                <w:spacing w:val="0"/>
              </w:rPr>
            </w:pPr>
            <w:r>
              <w:rPr>
                <w:spacing w:val="0"/>
              </w:rPr>
              <w:t>Expenditures for additions to long-lived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spacing w:val="0"/>
              </w:rPr>
            </w:pPr>
            <w:r>
              <w:rPr>
                <w:spacing w:val="0"/>
              </w:rPr>
              <w:t>2,256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2,256</w:t>
            </w:r>
          </w:p>
        </w:tc>
        <w:tc>
          <w:tcPr>
            <w:tcW w:w="171" w:type="dxa"/>
            <w:tcBorders/>
            <w:shd w:fill="CCEEFF" w:val="clear"/>
            <w:vAlign w:val="center"/>
          </w:tcPr>
          <w:p>
            <w:pPr>
              <w:pStyle w:val="TableContents"/>
              <w:bidi w:val="0"/>
              <w:spacing w:before="0" w:after="283"/>
              <w:jc w:val="left"/>
              <w:rPr/>
            </w:pPr>
            <w:r>
              <w:rPr/>
              <w:t> </w:t>
            </w:r>
          </w:p>
        </w:tc>
      </w:tr>
      <w:tr>
        <w:trPr/>
        <w:tc>
          <w:tcPr>
            <w:tcW w:w="4541" w:type="dxa"/>
            <w:tcBorders/>
            <w:vAlign w:val="center"/>
          </w:tcPr>
          <w:p>
            <w:pPr>
              <w:pStyle w:val="TableContents"/>
              <w:bidi w:val="0"/>
              <w:spacing w:before="0" w:after="0"/>
              <w:jc w:val="left"/>
              <w:rPr/>
            </w:pPr>
            <w:r>
              <w:rPr/>
              <w:t xml:space="preserve">Total assets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right"/>
              <w:rPr/>
            </w:pPr>
            <w:r>
              <w:rPr/>
              <w:t>453,538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21,864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475,402</w:t>
            </w:r>
          </w:p>
        </w:tc>
        <w:tc>
          <w:tcPr>
            <w:tcW w:w="171" w:type="dxa"/>
            <w:tcBorders/>
            <w:vAlign w:val="center"/>
          </w:tcPr>
          <w:p>
            <w:pPr>
              <w:pStyle w:val="TableContents"/>
              <w:bidi w:val="0"/>
              <w:spacing w:before="0" w:after="283"/>
              <w:jc w:val="left"/>
              <w:rPr/>
            </w:pPr>
            <w:r>
              <w:rPr/>
              <w:t> </w:t>
            </w:r>
          </w:p>
        </w:tc>
      </w:tr>
      <w:tr>
        <w:trPr/>
        <w:tc>
          <w:tcPr>
            <w:tcW w:w="454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4541" w:type="dxa"/>
            <w:tcBorders/>
            <w:vAlign w:val="center"/>
          </w:tcPr>
          <w:p>
            <w:pPr>
              <w:pStyle w:val="TableContents"/>
              <w:bidi w:val="0"/>
              <w:spacing w:before="0" w:after="0"/>
              <w:jc w:val="left"/>
              <w:rPr/>
            </w:pPr>
            <w:r>
              <w:rPr>
                <w:i/>
              </w:rPr>
              <w:t>Reconciliation of revenues: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4541" w:type="dxa"/>
            <w:tcBorders/>
            <w:shd w:fill="CCEEFF" w:val="clear"/>
            <w:vAlign w:val="center"/>
          </w:tcPr>
          <w:p>
            <w:pPr>
              <w:pStyle w:val="TableContents"/>
              <w:bidi w:val="0"/>
              <w:spacing w:before="0" w:after="0"/>
              <w:jc w:val="left"/>
              <w:rPr/>
            </w:pPr>
            <w:r>
              <w:rPr/>
              <w:t xml:space="preserve">Segment revenue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33" w:type="dxa"/>
            <w:tcBorders/>
            <w:shd w:fill="CCEEFF" w:val="clear"/>
            <w:vAlign w:val="center"/>
          </w:tcPr>
          <w:p>
            <w:pPr>
              <w:pStyle w:val="TableContents"/>
              <w:bidi w:val="0"/>
              <w:spacing w:before="0" w:after="283"/>
              <w:jc w:val="right"/>
              <w:rPr/>
            </w:pPr>
            <w:r>
              <w:rPr/>
              <w:t>124,360</w:t>
            </w:r>
          </w:p>
        </w:tc>
        <w:tc>
          <w:tcPr>
            <w:tcW w:w="171" w:type="dxa"/>
            <w:tcBorders/>
            <w:shd w:fill="CCEEFF" w:val="clear"/>
            <w:vAlign w:val="center"/>
          </w:tcPr>
          <w:p>
            <w:pPr>
              <w:pStyle w:val="TableContents"/>
              <w:bidi w:val="0"/>
              <w:spacing w:before="0" w:after="283"/>
              <w:jc w:val="left"/>
              <w:rPr/>
            </w:pPr>
            <w:r>
              <w:rPr/>
              <w:t> </w:t>
            </w:r>
          </w:p>
        </w:tc>
      </w:tr>
      <w:tr>
        <w:trPr/>
        <w:tc>
          <w:tcPr>
            <w:tcW w:w="4541" w:type="dxa"/>
            <w:tcBorders/>
            <w:vAlign w:val="center"/>
          </w:tcPr>
          <w:p>
            <w:pPr>
              <w:pStyle w:val="TableContents"/>
              <w:bidi w:val="0"/>
              <w:spacing w:before="0" w:after="0"/>
              <w:jc w:val="left"/>
              <w:rPr/>
            </w:pPr>
            <w:r>
              <w:rPr/>
              <w:t xml:space="preserve">License revenue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33" w:type="dxa"/>
            <w:tcBorders>
              <w:bottom w:val="single" w:sz="6" w:space="0" w:color="000000"/>
            </w:tcBorders>
            <w:tcMar>
              <w:bottom w:w="28" w:type="dxa"/>
            </w:tcMar>
            <w:vAlign w:val="center"/>
          </w:tcPr>
          <w:p>
            <w:pPr>
              <w:pStyle w:val="TableContents"/>
              <w:bidi w:val="0"/>
              <w:spacing w:before="0" w:after="283"/>
              <w:jc w:val="right"/>
              <w:rPr/>
            </w:pPr>
            <w:r>
              <w:rPr/>
              <w:t>35</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541" w:type="dxa"/>
            <w:tcBorders/>
            <w:shd w:fill="CCEEFF" w:val="clear"/>
            <w:vAlign w:val="center"/>
          </w:tcPr>
          <w:p>
            <w:pPr>
              <w:pStyle w:val="TableContents"/>
              <w:bidi w:val="0"/>
              <w:spacing w:before="0" w:after="0"/>
              <w:jc w:val="left"/>
              <w:rPr/>
            </w:pPr>
            <w:r>
              <w:rPr/>
              <w:t xml:space="preserve">Consolidated revenues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33" w:type="dxa"/>
            <w:tcBorders>
              <w:bottom w:val="double" w:sz="8" w:space="0" w:color="000000"/>
            </w:tcBorders>
            <w:shd w:fill="CCEEFF" w:val="clear"/>
            <w:tcMar>
              <w:bottom w:w="28" w:type="dxa"/>
            </w:tcMar>
            <w:vAlign w:val="center"/>
          </w:tcPr>
          <w:p>
            <w:pPr>
              <w:pStyle w:val="TableContents"/>
              <w:bidi w:val="0"/>
              <w:spacing w:before="0" w:after="283"/>
              <w:jc w:val="right"/>
              <w:rPr/>
            </w:pPr>
            <w:r>
              <w:rPr/>
              <w:t>124,395</w:t>
            </w:r>
          </w:p>
        </w:tc>
        <w:tc>
          <w:tcPr>
            <w:tcW w:w="17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5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4541" w:type="dxa"/>
            <w:tcBorders/>
            <w:shd w:fill="CCEEFF" w:val="clear"/>
            <w:vAlign w:val="center"/>
          </w:tcPr>
          <w:p>
            <w:pPr>
              <w:pStyle w:val="TableContents"/>
              <w:bidi w:val="0"/>
              <w:spacing w:before="0" w:after="0"/>
              <w:jc w:val="left"/>
              <w:rPr/>
            </w:pPr>
            <w:r>
              <w:rPr>
                <w:i/>
              </w:rPr>
              <w:t>Reconciliation of selling, general and administrative expense:</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4541" w:type="dxa"/>
            <w:tcBorders/>
            <w:vAlign w:val="center"/>
          </w:tcPr>
          <w:p>
            <w:pPr>
              <w:pStyle w:val="TableContents"/>
              <w:bidi w:val="0"/>
              <w:spacing w:before="0" w:after="0"/>
              <w:jc w:val="left"/>
              <w:rPr/>
            </w:pPr>
            <w:r>
              <w:rPr/>
              <w:t xml:space="preserve">Segment selling, marketing and distribution expense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3" w:type="dxa"/>
            <w:tcBorders/>
            <w:vAlign w:val="center"/>
          </w:tcPr>
          <w:p>
            <w:pPr>
              <w:pStyle w:val="TableContents"/>
              <w:bidi w:val="0"/>
              <w:spacing w:before="0" w:after="283"/>
              <w:jc w:val="right"/>
              <w:rPr/>
            </w:pPr>
            <w:r>
              <w:rPr/>
              <w:t>7,634</w:t>
            </w:r>
          </w:p>
        </w:tc>
        <w:tc>
          <w:tcPr>
            <w:tcW w:w="171" w:type="dxa"/>
            <w:tcBorders/>
            <w:vAlign w:val="center"/>
          </w:tcPr>
          <w:p>
            <w:pPr>
              <w:pStyle w:val="TableContents"/>
              <w:bidi w:val="0"/>
              <w:spacing w:before="0" w:after="283"/>
              <w:jc w:val="left"/>
              <w:rPr/>
            </w:pPr>
            <w:r>
              <w:rPr/>
              <w:t> </w:t>
            </w:r>
          </w:p>
        </w:tc>
      </w:tr>
      <w:tr>
        <w:trPr/>
        <w:tc>
          <w:tcPr>
            <w:tcW w:w="4541" w:type="dxa"/>
            <w:tcBorders/>
            <w:shd w:fill="CCEEFF" w:val="clear"/>
            <w:vAlign w:val="center"/>
          </w:tcPr>
          <w:p>
            <w:pPr>
              <w:pStyle w:val="TableContents"/>
              <w:bidi w:val="0"/>
              <w:spacing w:before="0" w:after="0"/>
              <w:jc w:val="left"/>
              <w:rPr/>
            </w:pPr>
            <w:r>
              <w:rPr/>
              <w:t xml:space="preserve">Segment general and administrative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8,340</w:t>
            </w:r>
          </w:p>
        </w:tc>
        <w:tc>
          <w:tcPr>
            <w:tcW w:w="171" w:type="dxa"/>
            <w:tcBorders/>
            <w:shd w:fill="CCEEFF" w:val="clear"/>
            <w:vAlign w:val="center"/>
          </w:tcPr>
          <w:p>
            <w:pPr>
              <w:pStyle w:val="TableContents"/>
              <w:bidi w:val="0"/>
              <w:spacing w:before="0" w:after="283"/>
              <w:jc w:val="left"/>
              <w:rPr/>
            </w:pPr>
            <w:r>
              <w:rPr/>
              <w:t> </w:t>
            </w:r>
          </w:p>
        </w:tc>
      </w:tr>
      <w:tr>
        <w:trPr/>
        <w:tc>
          <w:tcPr>
            <w:tcW w:w="4541" w:type="dxa"/>
            <w:tcBorders/>
            <w:vAlign w:val="center"/>
          </w:tcPr>
          <w:p>
            <w:pPr>
              <w:pStyle w:val="TableContents"/>
              <w:bidi w:val="0"/>
              <w:spacing w:before="0" w:after="0"/>
              <w:jc w:val="left"/>
              <w:rPr/>
            </w:pPr>
            <w:r>
              <w:rPr/>
              <w:t xml:space="preserve">Corporate general and administrative expense (a)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33" w:type="dxa"/>
            <w:tcBorders>
              <w:bottom w:val="single" w:sz="6" w:space="0" w:color="000000"/>
            </w:tcBorders>
            <w:tcMar>
              <w:bottom w:w="28" w:type="dxa"/>
            </w:tcMar>
            <w:vAlign w:val="center"/>
          </w:tcPr>
          <w:p>
            <w:pPr>
              <w:pStyle w:val="TableContents"/>
              <w:bidi w:val="0"/>
              <w:spacing w:before="0" w:after="283"/>
              <w:jc w:val="right"/>
              <w:rPr/>
            </w:pPr>
            <w:r>
              <w:rPr/>
              <w:t>10,763</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541" w:type="dxa"/>
            <w:tcBorders/>
            <w:shd w:fill="CCEEFF" w:val="clear"/>
            <w:vAlign w:val="center"/>
          </w:tcPr>
          <w:p>
            <w:pPr>
              <w:pStyle w:val="TableContents"/>
              <w:bidi w:val="0"/>
              <w:spacing w:before="0" w:after="0"/>
              <w:jc w:val="left"/>
              <w:rPr/>
            </w:pPr>
            <w:r>
              <w:rPr/>
              <w:t xml:space="preserve">Consolidated selling, general and administrative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33" w:type="dxa"/>
            <w:tcBorders>
              <w:bottom w:val="double" w:sz="8" w:space="0" w:color="000000"/>
            </w:tcBorders>
            <w:shd w:fill="CCEEFF" w:val="clear"/>
            <w:tcMar>
              <w:bottom w:w="28" w:type="dxa"/>
            </w:tcMar>
            <w:vAlign w:val="center"/>
          </w:tcPr>
          <w:p>
            <w:pPr>
              <w:pStyle w:val="TableContents"/>
              <w:bidi w:val="0"/>
              <w:spacing w:before="0" w:after="283"/>
              <w:jc w:val="right"/>
              <w:rPr/>
            </w:pPr>
            <w:r>
              <w:rPr/>
              <w:t>26,737</w:t>
            </w:r>
          </w:p>
        </w:tc>
        <w:tc>
          <w:tcPr>
            <w:tcW w:w="17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5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4541" w:type="dxa"/>
            <w:tcBorders/>
            <w:shd w:fill="CCEEFF" w:val="clear"/>
            <w:vAlign w:val="center"/>
          </w:tcPr>
          <w:p>
            <w:pPr>
              <w:pStyle w:val="TableContents"/>
              <w:bidi w:val="0"/>
              <w:spacing w:before="0" w:after="0"/>
              <w:jc w:val="left"/>
              <w:rPr/>
            </w:pPr>
            <w:r>
              <w:rPr>
                <w:i/>
              </w:rPr>
              <w:t>Reconciliation of income (loss) before taxes: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4541" w:type="dxa"/>
            <w:tcBorders/>
            <w:vAlign w:val="center"/>
          </w:tcPr>
          <w:p>
            <w:pPr>
              <w:pStyle w:val="TableContents"/>
              <w:bidi w:val="0"/>
              <w:spacing w:before="0" w:after="0"/>
              <w:jc w:val="left"/>
              <w:rPr/>
            </w:pPr>
            <w:r>
              <w:rPr/>
              <w:t xml:space="preserve">Segment income before taxes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3" w:type="dxa"/>
            <w:tcBorders/>
            <w:vAlign w:val="center"/>
          </w:tcPr>
          <w:p>
            <w:pPr>
              <w:pStyle w:val="TableContents"/>
              <w:bidi w:val="0"/>
              <w:spacing w:before="0" w:after="283"/>
              <w:jc w:val="right"/>
              <w:rPr/>
            </w:pPr>
            <w:r>
              <w:rPr/>
              <w:t>63,303</w:t>
            </w:r>
          </w:p>
        </w:tc>
        <w:tc>
          <w:tcPr>
            <w:tcW w:w="171" w:type="dxa"/>
            <w:tcBorders/>
            <w:vAlign w:val="center"/>
          </w:tcPr>
          <w:p>
            <w:pPr>
              <w:pStyle w:val="TableContents"/>
              <w:bidi w:val="0"/>
              <w:spacing w:before="0" w:after="283"/>
              <w:jc w:val="left"/>
              <w:rPr/>
            </w:pPr>
            <w:r>
              <w:rPr/>
              <w:t> </w:t>
            </w:r>
          </w:p>
        </w:tc>
      </w:tr>
      <w:tr>
        <w:trPr/>
        <w:tc>
          <w:tcPr>
            <w:tcW w:w="4541" w:type="dxa"/>
            <w:tcBorders/>
            <w:shd w:fill="CCEEFF" w:val="clear"/>
            <w:vAlign w:val="center"/>
          </w:tcPr>
          <w:p>
            <w:pPr>
              <w:pStyle w:val="TableContents"/>
              <w:bidi w:val="0"/>
              <w:spacing w:before="0" w:after="0"/>
              <w:jc w:val="left"/>
              <w:rPr/>
            </w:pPr>
            <w:r>
              <w:rPr/>
              <w:t xml:space="preserve">License revenue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35</w:t>
            </w:r>
          </w:p>
        </w:tc>
        <w:tc>
          <w:tcPr>
            <w:tcW w:w="171" w:type="dxa"/>
            <w:tcBorders/>
            <w:shd w:fill="CCEEFF" w:val="clear"/>
            <w:vAlign w:val="center"/>
          </w:tcPr>
          <w:p>
            <w:pPr>
              <w:pStyle w:val="TableContents"/>
              <w:bidi w:val="0"/>
              <w:spacing w:before="0" w:after="283"/>
              <w:ind w:left="0" w:right="0" w:hanging="150"/>
              <w:jc w:val="left"/>
              <w:rPr/>
            </w:pPr>
            <w:r>
              <w:rPr/>
              <w:t> </w:t>
            </w:r>
          </w:p>
        </w:tc>
      </w:tr>
      <w:tr>
        <w:trPr/>
        <w:tc>
          <w:tcPr>
            <w:tcW w:w="4541" w:type="dxa"/>
            <w:tcBorders/>
            <w:vAlign w:val="center"/>
          </w:tcPr>
          <w:p>
            <w:pPr>
              <w:pStyle w:val="TableContents"/>
              <w:bidi w:val="0"/>
              <w:spacing w:before="0" w:after="0"/>
              <w:jc w:val="left"/>
              <w:rPr/>
            </w:pPr>
            <w:r>
              <w:rPr/>
              <w:t xml:space="preserve">Unallocated interest expense, primarily related to interest on senior debt (see Note 7)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(3,425</w:t>
            </w:r>
          </w:p>
        </w:tc>
        <w:tc>
          <w:tcPr>
            <w:tcW w:w="171" w:type="dxa"/>
            <w:tcBorders/>
            <w:vAlign w:val="center"/>
          </w:tcPr>
          <w:p>
            <w:pPr>
              <w:pStyle w:val="TableContents"/>
              <w:bidi w:val="0"/>
              <w:spacing w:before="0" w:after="283"/>
              <w:jc w:val="left"/>
              <w:rPr/>
            </w:pPr>
            <w:r>
              <w:rPr/>
              <w:t>)</w:t>
            </w:r>
          </w:p>
        </w:tc>
      </w:tr>
      <w:tr>
        <w:trPr/>
        <w:tc>
          <w:tcPr>
            <w:tcW w:w="4541" w:type="dxa"/>
            <w:tcBorders/>
            <w:shd w:fill="CCEEFF" w:val="clear"/>
            <w:vAlign w:val="center"/>
          </w:tcPr>
          <w:p>
            <w:pPr>
              <w:pStyle w:val="TableContents"/>
              <w:bidi w:val="0"/>
              <w:spacing w:before="0" w:after="0"/>
              <w:jc w:val="left"/>
              <w:rPr/>
            </w:pPr>
            <w:r>
              <w:rPr/>
              <w:t xml:space="preserve">Unallocated interest income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1,087</w:t>
            </w:r>
          </w:p>
        </w:tc>
        <w:tc>
          <w:tcPr>
            <w:tcW w:w="171" w:type="dxa"/>
            <w:tcBorders/>
            <w:shd w:fill="CCEEFF" w:val="clear"/>
            <w:vAlign w:val="center"/>
          </w:tcPr>
          <w:p>
            <w:pPr>
              <w:pStyle w:val="TableContents"/>
              <w:bidi w:val="0"/>
              <w:spacing w:before="0" w:after="283"/>
              <w:jc w:val="left"/>
              <w:rPr/>
            </w:pPr>
            <w:r>
              <w:rPr/>
              <w:t> </w:t>
            </w:r>
          </w:p>
        </w:tc>
      </w:tr>
      <w:tr>
        <w:trPr/>
        <w:tc>
          <w:tcPr>
            <w:tcW w:w="4541" w:type="dxa"/>
            <w:tcBorders/>
            <w:vAlign w:val="center"/>
          </w:tcPr>
          <w:p>
            <w:pPr>
              <w:pStyle w:val="TableContents"/>
              <w:bidi w:val="0"/>
              <w:spacing w:before="0" w:after="0"/>
              <w:jc w:val="left"/>
              <w:rPr/>
            </w:pPr>
            <w:r>
              <w:rPr/>
              <w:t xml:space="preserve">Corporate general and administrative expense (a)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33" w:type="dxa"/>
            <w:tcBorders>
              <w:bottom w:val="single" w:sz="6" w:space="0" w:color="000000"/>
            </w:tcBorders>
            <w:tcMar>
              <w:bottom w:w="28" w:type="dxa"/>
            </w:tcMar>
            <w:vAlign w:val="center"/>
          </w:tcPr>
          <w:p>
            <w:pPr>
              <w:pStyle w:val="TableContents"/>
              <w:bidi w:val="0"/>
              <w:spacing w:before="0" w:after="283"/>
              <w:jc w:val="right"/>
              <w:rPr/>
            </w:pPr>
            <w:r>
              <w:rPr/>
              <w:t>(10,763</w:t>
            </w:r>
          </w:p>
        </w:tc>
        <w:tc>
          <w:tcPr>
            <w:tcW w:w="171" w:type="dxa"/>
            <w:tcBorders>
              <w:bottom w:val="single" w:sz="12" w:space="0" w:color="000000"/>
            </w:tcBorders>
            <w:tcMar>
              <w:bottom w:w="28" w:type="dxa"/>
            </w:tcMar>
            <w:vAlign w:val="center"/>
          </w:tcPr>
          <w:p>
            <w:pPr>
              <w:pStyle w:val="TableContents"/>
              <w:bidi w:val="0"/>
              <w:spacing w:before="0" w:after="283"/>
              <w:jc w:val="left"/>
              <w:rPr/>
            </w:pPr>
            <w:r>
              <w:rPr/>
              <w:t>)</w:t>
            </w:r>
          </w:p>
        </w:tc>
      </w:tr>
      <w:tr>
        <w:trPr/>
        <w:tc>
          <w:tcPr>
            <w:tcW w:w="4541" w:type="dxa"/>
            <w:tcBorders/>
            <w:shd w:fill="CCEEFF" w:val="clear"/>
            <w:vAlign w:val="center"/>
          </w:tcPr>
          <w:p>
            <w:pPr>
              <w:pStyle w:val="TableContents"/>
              <w:bidi w:val="0"/>
              <w:spacing w:before="0" w:after="0"/>
              <w:jc w:val="left"/>
              <w:rPr/>
            </w:pPr>
            <w:r>
              <w:rPr/>
              <w:t xml:space="preserve">Consolidated income before taxes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33" w:type="dxa"/>
            <w:tcBorders>
              <w:bottom w:val="double" w:sz="8" w:space="0" w:color="000000"/>
            </w:tcBorders>
            <w:shd w:fill="CCEEFF" w:val="clear"/>
            <w:tcMar>
              <w:bottom w:w="28" w:type="dxa"/>
            </w:tcMar>
            <w:vAlign w:val="center"/>
          </w:tcPr>
          <w:p>
            <w:pPr>
              <w:pStyle w:val="TableContents"/>
              <w:bidi w:val="0"/>
              <w:spacing w:before="0" w:after="283"/>
              <w:jc w:val="right"/>
              <w:rPr/>
            </w:pPr>
            <w:r>
              <w:rPr/>
              <w:t>50,237</w:t>
            </w:r>
          </w:p>
        </w:tc>
        <w:tc>
          <w:tcPr>
            <w:tcW w:w="17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5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4541" w:type="dxa"/>
            <w:tcBorders/>
            <w:shd w:fill="CCEEFF" w:val="clear"/>
            <w:vAlign w:val="center"/>
          </w:tcPr>
          <w:p>
            <w:pPr>
              <w:pStyle w:val="TableContents"/>
              <w:bidi w:val="0"/>
              <w:spacing w:before="0" w:after="0"/>
              <w:jc w:val="left"/>
              <w:rPr/>
            </w:pPr>
            <w:r>
              <w:rPr>
                <w:i/>
              </w:rPr>
              <w:t>Reconciliation of total assets: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4541" w:type="dxa"/>
            <w:tcBorders/>
            <w:vAlign w:val="center"/>
          </w:tcPr>
          <w:p>
            <w:pPr>
              <w:pStyle w:val="TableContents"/>
              <w:bidi w:val="0"/>
              <w:spacing w:before="0" w:after="0"/>
              <w:jc w:val="left"/>
              <w:rPr/>
            </w:pPr>
            <w:r>
              <w:rPr/>
              <w:t xml:space="preserve">Total segment assets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3" w:type="dxa"/>
            <w:tcBorders/>
            <w:vAlign w:val="center"/>
          </w:tcPr>
          <w:p>
            <w:pPr>
              <w:pStyle w:val="TableContents"/>
              <w:bidi w:val="0"/>
              <w:spacing w:before="0" w:after="283"/>
              <w:jc w:val="right"/>
              <w:rPr/>
            </w:pPr>
            <w:r>
              <w:rPr/>
              <w:t>475,402</w:t>
            </w:r>
          </w:p>
        </w:tc>
        <w:tc>
          <w:tcPr>
            <w:tcW w:w="171" w:type="dxa"/>
            <w:tcBorders/>
            <w:vAlign w:val="center"/>
          </w:tcPr>
          <w:p>
            <w:pPr>
              <w:pStyle w:val="TableContents"/>
              <w:bidi w:val="0"/>
              <w:spacing w:before="0" w:after="283"/>
              <w:jc w:val="left"/>
              <w:rPr/>
            </w:pPr>
            <w:r>
              <w:rPr/>
              <w:t> </w:t>
            </w:r>
          </w:p>
        </w:tc>
      </w:tr>
      <w:tr>
        <w:trPr/>
        <w:tc>
          <w:tcPr>
            <w:tcW w:w="4541" w:type="dxa"/>
            <w:tcBorders/>
            <w:shd w:fill="CCEEFF" w:val="clear"/>
            <w:vAlign w:val="center"/>
          </w:tcPr>
          <w:p>
            <w:pPr>
              <w:pStyle w:val="TableContents"/>
              <w:bidi w:val="0"/>
              <w:spacing w:before="0" w:after="0"/>
              <w:jc w:val="left"/>
              <w:rPr/>
            </w:pPr>
            <w:r>
              <w:rPr/>
              <w:t xml:space="preserve">Corporate (b)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6" w:space="0" w:color="000000"/>
            </w:tcBorders>
            <w:shd w:fill="CCEEFF" w:val="clear"/>
            <w:tcMar>
              <w:bottom w:w="28" w:type="dxa"/>
            </w:tcMar>
            <w:vAlign w:val="center"/>
          </w:tcPr>
          <w:p>
            <w:pPr>
              <w:pStyle w:val="TableContents"/>
              <w:bidi w:val="0"/>
              <w:spacing w:before="0" w:after="283"/>
              <w:jc w:val="right"/>
              <w:rPr/>
            </w:pPr>
            <w:r>
              <w:rPr/>
              <w:t>208,808</w:t>
            </w:r>
          </w:p>
        </w:tc>
        <w:tc>
          <w:tcPr>
            <w:tcW w:w="171" w:type="dxa"/>
            <w:tcBorders/>
            <w:shd w:fill="CCEEFF" w:val="clear"/>
            <w:vAlign w:val="center"/>
          </w:tcPr>
          <w:p>
            <w:pPr>
              <w:pStyle w:val="TableContents"/>
              <w:bidi w:val="0"/>
              <w:spacing w:before="0" w:after="283"/>
              <w:jc w:val="left"/>
              <w:rPr/>
            </w:pPr>
            <w:r>
              <w:rPr/>
              <w:t> </w:t>
            </w:r>
          </w:p>
        </w:tc>
      </w:tr>
      <w:tr>
        <w:trPr/>
        <w:tc>
          <w:tcPr>
            <w:tcW w:w="4541" w:type="dxa"/>
            <w:tcBorders/>
            <w:vAlign w:val="center"/>
          </w:tcPr>
          <w:p>
            <w:pPr>
              <w:pStyle w:val="TableContents"/>
              <w:bidi w:val="0"/>
              <w:spacing w:before="0" w:after="0"/>
              <w:jc w:val="left"/>
              <w:rPr/>
            </w:pPr>
            <w:r>
              <w:rPr/>
              <w:t xml:space="preserve">Consolidated total assets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933" w:type="dxa"/>
            <w:tcBorders>
              <w:bottom w:val="double" w:sz="8" w:space="0" w:color="000000"/>
            </w:tcBorders>
            <w:tcMar>
              <w:bottom w:w="28" w:type="dxa"/>
            </w:tcMar>
            <w:vAlign w:val="center"/>
          </w:tcPr>
          <w:p>
            <w:pPr>
              <w:pStyle w:val="TableContents"/>
              <w:bidi w:val="0"/>
              <w:spacing w:before="0" w:after="283"/>
              <w:jc w:val="right"/>
              <w:rPr/>
            </w:pPr>
            <w:r>
              <w:rPr/>
              <w:t>684,210</w:t>
            </w:r>
          </w:p>
        </w:tc>
        <w:tc>
          <w:tcPr>
            <w:tcW w:w="171"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(a) - Primarily includes compensation expense, including stock-based compensation expense, for certain executive officers and consultants, insurance, legal and investor relations expenses and accounting and tax fees that are not allocated to the Company's operating segments. </w:t>
      </w:r>
    </w:p>
    <w:p>
      <w:pPr>
        <w:pStyle w:val="TextBody"/>
        <w:bidi w:val="0"/>
        <w:spacing w:before="0" w:after="0"/>
        <w:ind w:left="360" w:right="0" w:hanging="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(b) - Primarily consists of cash and deferred tax assets.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tbl>
      <w:tblPr>
        <w:tblW w:w="1230" w:type="dxa"/>
        <w:jc w:val="left"/>
        <w:tblInd w:w="0" w:type="dxa"/>
        <w:tblLayout w:type="fixed"/>
        <w:tblCellMar>
          <w:top w:w="0" w:type="dxa"/>
          <w:left w:w="0" w:type="dxa"/>
          <w:bottom w:w="0" w:type="dxa"/>
          <w:right w:w="0" w:type="dxa"/>
        </w:tblCellMar>
      </w:tblPr>
      <w:tblGrid>
        <w:gridCol w:w="105"/>
        <w:gridCol w:w="90"/>
        <w:gridCol w:w="90"/>
        <w:gridCol w:w="90"/>
        <w:gridCol w:w="90"/>
        <w:gridCol w:w="90"/>
        <w:gridCol w:w="90"/>
        <w:gridCol w:w="90"/>
        <w:gridCol w:w="90"/>
        <w:gridCol w:w="90"/>
        <w:gridCol w:w="90"/>
        <w:gridCol w:w="90"/>
        <w:gridCol w:w="135"/>
      </w:tblGrid>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 w:hAnsi="Times New Roman"/>
          <w:b/>
          <w:sz w:val="20"/>
        </w:rPr>
      </w:pPr>
      <w:r>
        <w:rPr>
          <w:rFonts w:ascii="Times New Roman" w:hAnsi="Times New Roman"/>
          <w:b/>
          <w:sz w:val="20"/>
        </w:rPr>
        <w:t>ADMA BIOLOGICS, INC.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NOTES TO CONDENSED CONSOLIDATED FINANCIAL STATEMENTS (UNAUDITED)</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4554"/>
        <w:gridCol w:w="90"/>
        <w:gridCol w:w="170"/>
        <w:gridCol w:w="1968"/>
        <w:gridCol w:w="185"/>
        <w:gridCol w:w="90"/>
        <w:gridCol w:w="170"/>
        <w:gridCol w:w="1472"/>
        <w:gridCol w:w="185"/>
        <w:gridCol w:w="90"/>
        <w:gridCol w:w="170"/>
        <w:gridCol w:w="830"/>
        <w:gridCol w:w="231"/>
      </w:tblGrid>
      <w:tr>
        <w:trPr/>
        <w:tc>
          <w:tcPr>
            <w:tcW w:w="45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9974" w:type="dxa"/>
            <w:gridSpan w:val="12"/>
            <w:tcBorders>
              <w:bottom w:val="single" w:sz="6" w:space="0" w:color="000000"/>
            </w:tcBorders>
            <w:tcMar>
              <w:bottom w:w="28" w:type="dxa"/>
            </w:tcMar>
            <w:vAlign w:val="center"/>
          </w:tcPr>
          <w:p>
            <w:pPr>
              <w:pStyle w:val="TableContents"/>
              <w:bidi w:val="0"/>
              <w:spacing w:before="0" w:after="283"/>
              <w:jc w:val="center"/>
              <w:rPr/>
            </w:pPr>
            <w:r>
              <w:rPr>
                <w:b/>
              </w:rPr>
              <w:t>Six Months Ended June 30, 2026</w:t>
            </w:r>
            <w:r>
              <w:rPr/>
              <w:t xml:space="preserve"> </w:t>
            </w:r>
          </w:p>
        </w:tc>
        <w:tc>
          <w:tcPr>
            <w:tcW w:w="231" w:type="dxa"/>
            <w:tcBorders/>
            <w:vAlign w:val="center"/>
          </w:tcPr>
          <w:p>
            <w:pPr>
              <w:pStyle w:val="TableContents"/>
              <w:bidi w:val="0"/>
              <w:spacing w:before="0" w:after="283"/>
              <w:jc w:val="center"/>
              <w:rPr/>
            </w:pPr>
            <w:r>
              <w:rPr/>
              <w:t> </w:t>
            </w:r>
          </w:p>
        </w:tc>
      </w:tr>
      <w:tr>
        <w:trPr/>
        <w:tc>
          <w:tcPr>
            <w:tcW w:w="4554" w:type="dxa"/>
            <w:tcBorders/>
            <w:vAlign w:val="center"/>
          </w:tcPr>
          <w:p>
            <w:pPr>
              <w:pStyle w:val="TableContents"/>
              <w:bidi w:val="0"/>
              <w:spacing w:before="0" w:after="0"/>
              <w:jc w:val="left"/>
              <w:rPr/>
            </w:pPr>
            <w:r>
              <w:rPr>
                <w:i/>
              </w:rPr>
              <w:t>(in thousands)</w:t>
            </w:r>
            <w:r>
              <w:rPr/>
              <w:t xml:space="preserve">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968" w:type="dxa"/>
            <w:tcBorders>
              <w:bottom w:val="single" w:sz="6" w:space="0" w:color="000000"/>
            </w:tcBorders>
            <w:tcMar>
              <w:bottom w:w="28" w:type="dxa"/>
            </w:tcMar>
            <w:vAlign w:val="center"/>
          </w:tcPr>
          <w:p>
            <w:pPr>
              <w:pStyle w:val="TableContents"/>
              <w:bidi w:val="0"/>
              <w:spacing w:before="0" w:after="283"/>
              <w:jc w:val="center"/>
              <w:rPr/>
            </w:pPr>
            <w:r>
              <w:rPr>
                <w:b/>
              </w:rPr>
              <w:t xml:space="preserve">ADMA </w:t>
              <w:br/>
              <w:t>BioManufacturing</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72" w:type="dxa"/>
            <w:tcBorders>
              <w:bottom w:val="single" w:sz="6" w:space="0" w:color="000000"/>
            </w:tcBorders>
            <w:tcMar>
              <w:bottom w:w="28" w:type="dxa"/>
            </w:tcMar>
            <w:vAlign w:val="center"/>
          </w:tcPr>
          <w:p>
            <w:pPr>
              <w:pStyle w:val="TableContents"/>
              <w:bidi w:val="0"/>
              <w:spacing w:before="0" w:after="283"/>
              <w:jc w:val="center"/>
              <w:rPr/>
            </w:pPr>
            <w:r>
              <w:rPr>
                <w:b/>
              </w:rPr>
              <w:t xml:space="preserve">Plasma Collection </w:t>
              <w:br/>
              <w:t>Centers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pPr>
            <w:r>
              <w:rPr>
                <w:b/>
              </w:rPr>
              <w:t>Total</w:t>
            </w:r>
            <w:r>
              <w:rPr/>
              <w:t xml:space="preserve"> </w:t>
            </w:r>
          </w:p>
        </w:tc>
        <w:tc>
          <w:tcPr>
            <w:tcW w:w="231" w:type="dxa"/>
            <w:tcBorders/>
            <w:vAlign w:val="center"/>
          </w:tcPr>
          <w:p>
            <w:pPr>
              <w:pStyle w:val="TableContents"/>
              <w:bidi w:val="0"/>
              <w:spacing w:before="0" w:after="283"/>
              <w:jc w:val="center"/>
              <w:rPr/>
            </w:pPr>
            <w:r>
              <w:rPr/>
              <w:t> </w:t>
            </w:r>
          </w:p>
        </w:tc>
      </w:tr>
      <w:tr>
        <w:trPr/>
        <w:tc>
          <w:tcPr>
            <w:tcW w:w="4554" w:type="dxa"/>
            <w:tcBorders/>
            <w:shd w:fill="CCEEFF" w:val="clear"/>
            <w:vAlign w:val="center"/>
          </w:tcPr>
          <w:p>
            <w:pPr>
              <w:pStyle w:val="TableContents"/>
              <w:bidi w:val="0"/>
              <w:spacing w:before="0" w:after="0"/>
              <w:jc w:val="left"/>
              <w:rPr/>
            </w:pPr>
            <w:r>
              <w:rPr/>
              <w:t xml:space="preserve">Revenues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68" w:type="dxa"/>
            <w:tcBorders/>
            <w:shd w:fill="CCEEFF" w:val="clear"/>
            <w:vAlign w:val="center"/>
          </w:tcPr>
          <w:p>
            <w:pPr>
              <w:pStyle w:val="TableContents"/>
              <w:bidi w:val="0"/>
              <w:spacing w:before="0" w:after="283"/>
              <w:jc w:val="right"/>
              <w:rPr/>
            </w:pPr>
            <w:r>
              <w:rPr/>
              <w:t>237,378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72" w:type="dxa"/>
            <w:tcBorders/>
            <w:shd w:fill="CCEEFF" w:val="clear"/>
            <w:vAlign w:val="center"/>
          </w:tcPr>
          <w:p>
            <w:pPr>
              <w:pStyle w:val="TableContents"/>
              <w:bidi w:val="0"/>
              <w:spacing w:before="0" w:after="283"/>
              <w:jc w:val="right"/>
              <w:rPr/>
            </w:pPr>
            <w:r>
              <w:rPr/>
              <w:t>1,439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238,817</w:t>
            </w:r>
          </w:p>
        </w:tc>
        <w:tc>
          <w:tcPr>
            <w:tcW w:w="231" w:type="dxa"/>
            <w:tcBorders/>
            <w:shd w:fill="CCEEFF" w:val="clear"/>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0"/>
              <w:jc w:val="left"/>
              <w:rPr/>
            </w:pPr>
            <w:r>
              <w:rPr/>
              <w:t xml:space="preserve">Cost of product revenue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70,514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1,347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71,861</w:t>
            </w:r>
          </w:p>
        </w:tc>
        <w:tc>
          <w:tcPr>
            <w:tcW w:w="231" w:type="dxa"/>
            <w:tcBorders/>
            <w:shd w:fill="CCEEFF" w:val="clear"/>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0"/>
              <w:jc w:val="left"/>
              <w:rPr/>
            </w:pPr>
            <w:r>
              <w:rPr/>
              <w:t xml:space="preserve">Research and development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8,611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8,611</w:t>
            </w:r>
          </w:p>
        </w:tc>
        <w:tc>
          <w:tcPr>
            <w:tcW w:w="231" w:type="dxa"/>
            <w:tcBorders/>
            <w:shd w:fill="CCEEFF" w:val="clear"/>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0"/>
              <w:jc w:val="left"/>
              <w:rPr/>
            </w:pPr>
            <w:r>
              <w:rPr/>
              <w:t xml:space="preserve">Plasma center operating expenses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2,088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2,088</w:t>
            </w:r>
          </w:p>
        </w:tc>
        <w:tc>
          <w:tcPr>
            <w:tcW w:w="231" w:type="dxa"/>
            <w:tcBorders/>
            <w:shd w:fill="CCEEFF" w:val="clear"/>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0"/>
              <w:jc w:val="left"/>
              <w:rPr/>
            </w:pPr>
            <w:r>
              <w:rPr/>
              <w:t xml:space="preserve">Gain on sale of plasma centers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(7,980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(7,980</w:t>
            </w:r>
          </w:p>
        </w:tc>
        <w:tc>
          <w:tcPr>
            <w:tcW w:w="231" w:type="dxa"/>
            <w:tcBorders/>
            <w:shd w:fill="CCEEFF" w:val="clear"/>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0"/>
              <w:jc w:val="left"/>
              <w:rPr/>
            </w:pPr>
            <w:r>
              <w:rPr/>
              <w:t xml:space="preserve">Selling, marketing and distribution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14,830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14,830</w:t>
            </w:r>
          </w:p>
        </w:tc>
        <w:tc>
          <w:tcPr>
            <w:tcW w:w="231" w:type="dxa"/>
            <w:tcBorders/>
            <w:shd w:fill="CCEEFF" w:val="clear"/>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0"/>
              <w:jc w:val="left"/>
              <w:rPr/>
            </w:pPr>
            <w:r>
              <w:rPr/>
              <w:t xml:space="preserve">Depreciation and amortization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2,556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1,064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3,620</w:t>
            </w:r>
          </w:p>
        </w:tc>
        <w:tc>
          <w:tcPr>
            <w:tcW w:w="231" w:type="dxa"/>
            <w:tcBorders/>
            <w:shd w:fill="CCEEFF" w:val="clear"/>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0"/>
              <w:jc w:val="left"/>
              <w:rPr/>
            </w:pPr>
            <w:r>
              <w:rPr/>
              <w:t xml:space="preserve">General and administrative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16,798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16,798</w:t>
            </w:r>
          </w:p>
        </w:tc>
        <w:tc>
          <w:tcPr>
            <w:tcW w:w="231" w:type="dxa"/>
            <w:tcBorders/>
            <w:shd w:fill="CCEEFF" w:val="clear"/>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0"/>
              <w:jc w:val="left"/>
              <w:rPr/>
            </w:pPr>
            <w:r>
              <w:rPr/>
              <w:t xml:space="preserve">Other income (expense), net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(207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218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w:t>
            </w:r>
          </w:p>
        </w:tc>
        <w:tc>
          <w:tcPr>
            <w:tcW w:w="231" w:type="dxa"/>
            <w:tcBorders/>
            <w:shd w:fill="CCEEFF" w:val="clear"/>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0"/>
              <w:jc w:val="left"/>
              <w:rPr/>
            </w:pPr>
            <w:r>
              <w:rPr/>
              <w:t xml:space="preserve">Income (loss) before taxes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126,308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6,202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132,510</w:t>
            </w:r>
          </w:p>
        </w:tc>
        <w:tc>
          <w:tcPr>
            <w:tcW w:w="231" w:type="dxa"/>
            <w:tcBorders/>
            <w:shd w:fill="CCEEFF" w:val="clear"/>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283"/>
              <w:jc w:val="left"/>
              <w:rPr>
                <w:spacing w:val="0"/>
              </w:rPr>
            </w:pPr>
            <w:r>
              <w:rPr>
                <w:spacing w:val="0"/>
              </w:rPr>
              <w:t>Expenditures for additions to long-lived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4,772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27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4,799</w:t>
            </w:r>
          </w:p>
        </w:tc>
        <w:tc>
          <w:tcPr>
            <w:tcW w:w="231" w:type="dxa"/>
            <w:tcBorders/>
            <w:shd w:fill="CCEEFF" w:val="clear"/>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0"/>
              <w:jc w:val="left"/>
              <w:rPr/>
            </w:pPr>
            <w:r>
              <w:rPr/>
              <w:t xml:space="preserve">Total assets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right"/>
              <w:rPr/>
            </w:pPr>
            <w:r>
              <w:rPr/>
              <w:t>453,538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right"/>
              <w:rPr/>
            </w:pPr>
            <w:r>
              <w:rPr/>
              <w:t>21,864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475,402</w:t>
            </w:r>
          </w:p>
        </w:tc>
        <w:tc>
          <w:tcPr>
            <w:tcW w:w="231" w:type="dxa"/>
            <w:tcBorders/>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0"/>
              <w:jc w:val="left"/>
              <w:rPr/>
            </w:pPr>
            <w:r>
              <w:rPr>
                <w:i/>
              </w:rPr>
              <w:t>Reconciliation of revenues: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0"/>
              <w:jc w:val="left"/>
              <w:rPr/>
            </w:pPr>
            <w:r>
              <w:rPr/>
              <w:t xml:space="preserve">Segment revenue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238,817</w:t>
            </w:r>
          </w:p>
        </w:tc>
        <w:tc>
          <w:tcPr>
            <w:tcW w:w="231" w:type="dxa"/>
            <w:tcBorders/>
            <w:shd w:fill="CCEEFF" w:val="clear"/>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0"/>
              <w:jc w:val="left"/>
              <w:rPr/>
            </w:pPr>
            <w:r>
              <w:rPr/>
              <w:t xml:space="preserve">License revenue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71</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0"/>
              <w:jc w:val="left"/>
              <w:rPr/>
            </w:pPr>
            <w:r>
              <w:rPr/>
              <w:t xml:space="preserve">Consolidated revenues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238,888</w:t>
            </w:r>
          </w:p>
        </w:tc>
        <w:tc>
          <w:tcPr>
            <w:tcW w:w="23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0"/>
              <w:jc w:val="left"/>
              <w:rPr/>
            </w:pPr>
            <w:r>
              <w:rPr>
                <w:i/>
              </w:rPr>
              <w:t>Reconciliation of selling, general and administrative expense:</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0"/>
              <w:jc w:val="left"/>
              <w:rPr/>
            </w:pPr>
            <w:r>
              <w:rPr/>
              <w:t xml:space="preserve">Segment selling, marketing and distribution expense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14,830</w:t>
            </w:r>
          </w:p>
        </w:tc>
        <w:tc>
          <w:tcPr>
            <w:tcW w:w="231" w:type="dxa"/>
            <w:tcBorders/>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0"/>
              <w:jc w:val="left"/>
              <w:rPr/>
            </w:pPr>
            <w:r>
              <w:rPr/>
              <w:t xml:space="preserve">Segment general and administrative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16,798</w:t>
            </w:r>
          </w:p>
        </w:tc>
        <w:tc>
          <w:tcPr>
            <w:tcW w:w="231" w:type="dxa"/>
            <w:tcBorders/>
            <w:shd w:fill="CCEEFF" w:val="clear"/>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0"/>
              <w:jc w:val="left"/>
              <w:rPr/>
            </w:pPr>
            <w:r>
              <w:rPr/>
              <w:t xml:space="preserve">Corporate general and administrative expense (a)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21,851</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0"/>
              <w:jc w:val="left"/>
              <w:rPr/>
            </w:pPr>
            <w:r>
              <w:rPr/>
              <w:t xml:space="preserve">Consolidated selling, general and administrative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53,479</w:t>
            </w:r>
          </w:p>
        </w:tc>
        <w:tc>
          <w:tcPr>
            <w:tcW w:w="23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0"/>
              <w:jc w:val="left"/>
              <w:rPr/>
            </w:pPr>
            <w:r>
              <w:rPr>
                <w:i/>
              </w:rPr>
              <w:t>Reconciliation of income (loss) before taxes: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0"/>
              <w:jc w:val="left"/>
              <w:rPr/>
            </w:pPr>
            <w:r>
              <w:rPr/>
              <w:t xml:space="preserve">Segment income before taxes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132,510</w:t>
            </w:r>
          </w:p>
        </w:tc>
        <w:tc>
          <w:tcPr>
            <w:tcW w:w="231" w:type="dxa"/>
            <w:tcBorders/>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0"/>
              <w:jc w:val="left"/>
              <w:rPr/>
            </w:pPr>
            <w:r>
              <w:rPr/>
              <w:t xml:space="preserve">License revenue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71</w:t>
            </w:r>
          </w:p>
        </w:tc>
        <w:tc>
          <w:tcPr>
            <w:tcW w:w="231" w:type="dxa"/>
            <w:tcBorders/>
            <w:shd w:fill="CCEEFF" w:val="clear"/>
            <w:vAlign w:val="center"/>
          </w:tcPr>
          <w:p>
            <w:pPr>
              <w:pStyle w:val="TableContents"/>
              <w:bidi w:val="0"/>
              <w:spacing w:before="0" w:after="283"/>
              <w:ind w:left="0" w:right="0" w:hanging="150"/>
              <w:jc w:val="left"/>
              <w:rPr/>
            </w:pPr>
            <w:r>
              <w:rPr/>
              <w:t> </w:t>
            </w:r>
          </w:p>
        </w:tc>
      </w:tr>
      <w:tr>
        <w:trPr/>
        <w:tc>
          <w:tcPr>
            <w:tcW w:w="4554" w:type="dxa"/>
            <w:tcBorders/>
            <w:vAlign w:val="center"/>
          </w:tcPr>
          <w:p>
            <w:pPr>
              <w:pStyle w:val="TableContents"/>
              <w:bidi w:val="0"/>
              <w:spacing w:before="0" w:after="0"/>
              <w:jc w:val="left"/>
              <w:rPr/>
            </w:pPr>
            <w:r>
              <w:rPr/>
              <w:t xml:space="preserve">Unallocated interest expense, primarily related to interest on senior debt (see Note 7)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(5,520</w:t>
            </w:r>
          </w:p>
        </w:tc>
        <w:tc>
          <w:tcPr>
            <w:tcW w:w="231" w:type="dxa"/>
            <w:tcBorders/>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0"/>
              <w:jc w:val="left"/>
              <w:rPr/>
            </w:pPr>
            <w:r>
              <w:rPr/>
              <w:t xml:space="preserve">Unallocated interest income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2,155</w:t>
            </w:r>
          </w:p>
        </w:tc>
        <w:tc>
          <w:tcPr>
            <w:tcW w:w="231" w:type="dxa"/>
            <w:tcBorders/>
            <w:shd w:fill="CCEEFF" w:val="clear"/>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0"/>
              <w:jc w:val="left"/>
              <w:rPr/>
            </w:pPr>
            <w:r>
              <w:rPr/>
              <w:t xml:space="preserve">Corporate general and administrative expense (a)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(21,851</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0"/>
              <w:jc w:val="left"/>
              <w:rPr/>
            </w:pPr>
            <w:r>
              <w:rPr/>
              <w:t xml:space="preserve">Consolidated income before taxes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107,365</w:t>
            </w:r>
          </w:p>
        </w:tc>
        <w:tc>
          <w:tcPr>
            <w:tcW w:w="23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0"/>
              <w:jc w:val="left"/>
              <w:rPr/>
            </w:pPr>
            <w:r>
              <w:rPr>
                <w:i/>
              </w:rPr>
              <w:t>Reconciliation of total assets: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0"/>
              <w:jc w:val="left"/>
              <w:rPr/>
            </w:pPr>
            <w:r>
              <w:rPr/>
              <w:t xml:space="preserve">Total segment assets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475,402</w:t>
            </w:r>
          </w:p>
        </w:tc>
        <w:tc>
          <w:tcPr>
            <w:tcW w:w="231" w:type="dxa"/>
            <w:tcBorders/>
            <w:vAlign w:val="center"/>
          </w:tcPr>
          <w:p>
            <w:pPr>
              <w:pStyle w:val="TableContents"/>
              <w:bidi w:val="0"/>
              <w:spacing w:before="0" w:after="283"/>
              <w:jc w:val="left"/>
              <w:rPr/>
            </w:pPr>
            <w:r>
              <w:rPr/>
              <w:t> </w:t>
            </w:r>
          </w:p>
        </w:tc>
      </w:tr>
      <w:tr>
        <w:trPr/>
        <w:tc>
          <w:tcPr>
            <w:tcW w:w="4554" w:type="dxa"/>
            <w:tcBorders/>
            <w:shd w:fill="CCEEFF" w:val="clear"/>
            <w:vAlign w:val="center"/>
          </w:tcPr>
          <w:p>
            <w:pPr>
              <w:pStyle w:val="TableContents"/>
              <w:bidi w:val="0"/>
              <w:spacing w:before="0" w:after="0"/>
              <w:jc w:val="left"/>
              <w:rPr/>
            </w:pPr>
            <w:r>
              <w:rPr/>
              <w:t xml:space="preserve">Corporate (b)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208,808</w:t>
            </w:r>
          </w:p>
        </w:tc>
        <w:tc>
          <w:tcPr>
            <w:tcW w:w="231" w:type="dxa"/>
            <w:tcBorders/>
            <w:shd w:fill="CCEEFF" w:val="clear"/>
            <w:vAlign w:val="center"/>
          </w:tcPr>
          <w:p>
            <w:pPr>
              <w:pStyle w:val="TableContents"/>
              <w:bidi w:val="0"/>
              <w:spacing w:before="0" w:after="283"/>
              <w:jc w:val="left"/>
              <w:rPr/>
            </w:pPr>
            <w:r>
              <w:rPr/>
              <w:t> </w:t>
            </w:r>
          </w:p>
        </w:tc>
      </w:tr>
      <w:tr>
        <w:trPr/>
        <w:tc>
          <w:tcPr>
            <w:tcW w:w="4554" w:type="dxa"/>
            <w:tcBorders/>
            <w:vAlign w:val="center"/>
          </w:tcPr>
          <w:p>
            <w:pPr>
              <w:pStyle w:val="TableContents"/>
              <w:bidi w:val="0"/>
              <w:spacing w:before="0" w:after="0"/>
              <w:jc w:val="left"/>
              <w:rPr/>
            </w:pPr>
            <w:r>
              <w:rPr/>
              <w:t xml:space="preserve">Consolidated total assets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tcMar>
              <w:bottom w:w="28" w:type="dxa"/>
            </w:tcMar>
            <w:vAlign w:val="center"/>
          </w:tcPr>
          <w:p>
            <w:pPr>
              <w:pStyle w:val="TableContents"/>
              <w:bidi w:val="0"/>
              <w:spacing w:before="0" w:after="283"/>
              <w:jc w:val="right"/>
              <w:rPr/>
            </w:pPr>
            <w:r>
              <w:rPr/>
              <w:t>684,210</w:t>
            </w:r>
          </w:p>
        </w:tc>
        <w:tc>
          <w:tcPr>
            <w:tcW w:w="231"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(a) - Primarily includes compensation expense, including stock-based compensation expense, for certain executive officers and consultants, insurance, legal and investor relations expenses and accounting and tax fees that are not allocated to the Company's operating segments. </w: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(b) - Primarily consists of cash and deferred tax assets.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tbl>
      <w:tblPr>
        <w:tblW w:w="1230" w:type="dxa"/>
        <w:jc w:val="left"/>
        <w:tblInd w:w="0" w:type="dxa"/>
        <w:tblLayout w:type="fixed"/>
        <w:tblCellMar>
          <w:top w:w="0" w:type="dxa"/>
          <w:left w:w="0" w:type="dxa"/>
          <w:bottom w:w="0" w:type="dxa"/>
          <w:right w:w="0" w:type="dxa"/>
        </w:tblCellMar>
      </w:tblPr>
      <w:tblGrid>
        <w:gridCol w:w="105"/>
        <w:gridCol w:w="90"/>
        <w:gridCol w:w="90"/>
        <w:gridCol w:w="90"/>
        <w:gridCol w:w="90"/>
        <w:gridCol w:w="90"/>
        <w:gridCol w:w="90"/>
        <w:gridCol w:w="90"/>
        <w:gridCol w:w="90"/>
        <w:gridCol w:w="90"/>
        <w:gridCol w:w="90"/>
        <w:gridCol w:w="90"/>
        <w:gridCol w:w="135"/>
      </w:tblGrid>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 w:hAnsi="Times New Roman"/>
          <w:b/>
          <w:sz w:val="20"/>
        </w:rPr>
      </w:pPr>
      <w:r>
        <w:rPr>
          <w:rFonts w:ascii="Times New Roman" w:hAnsi="Times New Roman"/>
          <w:b/>
          <w:sz w:val="20"/>
        </w:rPr>
        <w:t>ADMA BIOLOGICS, INC.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NOTES TO CONDENSED CONSOLIDATED FINANCIAL STATEMENTS (UNAUDITED)</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4584"/>
        <w:gridCol w:w="90"/>
        <w:gridCol w:w="170"/>
        <w:gridCol w:w="1968"/>
        <w:gridCol w:w="185"/>
        <w:gridCol w:w="90"/>
        <w:gridCol w:w="170"/>
        <w:gridCol w:w="1442"/>
        <w:gridCol w:w="185"/>
        <w:gridCol w:w="90"/>
        <w:gridCol w:w="170"/>
        <w:gridCol w:w="830"/>
        <w:gridCol w:w="231"/>
      </w:tblGrid>
      <w:tr>
        <w:trPr/>
        <w:tc>
          <w:tcPr>
            <w:tcW w:w="45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9974" w:type="dxa"/>
            <w:gridSpan w:val="12"/>
            <w:tcBorders>
              <w:bottom w:val="single" w:sz="6" w:space="0" w:color="000000"/>
            </w:tcBorders>
            <w:tcMar>
              <w:bottom w:w="28" w:type="dxa"/>
            </w:tcMar>
            <w:vAlign w:val="center"/>
          </w:tcPr>
          <w:p>
            <w:pPr>
              <w:pStyle w:val="TableContents"/>
              <w:bidi w:val="0"/>
              <w:spacing w:before="0" w:after="283"/>
              <w:jc w:val="center"/>
              <w:rPr/>
            </w:pPr>
            <w:r>
              <w:rPr>
                <w:b/>
              </w:rPr>
              <w:t>Three Months Ended June 30, 2025</w:t>
            </w:r>
            <w:r>
              <w:rPr/>
              <w:t xml:space="preserve"> </w:t>
            </w:r>
          </w:p>
        </w:tc>
        <w:tc>
          <w:tcPr>
            <w:tcW w:w="231" w:type="dxa"/>
            <w:tcBorders/>
            <w:vAlign w:val="center"/>
          </w:tcPr>
          <w:p>
            <w:pPr>
              <w:pStyle w:val="TableContents"/>
              <w:bidi w:val="0"/>
              <w:spacing w:before="0" w:after="283"/>
              <w:jc w:val="center"/>
              <w:rPr/>
            </w:pPr>
            <w:r>
              <w:rPr/>
              <w:t> </w:t>
            </w:r>
          </w:p>
        </w:tc>
      </w:tr>
      <w:tr>
        <w:trPr/>
        <w:tc>
          <w:tcPr>
            <w:tcW w:w="4584" w:type="dxa"/>
            <w:tcBorders/>
            <w:vAlign w:val="center"/>
          </w:tcPr>
          <w:p>
            <w:pPr>
              <w:pStyle w:val="TableContents"/>
              <w:bidi w:val="0"/>
              <w:spacing w:before="0" w:after="283"/>
              <w:jc w:val="center"/>
              <w:rPr/>
            </w:pPr>
            <w:r>
              <w:rPr>
                <w:i/>
              </w:rPr>
              <w:t>(in thousands)</w:t>
            </w:r>
            <w:r>
              <w:rPr/>
              <w:t xml:space="preserve">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968" w:type="dxa"/>
            <w:tcBorders>
              <w:bottom w:val="single" w:sz="6" w:space="0" w:color="000000"/>
            </w:tcBorders>
            <w:tcMar>
              <w:bottom w:w="28" w:type="dxa"/>
            </w:tcMar>
            <w:vAlign w:val="center"/>
          </w:tcPr>
          <w:p>
            <w:pPr>
              <w:pStyle w:val="TableContents"/>
              <w:bidi w:val="0"/>
              <w:spacing w:before="0" w:after="283"/>
              <w:jc w:val="center"/>
              <w:rPr/>
            </w:pPr>
            <w:r>
              <w:rPr>
                <w:b/>
              </w:rPr>
              <w:t>ADMA</w:t>
              <w:br/>
              <w:t>BioManufacturing</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42" w:type="dxa"/>
            <w:tcBorders>
              <w:bottom w:val="single" w:sz="6" w:space="0" w:color="000000"/>
            </w:tcBorders>
            <w:tcMar>
              <w:bottom w:w="28" w:type="dxa"/>
            </w:tcMar>
            <w:vAlign w:val="center"/>
          </w:tcPr>
          <w:p>
            <w:pPr>
              <w:pStyle w:val="TableContents"/>
              <w:bidi w:val="0"/>
              <w:spacing w:before="0" w:after="283"/>
              <w:jc w:val="center"/>
              <w:rPr/>
            </w:pPr>
            <w:r>
              <w:rPr>
                <w:b/>
              </w:rPr>
              <w:t>Plasma Collection</w:t>
              <w:br/>
              <w:t>Centers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pPr>
            <w:r>
              <w:rPr>
                <w:b/>
              </w:rPr>
              <w:t>Total</w:t>
            </w:r>
            <w:r>
              <w:rPr/>
              <w:t xml:space="preserve"> </w:t>
            </w:r>
          </w:p>
        </w:tc>
        <w:tc>
          <w:tcPr>
            <w:tcW w:w="231" w:type="dxa"/>
            <w:tcBorders/>
            <w:vAlign w:val="center"/>
          </w:tcPr>
          <w:p>
            <w:pPr>
              <w:pStyle w:val="TableContents"/>
              <w:bidi w:val="0"/>
              <w:spacing w:before="0" w:after="283"/>
              <w:jc w:val="center"/>
              <w:rPr/>
            </w:pPr>
            <w:r>
              <w:rPr/>
              <w:t> </w:t>
            </w:r>
          </w:p>
        </w:tc>
      </w:tr>
      <w:tr>
        <w:trPr/>
        <w:tc>
          <w:tcPr>
            <w:tcW w:w="4584" w:type="dxa"/>
            <w:tcBorders/>
            <w:shd w:fill="CCEEFF" w:val="clear"/>
            <w:vAlign w:val="center"/>
          </w:tcPr>
          <w:p>
            <w:pPr>
              <w:pStyle w:val="TableContents"/>
              <w:bidi w:val="0"/>
              <w:spacing w:before="0" w:after="0"/>
              <w:jc w:val="left"/>
              <w:rPr/>
            </w:pPr>
            <w:r>
              <w:rPr/>
              <w:t xml:space="preserve">Revenues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68" w:type="dxa"/>
            <w:tcBorders/>
            <w:shd w:fill="CCEEFF" w:val="clear"/>
            <w:vAlign w:val="center"/>
          </w:tcPr>
          <w:p>
            <w:pPr>
              <w:pStyle w:val="TableContents"/>
              <w:bidi w:val="0"/>
              <w:spacing w:before="0" w:after="283"/>
              <w:jc w:val="right"/>
              <w:rPr/>
            </w:pPr>
            <w:r>
              <w:rPr/>
              <w:t>121,948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2" w:type="dxa"/>
            <w:tcBorders/>
            <w:shd w:fill="CCEEFF" w:val="clear"/>
            <w:vAlign w:val="center"/>
          </w:tcPr>
          <w:p>
            <w:pPr>
              <w:pStyle w:val="TableContents"/>
              <w:bidi w:val="0"/>
              <w:spacing w:before="0" w:after="283"/>
              <w:jc w:val="right"/>
              <w:rPr/>
            </w:pPr>
            <w:r>
              <w:rPr/>
              <w:t>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121,948</w:t>
            </w:r>
          </w:p>
        </w:tc>
        <w:tc>
          <w:tcPr>
            <w:tcW w:w="231" w:type="dxa"/>
            <w:tcBorders/>
            <w:shd w:fill="CCEEFF" w:val="clear"/>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84" w:type="dxa"/>
            <w:tcBorders/>
            <w:shd w:fill="CCEEFF" w:val="clear"/>
            <w:vAlign w:val="center"/>
          </w:tcPr>
          <w:p>
            <w:pPr>
              <w:pStyle w:val="TableContents"/>
              <w:bidi w:val="0"/>
              <w:spacing w:before="0" w:after="0"/>
              <w:jc w:val="left"/>
              <w:rPr/>
            </w:pPr>
            <w:r>
              <w:rPr/>
              <w:t xml:space="preserve">Cost of product revenue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54,757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54,757</w:t>
            </w:r>
          </w:p>
        </w:tc>
        <w:tc>
          <w:tcPr>
            <w:tcW w:w="231" w:type="dxa"/>
            <w:tcBorders/>
            <w:shd w:fill="CCEEFF" w:val="clear"/>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84" w:type="dxa"/>
            <w:tcBorders/>
            <w:shd w:fill="CCEEFF" w:val="clear"/>
            <w:vAlign w:val="center"/>
          </w:tcPr>
          <w:p>
            <w:pPr>
              <w:pStyle w:val="TableContents"/>
              <w:bidi w:val="0"/>
              <w:spacing w:before="0" w:after="0"/>
              <w:jc w:val="left"/>
              <w:rPr/>
            </w:pPr>
            <w:r>
              <w:rPr/>
              <w:t xml:space="preserve">Research and development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1,031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1,031</w:t>
            </w:r>
          </w:p>
        </w:tc>
        <w:tc>
          <w:tcPr>
            <w:tcW w:w="231" w:type="dxa"/>
            <w:tcBorders/>
            <w:shd w:fill="CCEEFF" w:val="clear"/>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84" w:type="dxa"/>
            <w:tcBorders/>
            <w:shd w:fill="CCEEFF" w:val="clear"/>
            <w:vAlign w:val="center"/>
          </w:tcPr>
          <w:p>
            <w:pPr>
              <w:pStyle w:val="TableContents"/>
              <w:bidi w:val="0"/>
              <w:spacing w:before="0" w:after="0"/>
              <w:jc w:val="left"/>
              <w:rPr/>
            </w:pPr>
            <w:r>
              <w:rPr/>
              <w:t xml:space="preserve">Plasma center operating expenses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1,152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1,152</w:t>
            </w:r>
          </w:p>
        </w:tc>
        <w:tc>
          <w:tcPr>
            <w:tcW w:w="231" w:type="dxa"/>
            <w:tcBorders/>
            <w:shd w:fill="CCEEFF" w:val="clear"/>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84" w:type="dxa"/>
            <w:tcBorders/>
            <w:shd w:fill="CCEEFF" w:val="clear"/>
            <w:vAlign w:val="center"/>
          </w:tcPr>
          <w:p>
            <w:pPr>
              <w:pStyle w:val="TableContents"/>
              <w:bidi w:val="0"/>
              <w:spacing w:before="0" w:after="0"/>
              <w:jc w:val="left"/>
              <w:rPr/>
            </w:pPr>
            <w:r>
              <w:rPr/>
              <w:t xml:space="preserve">Selling, marketing and distribution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5,868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5,868</w:t>
            </w:r>
          </w:p>
        </w:tc>
        <w:tc>
          <w:tcPr>
            <w:tcW w:w="231" w:type="dxa"/>
            <w:tcBorders/>
            <w:shd w:fill="CCEEFF" w:val="clear"/>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84" w:type="dxa"/>
            <w:tcBorders/>
            <w:shd w:fill="CCEEFF" w:val="clear"/>
            <w:vAlign w:val="center"/>
          </w:tcPr>
          <w:p>
            <w:pPr>
              <w:pStyle w:val="TableContents"/>
              <w:bidi w:val="0"/>
              <w:spacing w:before="0" w:after="0"/>
              <w:jc w:val="left"/>
              <w:rPr/>
            </w:pPr>
            <w:r>
              <w:rPr/>
              <w:t xml:space="preserve">Amortization of intangible assets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32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32</w:t>
            </w:r>
          </w:p>
        </w:tc>
        <w:tc>
          <w:tcPr>
            <w:tcW w:w="231" w:type="dxa"/>
            <w:tcBorders/>
            <w:shd w:fill="CCEEFF" w:val="clear"/>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84" w:type="dxa"/>
            <w:tcBorders/>
            <w:shd w:fill="CCEEFF" w:val="clear"/>
            <w:vAlign w:val="center"/>
          </w:tcPr>
          <w:p>
            <w:pPr>
              <w:pStyle w:val="TableContents"/>
              <w:bidi w:val="0"/>
              <w:spacing w:before="0" w:after="0"/>
              <w:jc w:val="left"/>
              <w:rPr/>
            </w:pPr>
            <w:r>
              <w:rPr/>
              <w:t xml:space="preserve">General and administrative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14,941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14,941</w:t>
            </w:r>
          </w:p>
        </w:tc>
        <w:tc>
          <w:tcPr>
            <w:tcW w:w="231" w:type="dxa"/>
            <w:tcBorders/>
            <w:shd w:fill="CCEEFF" w:val="clear"/>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84" w:type="dxa"/>
            <w:tcBorders/>
            <w:shd w:fill="CCEEFF" w:val="clear"/>
            <w:vAlign w:val="center"/>
          </w:tcPr>
          <w:p>
            <w:pPr>
              <w:pStyle w:val="TableContents"/>
              <w:bidi w:val="0"/>
              <w:spacing w:before="0" w:after="0"/>
              <w:jc w:val="left"/>
              <w:rPr/>
            </w:pPr>
            <w:r>
              <w:rPr/>
              <w:t xml:space="preserve">Other expense, net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(108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(108</w:t>
            </w:r>
          </w:p>
        </w:tc>
        <w:tc>
          <w:tcPr>
            <w:tcW w:w="231" w:type="dxa"/>
            <w:tcBorders/>
            <w:shd w:fill="CCEEFF" w:val="clear"/>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84" w:type="dxa"/>
            <w:tcBorders/>
            <w:shd w:fill="CCEEFF" w:val="clear"/>
            <w:vAlign w:val="center"/>
          </w:tcPr>
          <w:p>
            <w:pPr>
              <w:pStyle w:val="TableContents"/>
              <w:bidi w:val="0"/>
              <w:spacing w:before="0" w:after="0"/>
              <w:jc w:val="left"/>
              <w:rPr/>
            </w:pPr>
            <w:r>
              <w:rPr/>
              <w:t xml:space="preserve">Income (loss) before taxes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45,211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(1,152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44,059</w:t>
            </w:r>
          </w:p>
        </w:tc>
        <w:tc>
          <w:tcPr>
            <w:tcW w:w="231" w:type="dxa"/>
            <w:tcBorders/>
            <w:shd w:fill="CCEEFF" w:val="clear"/>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84" w:type="dxa"/>
            <w:tcBorders/>
            <w:shd w:fill="CCEEFF" w:val="clear"/>
            <w:vAlign w:val="center"/>
          </w:tcPr>
          <w:p>
            <w:pPr>
              <w:pStyle w:val="TableContents"/>
              <w:bidi w:val="0"/>
              <w:spacing w:before="0" w:after="283"/>
              <w:jc w:val="left"/>
              <w:rPr>
                <w:spacing w:val="0"/>
              </w:rPr>
            </w:pPr>
            <w:r>
              <w:rPr>
                <w:spacing w:val="0"/>
              </w:rPr>
              <w:t>Expenditures for additions to long-lived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right"/>
              <w:rPr/>
            </w:pPr>
            <w:r>
              <w:rPr/>
              <w:t>2,034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(7</w:t>
            </w:r>
          </w:p>
        </w:tc>
        <w:tc>
          <w:tcPr>
            <w:tcW w:w="18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2,027</w:t>
            </w:r>
          </w:p>
        </w:tc>
        <w:tc>
          <w:tcPr>
            <w:tcW w:w="231" w:type="dxa"/>
            <w:tcBorders/>
            <w:shd w:fill="CCEEFF" w:val="clear"/>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0"/>
              <w:jc w:val="left"/>
              <w:rPr/>
            </w:pPr>
            <w:r>
              <w:rPr/>
              <w:t xml:space="preserve">Total assets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right"/>
              <w:rPr/>
            </w:pPr>
            <w:r>
              <w:rPr/>
              <w:t>368,229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29,161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397,390</w:t>
            </w:r>
          </w:p>
        </w:tc>
        <w:tc>
          <w:tcPr>
            <w:tcW w:w="231" w:type="dxa"/>
            <w:tcBorders/>
            <w:vAlign w:val="center"/>
          </w:tcPr>
          <w:p>
            <w:pPr>
              <w:pStyle w:val="TableContents"/>
              <w:bidi w:val="0"/>
              <w:spacing w:before="0" w:after="283"/>
              <w:jc w:val="left"/>
              <w:rPr/>
            </w:pPr>
            <w:r>
              <w:rPr/>
              <w:t> </w:t>
            </w:r>
          </w:p>
        </w:tc>
      </w:tr>
      <w:tr>
        <w:trPr/>
        <w:tc>
          <w:tcPr>
            <w:tcW w:w="458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0"/>
              <w:jc w:val="left"/>
              <w:rPr/>
            </w:pPr>
            <w:r>
              <w:rPr>
                <w:i/>
              </w:rPr>
              <w:t>Reconciliation of revenues: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84" w:type="dxa"/>
            <w:tcBorders/>
            <w:shd w:fill="CCEEFF" w:val="clear"/>
            <w:vAlign w:val="center"/>
          </w:tcPr>
          <w:p>
            <w:pPr>
              <w:pStyle w:val="TableContents"/>
              <w:bidi w:val="0"/>
              <w:spacing w:before="0" w:after="0"/>
              <w:jc w:val="left"/>
              <w:rPr/>
            </w:pPr>
            <w:r>
              <w:rPr/>
              <w:t xml:space="preserve">Segment revenue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121,948</w:t>
            </w:r>
          </w:p>
        </w:tc>
        <w:tc>
          <w:tcPr>
            <w:tcW w:w="231" w:type="dxa"/>
            <w:tcBorders/>
            <w:shd w:fill="CCEEFF" w:val="clear"/>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0"/>
              <w:jc w:val="left"/>
              <w:rPr/>
            </w:pPr>
            <w:r>
              <w:rPr/>
              <w:t xml:space="preserve">License revenue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36</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584" w:type="dxa"/>
            <w:tcBorders/>
            <w:shd w:fill="CCEEFF" w:val="clear"/>
            <w:vAlign w:val="center"/>
          </w:tcPr>
          <w:p>
            <w:pPr>
              <w:pStyle w:val="TableContents"/>
              <w:bidi w:val="0"/>
              <w:spacing w:before="0" w:after="0"/>
              <w:jc w:val="left"/>
              <w:rPr/>
            </w:pPr>
            <w:r>
              <w:rPr/>
              <w:t xml:space="preserve">Consolidated revenues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121,984</w:t>
            </w:r>
          </w:p>
        </w:tc>
        <w:tc>
          <w:tcPr>
            <w:tcW w:w="23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84" w:type="dxa"/>
            <w:tcBorders/>
            <w:shd w:fill="CCEEFF" w:val="clear"/>
            <w:vAlign w:val="center"/>
          </w:tcPr>
          <w:p>
            <w:pPr>
              <w:pStyle w:val="TableContents"/>
              <w:bidi w:val="0"/>
              <w:spacing w:before="0" w:after="0"/>
              <w:jc w:val="left"/>
              <w:rPr/>
            </w:pPr>
            <w:r>
              <w:rPr>
                <w:i/>
              </w:rPr>
              <w:t>Reconciliation of selling, general and administrative expense:</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0"/>
              <w:jc w:val="left"/>
              <w:rPr/>
            </w:pPr>
            <w:r>
              <w:rPr/>
              <w:t xml:space="preserve">Segment selling, marketing and distribution expense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5,868</w:t>
            </w:r>
          </w:p>
        </w:tc>
        <w:tc>
          <w:tcPr>
            <w:tcW w:w="231" w:type="dxa"/>
            <w:tcBorders/>
            <w:vAlign w:val="center"/>
          </w:tcPr>
          <w:p>
            <w:pPr>
              <w:pStyle w:val="TableContents"/>
              <w:bidi w:val="0"/>
              <w:spacing w:before="0" w:after="283"/>
              <w:jc w:val="left"/>
              <w:rPr/>
            </w:pPr>
            <w:r>
              <w:rPr/>
              <w:t> </w:t>
            </w:r>
          </w:p>
        </w:tc>
      </w:tr>
      <w:tr>
        <w:trPr/>
        <w:tc>
          <w:tcPr>
            <w:tcW w:w="4584" w:type="dxa"/>
            <w:tcBorders/>
            <w:shd w:fill="CCEEFF" w:val="clear"/>
            <w:vAlign w:val="center"/>
          </w:tcPr>
          <w:p>
            <w:pPr>
              <w:pStyle w:val="TableContents"/>
              <w:bidi w:val="0"/>
              <w:spacing w:before="0" w:after="0"/>
              <w:jc w:val="left"/>
              <w:rPr/>
            </w:pPr>
            <w:r>
              <w:rPr/>
              <w:t xml:space="preserve">Segment general and administrative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14,941</w:t>
            </w:r>
          </w:p>
        </w:tc>
        <w:tc>
          <w:tcPr>
            <w:tcW w:w="231" w:type="dxa"/>
            <w:tcBorders/>
            <w:shd w:fill="CCEEFF" w:val="clear"/>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0"/>
              <w:jc w:val="left"/>
              <w:rPr/>
            </w:pPr>
            <w:r>
              <w:rPr/>
              <w:t xml:space="preserve">Corporate general and administrative expense (a)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1,405</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584" w:type="dxa"/>
            <w:tcBorders/>
            <w:shd w:fill="CCEEFF" w:val="clear"/>
            <w:vAlign w:val="center"/>
          </w:tcPr>
          <w:p>
            <w:pPr>
              <w:pStyle w:val="TableContents"/>
              <w:bidi w:val="0"/>
              <w:spacing w:before="0" w:after="0"/>
              <w:jc w:val="left"/>
              <w:rPr/>
            </w:pPr>
            <w:r>
              <w:rPr/>
              <w:t xml:space="preserve">Consolidated selling, general and administrative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22,214</w:t>
            </w:r>
          </w:p>
        </w:tc>
        <w:tc>
          <w:tcPr>
            <w:tcW w:w="23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84" w:type="dxa"/>
            <w:tcBorders/>
            <w:shd w:fill="CCEEFF" w:val="clear"/>
            <w:vAlign w:val="center"/>
          </w:tcPr>
          <w:p>
            <w:pPr>
              <w:pStyle w:val="TableContents"/>
              <w:bidi w:val="0"/>
              <w:spacing w:before="0" w:after="0"/>
              <w:jc w:val="left"/>
              <w:rPr/>
            </w:pPr>
            <w:r>
              <w:rPr>
                <w:i/>
              </w:rPr>
              <w:t>Reconciliation of income before taxes: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0"/>
              <w:jc w:val="left"/>
              <w:rPr/>
            </w:pPr>
            <w:r>
              <w:rPr/>
              <w:t xml:space="preserve">Segment income before taxes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44,059</w:t>
            </w:r>
          </w:p>
        </w:tc>
        <w:tc>
          <w:tcPr>
            <w:tcW w:w="231" w:type="dxa"/>
            <w:tcBorders/>
            <w:vAlign w:val="center"/>
          </w:tcPr>
          <w:p>
            <w:pPr>
              <w:pStyle w:val="TableContents"/>
              <w:bidi w:val="0"/>
              <w:spacing w:before="0" w:after="283"/>
              <w:jc w:val="left"/>
              <w:rPr/>
            </w:pPr>
            <w:r>
              <w:rPr/>
              <w:t> </w:t>
            </w:r>
          </w:p>
        </w:tc>
      </w:tr>
      <w:tr>
        <w:trPr/>
        <w:tc>
          <w:tcPr>
            <w:tcW w:w="4584" w:type="dxa"/>
            <w:tcBorders/>
            <w:shd w:fill="CCEEFF" w:val="clear"/>
            <w:vAlign w:val="center"/>
          </w:tcPr>
          <w:p>
            <w:pPr>
              <w:pStyle w:val="TableContents"/>
              <w:bidi w:val="0"/>
              <w:spacing w:before="0" w:after="0"/>
              <w:jc w:val="left"/>
              <w:rPr/>
            </w:pPr>
            <w:r>
              <w:rPr/>
              <w:t xml:space="preserve">License revenue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36</w:t>
            </w:r>
          </w:p>
        </w:tc>
        <w:tc>
          <w:tcPr>
            <w:tcW w:w="231" w:type="dxa"/>
            <w:tcBorders/>
            <w:shd w:fill="CCEEFF" w:val="clear"/>
            <w:vAlign w:val="center"/>
          </w:tcPr>
          <w:p>
            <w:pPr>
              <w:pStyle w:val="TableContents"/>
              <w:bidi w:val="0"/>
              <w:spacing w:before="0" w:after="283"/>
              <w:ind w:left="0" w:right="0" w:hanging="150"/>
              <w:jc w:val="left"/>
              <w:rPr/>
            </w:pPr>
            <w:r>
              <w:rPr/>
              <w:t> </w:t>
            </w:r>
          </w:p>
        </w:tc>
      </w:tr>
      <w:tr>
        <w:trPr/>
        <w:tc>
          <w:tcPr>
            <w:tcW w:w="4584" w:type="dxa"/>
            <w:tcBorders/>
            <w:vAlign w:val="center"/>
          </w:tcPr>
          <w:p>
            <w:pPr>
              <w:pStyle w:val="TableContents"/>
              <w:bidi w:val="0"/>
              <w:spacing w:before="0" w:after="0"/>
              <w:jc w:val="left"/>
              <w:rPr/>
            </w:pPr>
            <w:r>
              <w:rPr/>
              <w:t xml:space="preserve">Unallocated interest expense, primarily related to interest on senior debt (see Note 6)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(1,834</w:t>
            </w:r>
          </w:p>
        </w:tc>
        <w:tc>
          <w:tcPr>
            <w:tcW w:w="231" w:type="dxa"/>
            <w:tcBorders/>
            <w:vAlign w:val="center"/>
          </w:tcPr>
          <w:p>
            <w:pPr>
              <w:pStyle w:val="TableContents"/>
              <w:bidi w:val="0"/>
              <w:spacing w:before="0" w:after="283"/>
              <w:jc w:val="left"/>
              <w:rPr/>
            </w:pPr>
            <w:r>
              <w:rPr/>
              <w:t>) </w:t>
            </w:r>
          </w:p>
        </w:tc>
      </w:tr>
      <w:tr>
        <w:trPr/>
        <w:tc>
          <w:tcPr>
            <w:tcW w:w="4584" w:type="dxa"/>
            <w:tcBorders/>
            <w:shd w:fill="CCEEFF" w:val="clear"/>
            <w:vAlign w:val="center"/>
          </w:tcPr>
          <w:p>
            <w:pPr>
              <w:pStyle w:val="TableContents"/>
              <w:bidi w:val="0"/>
              <w:spacing w:before="0" w:after="0"/>
              <w:jc w:val="left"/>
              <w:rPr/>
            </w:pPr>
            <w:r>
              <w:rPr/>
              <w:t xml:space="preserve">Unallocated interest income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400</w:t>
            </w:r>
          </w:p>
        </w:tc>
        <w:tc>
          <w:tcPr>
            <w:tcW w:w="231" w:type="dxa"/>
            <w:tcBorders/>
            <w:shd w:fill="CCEEFF" w:val="clear"/>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0"/>
              <w:jc w:val="left"/>
              <w:rPr/>
            </w:pPr>
            <w:r>
              <w:rPr/>
              <w:t xml:space="preserve">Loss on extinguishment of debt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(1,159</w:t>
            </w:r>
          </w:p>
        </w:tc>
        <w:tc>
          <w:tcPr>
            <w:tcW w:w="231" w:type="dxa"/>
            <w:tcBorders/>
            <w:vAlign w:val="center"/>
          </w:tcPr>
          <w:p>
            <w:pPr>
              <w:pStyle w:val="TableContents"/>
              <w:bidi w:val="0"/>
              <w:spacing w:before="0" w:after="283"/>
              <w:jc w:val="left"/>
              <w:rPr/>
            </w:pPr>
            <w:r>
              <w:rPr/>
              <w:t>) </w:t>
            </w:r>
          </w:p>
        </w:tc>
      </w:tr>
      <w:tr>
        <w:trPr/>
        <w:tc>
          <w:tcPr>
            <w:tcW w:w="4584" w:type="dxa"/>
            <w:tcBorders/>
            <w:shd w:fill="CCEEFF" w:val="clear"/>
            <w:vAlign w:val="center"/>
          </w:tcPr>
          <w:p>
            <w:pPr>
              <w:pStyle w:val="TableContents"/>
              <w:bidi w:val="0"/>
              <w:spacing w:before="0" w:after="0"/>
              <w:jc w:val="left"/>
              <w:rPr/>
            </w:pPr>
            <w:r>
              <w:rPr/>
              <w:t xml:space="preserve">Corporate general and administrative expense (a)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(1,405</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0"/>
              <w:jc w:val="left"/>
              <w:rPr/>
            </w:pPr>
            <w:r>
              <w:rPr/>
              <w:t xml:space="preserve">Consolidated income before taxes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tcMar>
              <w:bottom w:w="28" w:type="dxa"/>
            </w:tcMar>
            <w:vAlign w:val="center"/>
          </w:tcPr>
          <w:p>
            <w:pPr>
              <w:pStyle w:val="TableContents"/>
              <w:bidi w:val="0"/>
              <w:spacing w:before="0" w:after="283"/>
              <w:jc w:val="right"/>
              <w:rPr/>
            </w:pPr>
            <w:r>
              <w:rPr/>
              <w:t>40,097</w:t>
            </w:r>
          </w:p>
        </w:tc>
        <w:tc>
          <w:tcPr>
            <w:tcW w:w="231"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458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0"/>
              <w:jc w:val="left"/>
              <w:rPr/>
            </w:pPr>
            <w:r>
              <w:rPr>
                <w:i/>
              </w:rPr>
              <w:t>Reconciliation of total assets: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584" w:type="dxa"/>
            <w:tcBorders/>
            <w:shd w:fill="CCEEFF" w:val="clear"/>
            <w:vAlign w:val="center"/>
          </w:tcPr>
          <w:p>
            <w:pPr>
              <w:pStyle w:val="TableContents"/>
              <w:bidi w:val="0"/>
              <w:spacing w:before="0" w:after="0"/>
              <w:jc w:val="left"/>
              <w:rPr/>
            </w:pPr>
            <w:r>
              <w:rPr/>
              <w:t xml:space="preserve">Total segment assets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397,390</w:t>
            </w:r>
          </w:p>
        </w:tc>
        <w:tc>
          <w:tcPr>
            <w:tcW w:w="231" w:type="dxa"/>
            <w:tcBorders/>
            <w:shd w:fill="CCEEFF" w:val="clear"/>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0"/>
              <w:jc w:val="left"/>
              <w:rPr/>
            </w:pPr>
            <w:r>
              <w:rPr/>
              <w:t xml:space="preserve">Corporate (b)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160,990</w:t>
            </w:r>
          </w:p>
        </w:tc>
        <w:tc>
          <w:tcPr>
            <w:tcW w:w="231" w:type="dxa"/>
            <w:tcBorders/>
            <w:vAlign w:val="center"/>
          </w:tcPr>
          <w:p>
            <w:pPr>
              <w:pStyle w:val="TableContents"/>
              <w:bidi w:val="0"/>
              <w:spacing w:before="0" w:after="283"/>
              <w:jc w:val="left"/>
              <w:rPr/>
            </w:pPr>
            <w:r>
              <w:rPr/>
              <w:t> </w:t>
            </w:r>
          </w:p>
        </w:tc>
      </w:tr>
      <w:tr>
        <w:trPr/>
        <w:tc>
          <w:tcPr>
            <w:tcW w:w="4584" w:type="dxa"/>
            <w:tcBorders/>
            <w:shd w:fill="CCEEFF" w:val="clear"/>
            <w:vAlign w:val="center"/>
          </w:tcPr>
          <w:p>
            <w:pPr>
              <w:pStyle w:val="TableContents"/>
              <w:bidi w:val="0"/>
              <w:spacing w:before="0" w:after="0"/>
              <w:jc w:val="left"/>
              <w:rPr/>
            </w:pPr>
            <w:r>
              <w:rPr/>
              <w:t xml:space="preserve">Consolidated total assets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558,380</w:t>
            </w:r>
          </w:p>
        </w:tc>
        <w:tc>
          <w:tcPr>
            <w:tcW w:w="23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(a) - Primarily includes compensation expense, including stock-based compensation expense, for certain executive officers and consultants, insurance, legal and investor relations expenses and accounting and tax fees that are not allocated to the Company's operating segments. </w:t>
      </w:r>
    </w:p>
    <w:p>
      <w:pPr>
        <w:pStyle w:val="TextBody"/>
        <w:bidi w:val="0"/>
        <w:spacing w:before="0" w:after="0"/>
        <w:jc w:val="left"/>
        <w:rPr/>
      </w:pPr>
      <w:r>
        <w:rPr/>
        <w:t xml:space="preserve">  </w:t>
      </w:r>
    </w:p>
    <w:p>
      <w:pPr>
        <w:pStyle w:val="TextBody"/>
        <w:bidi w:val="0"/>
        <w:spacing w:before="0" w:after="0"/>
        <w:ind w:left="0" w:right="0" w:hanging="360"/>
        <w:jc w:val="left"/>
        <w:rPr/>
      </w:pPr>
      <w:r>
        <w:rPr/>
        <w:t xml:space="preserve">  </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3657600" cy="175260"/>
                <wp:effectExtent l="0" t="0" r="0" b="0"/>
                <wp:wrapSquare wrapText="right"/>
                <wp:docPr id="51" name="Frame51"/>
                <a:graphic xmlns:a="http://schemas.openxmlformats.org/drawingml/2006/main">
                  <a:graphicData uri="http://schemas.microsoft.com/office/word/2010/wordprocessingShape">
                    <wps:wsp>
                      <wps:cNvSpPr txBox="1"/>
                      <wps:spPr>
                        <a:xfrm>
                          <a:off x="0" y="0"/>
                          <a:ext cx="3657600" cy="175260"/>
                        </a:xfrm>
                        <a:prstGeom prst="rect"/>
                        <a:solidFill>
                          <a:srgbClr val="FFFFFF"/>
                        </a:solidFill>
                      </wps:spPr>
                      <wps:txbx>
                        <w:txbxContent>
                          <w:p>
                            <w:pPr>
                              <w:pStyle w:val="TextBody"/>
                              <w:bidi w:val="0"/>
                              <w:spacing w:before="0" w:after="283"/>
                              <w:jc w:val="left"/>
                              <w:rPr/>
                            </w:pPr>
                            <w:r>
                              <w:rPr/>
                              <w:t xml:space="preserve">(b) - Primarily consists of cash and deferred tax assets. </w:t>
                            </w:r>
                          </w:p>
                        </w:txbxContent>
                      </wps:txbx>
                      <wps:bodyPr anchor="t" lIns="0" tIns="0" rIns="0" bIns="0">
                        <a:noAutofit/>
                      </wps:bodyPr>
                    </wps:wsp>
                  </a:graphicData>
                </a:graphic>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 Primarily consists of cash and deferred tax assets. </w:t>
                      </w:r>
                    </w:p>
                  </w:txbxContent>
                </v:textbox>
                <w10:wrap type="square" side="right"/>
              </v:rect>
            </w:pict>
          </mc:Fallback>
        </mc:AlternateContent>
      </w:r>
    </w:p>
    <w:p>
      <w:pPr>
        <w:pStyle w:val="TextBody"/>
        <w:bidi w:val="0"/>
        <w:spacing w:before="0" w:after="0"/>
        <w:jc w:val="center"/>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tbl>
      <w:tblPr>
        <w:tblW w:w="1230" w:type="dxa"/>
        <w:jc w:val="left"/>
        <w:tblInd w:w="0" w:type="dxa"/>
        <w:tblLayout w:type="fixed"/>
        <w:tblCellMar>
          <w:top w:w="0" w:type="dxa"/>
          <w:left w:w="0" w:type="dxa"/>
          <w:bottom w:w="0" w:type="dxa"/>
          <w:right w:w="0" w:type="dxa"/>
        </w:tblCellMar>
      </w:tblPr>
      <w:tblGrid>
        <w:gridCol w:w="105"/>
        <w:gridCol w:w="90"/>
        <w:gridCol w:w="90"/>
        <w:gridCol w:w="90"/>
        <w:gridCol w:w="90"/>
        <w:gridCol w:w="90"/>
        <w:gridCol w:w="90"/>
        <w:gridCol w:w="90"/>
        <w:gridCol w:w="90"/>
        <w:gridCol w:w="90"/>
        <w:gridCol w:w="90"/>
        <w:gridCol w:w="90"/>
        <w:gridCol w:w="135"/>
      </w:tblGrid>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 w:hAnsi="Times New Roman"/>
          <w:b/>
          <w:sz w:val="20"/>
        </w:rPr>
      </w:pPr>
      <w:r>
        <w:rPr>
          <w:rFonts w:ascii="Times New Roman" w:hAnsi="Times New Roman"/>
          <w:b/>
          <w:sz w:val="20"/>
        </w:rPr>
        <w:t>ADMA BIOLOGICS, INC.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NOTES TO CONDENSED CONSOLIDATED FINANCIAL STATEMENTS (UNAUDITED)</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4559"/>
        <w:gridCol w:w="90"/>
        <w:gridCol w:w="170"/>
        <w:gridCol w:w="1967"/>
        <w:gridCol w:w="185"/>
        <w:gridCol w:w="90"/>
        <w:gridCol w:w="170"/>
        <w:gridCol w:w="1467"/>
        <w:gridCol w:w="185"/>
        <w:gridCol w:w="90"/>
        <w:gridCol w:w="170"/>
        <w:gridCol w:w="830"/>
        <w:gridCol w:w="232"/>
      </w:tblGrid>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9973" w:type="dxa"/>
            <w:gridSpan w:val="12"/>
            <w:tcBorders>
              <w:bottom w:val="single" w:sz="6" w:space="0" w:color="000000"/>
            </w:tcBorders>
            <w:tcMar>
              <w:bottom w:w="28" w:type="dxa"/>
            </w:tcMar>
            <w:vAlign w:val="center"/>
          </w:tcPr>
          <w:p>
            <w:pPr>
              <w:pStyle w:val="TableContents"/>
              <w:bidi w:val="0"/>
              <w:spacing w:before="0" w:after="283"/>
              <w:jc w:val="center"/>
              <w:rPr/>
            </w:pPr>
            <w:r>
              <w:rPr>
                <w:b/>
              </w:rPr>
              <w:t>Six Months Ended June 30, 2025</w:t>
            </w:r>
            <w:r>
              <w:rPr/>
              <w:t xml:space="preserve"> </w:t>
            </w:r>
          </w:p>
        </w:tc>
        <w:tc>
          <w:tcPr>
            <w:tcW w:w="232" w:type="dxa"/>
            <w:tcBorders/>
            <w:vAlign w:val="center"/>
          </w:tcPr>
          <w:p>
            <w:pPr>
              <w:pStyle w:val="TableContents"/>
              <w:bidi w:val="0"/>
              <w:spacing w:before="0" w:after="283"/>
              <w:jc w:val="center"/>
              <w:rPr/>
            </w:pPr>
            <w:r>
              <w:rPr/>
              <w:t> </w:t>
            </w:r>
          </w:p>
        </w:tc>
      </w:tr>
      <w:tr>
        <w:trPr/>
        <w:tc>
          <w:tcPr>
            <w:tcW w:w="4559" w:type="dxa"/>
            <w:tcBorders/>
            <w:vAlign w:val="center"/>
          </w:tcPr>
          <w:p>
            <w:pPr>
              <w:pStyle w:val="TableContents"/>
              <w:bidi w:val="0"/>
              <w:spacing w:before="0" w:after="283"/>
              <w:jc w:val="center"/>
              <w:rPr/>
            </w:pPr>
            <w:r>
              <w:rPr>
                <w:i/>
              </w:rPr>
              <w:t>(in thousands)</w:t>
            </w:r>
            <w:r>
              <w:rPr/>
              <w:t xml:space="preserve">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967" w:type="dxa"/>
            <w:tcBorders>
              <w:bottom w:val="single" w:sz="6" w:space="0" w:color="000000"/>
            </w:tcBorders>
            <w:tcMar>
              <w:bottom w:w="28" w:type="dxa"/>
            </w:tcMar>
            <w:vAlign w:val="center"/>
          </w:tcPr>
          <w:p>
            <w:pPr>
              <w:pStyle w:val="TableContents"/>
              <w:bidi w:val="0"/>
              <w:spacing w:before="0" w:after="283"/>
              <w:jc w:val="center"/>
              <w:rPr/>
            </w:pPr>
            <w:r>
              <w:rPr>
                <w:b/>
              </w:rPr>
              <w:t>ADMA</w:t>
              <w:br/>
              <w:t>BioManufacturing</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67" w:type="dxa"/>
            <w:tcBorders>
              <w:bottom w:val="single" w:sz="6" w:space="0" w:color="000000"/>
            </w:tcBorders>
            <w:tcMar>
              <w:bottom w:w="28" w:type="dxa"/>
            </w:tcMar>
            <w:vAlign w:val="center"/>
          </w:tcPr>
          <w:p>
            <w:pPr>
              <w:pStyle w:val="TableContents"/>
              <w:bidi w:val="0"/>
              <w:spacing w:before="0" w:after="283"/>
              <w:jc w:val="center"/>
              <w:rPr/>
            </w:pPr>
            <w:r>
              <w:rPr>
                <w:b/>
              </w:rPr>
              <w:t xml:space="preserve">Plasma Collection </w:t>
              <w:br/>
              <w:t>Centers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pPr>
            <w:r>
              <w:rPr>
                <w:b/>
              </w:rPr>
              <w:t>Total</w:t>
            </w:r>
            <w:r>
              <w:rPr/>
              <w:t xml:space="preserve"> </w:t>
            </w:r>
          </w:p>
        </w:tc>
        <w:tc>
          <w:tcPr>
            <w:tcW w:w="232" w:type="dxa"/>
            <w:tcBorders/>
            <w:vAlign w:val="center"/>
          </w:tcPr>
          <w:p>
            <w:pPr>
              <w:pStyle w:val="TableContents"/>
              <w:bidi w:val="0"/>
              <w:spacing w:before="0" w:after="283"/>
              <w:jc w:val="center"/>
              <w:rPr/>
            </w:pPr>
            <w:r>
              <w:rPr/>
              <w:t> </w:t>
            </w:r>
          </w:p>
        </w:tc>
      </w:tr>
      <w:tr>
        <w:trPr/>
        <w:tc>
          <w:tcPr>
            <w:tcW w:w="4559" w:type="dxa"/>
            <w:tcBorders/>
            <w:shd w:fill="CCEEFF" w:val="clear"/>
            <w:vAlign w:val="center"/>
          </w:tcPr>
          <w:p>
            <w:pPr>
              <w:pStyle w:val="TableContents"/>
              <w:bidi w:val="0"/>
              <w:spacing w:before="0" w:after="0"/>
              <w:jc w:val="left"/>
              <w:rPr/>
            </w:pPr>
            <w:r>
              <w:rPr/>
              <w:t xml:space="preserve">Revenues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67" w:type="dxa"/>
            <w:tcBorders/>
            <w:shd w:fill="CCEEFF" w:val="clear"/>
            <w:vAlign w:val="center"/>
          </w:tcPr>
          <w:p>
            <w:pPr>
              <w:pStyle w:val="TableContents"/>
              <w:bidi w:val="0"/>
              <w:spacing w:before="0" w:after="283"/>
              <w:jc w:val="right"/>
              <w:rPr/>
            </w:pPr>
            <w:r>
              <w:rPr/>
              <w:t>235,665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67" w:type="dxa"/>
            <w:tcBorders/>
            <w:shd w:fill="CCEEFF" w:val="clear"/>
            <w:vAlign w:val="center"/>
          </w:tcPr>
          <w:p>
            <w:pPr>
              <w:pStyle w:val="TableContents"/>
              <w:bidi w:val="0"/>
              <w:spacing w:before="0" w:after="283"/>
              <w:jc w:val="right"/>
              <w:rPr/>
            </w:pPr>
            <w:r>
              <w:rPr/>
              <w:t>1,050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236,715</w:t>
            </w:r>
          </w:p>
        </w:tc>
        <w:tc>
          <w:tcPr>
            <w:tcW w:w="232"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Cost of product revenue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7" w:type="dxa"/>
            <w:tcBorders/>
            <w:shd w:fill="CCEEFF" w:val="clear"/>
            <w:vAlign w:val="center"/>
          </w:tcPr>
          <w:p>
            <w:pPr>
              <w:pStyle w:val="TableContents"/>
              <w:bidi w:val="0"/>
              <w:spacing w:before="0" w:after="283"/>
              <w:jc w:val="right"/>
              <w:rPr/>
            </w:pPr>
            <w:r>
              <w:rPr/>
              <w:t>107,814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649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108,463</w:t>
            </w:r>
          </w:p>
        </w:tc>
        <w:tc>
          <w:tcPr>
            <w:tcW w:w="232"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Research and development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7" w:type="dxa"/>
            <w:tcBorders/>
            <w:shd w:fill="CCEEFF" w:val="clear"/>
            <w:vAlign w:val="center"/>
          </w:tcPr>
          <w:p>
            <w:pPr>
              <w:pStyle w:val="TableContents"/>
              <w:bidi w:val="0"/>
              <w:spacing w:before="0" w:after="283"/>
              <w:jc w:val="right"/>
              <w:rPr/>
            </w:pPr>
            <w:r>
              <w:rPr/>
              <w:t>1,858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1,858</w:t>
            </w:r>
          </w:p>
        </w:tc>
        <w:tc>
          <w:tcPr>
            <w:tcW w:w="232"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Plasma center operating expenses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7" w:type="dxa"/>
            <w:tcBorders/>
            <w:shd w:fill="CCEEFF" w:val="clear"/>
            <w:vAlign w:val="center"/>
          </w:tcPr>
          <w:p>
            <w:pPr>
              <w:pStyle w:val="TableContents"/>
              <w:bidi w:val="0"/>
              <w:spacing w:before="0" w:after="283"/>
              <w:jc w:val="right"/>
              <w:rPr/>
            </w:pPr>
            <w:r>
              <w:rPr/>
              <w:t xml:space="preserve">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2,438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2,438</w:t>
            </w:r>
          </w:p>
        </w:tc>
        <w:tc>
          <w:tcPr>
            <w:tcW w:w="232"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Selling, marketing and distribution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7" w:type="dxa"/>
            <w:tcBorders/>
            <w:shd w:fill="CCEEFF" w:val="clear"/>
            <w:vAlign w:val="center"/>
          </w:tcPr>
          <w:p>
            <w:pPr>
              <w:pStyle w:val="TableContents"/>
              <w:bidi w:val="0"/>
              <w:spacing w:before="0" w:after="283"/>
              <w:jc w:val="right"/>
              <w:rPr/>
            </w:pPr>
            <w:r>
              <w:rPr/>
              <w:t>11,911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11,911</w:t>
            </w:r>
          </w:p>
        </w:tc>
        <w:tc>
          <w:tcPr>
            <w:tcW w:w="232"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Amortization of intangible assets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7" w:type="dxa"/>
            <w:tcBorders/>
            <w:shd w:fill="CCEEFF" w:val="clear"/>
            <w:vAlign w:val="center"/>
          </w:tcPr>
          <w:p>
            <w:pPr>
              <w:pStyle w:val="TableContents"/>
              <w:bidi w:val="0"/>
              <w:spacing w:before="0" w:after="283"/>
              <w:jc w:val="right"/>
              <w:rPr/>
            </w:pPr>
            <w:r>
              <w:rPr/>
              <w:t>57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57</w:t>
            </w:r>
          </w:p>
        </w:tc>
        <w:tc>
          <w:tcPr>
            <w:tcW w:w="232"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General and administrative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7" w:type="dxa"/>
            <w:tcBorders/>
            <w:shd w:fill="CCEEFF" w:val="clear"/>
            <w:vAlign w:val="center"/>
          </w:tcPr>
          <w:p>
            <w:pPr>
              <w:pStyle w:val="TableContents"/>
              <w:bidi w:val="0"/>
              <w:spacing w:before="0" w:after="283"/>
              <w:jc w:val="right"/>
              <w:rPr/>
            </w:pPr>
            <w:r>
              <w:rPr/>
              <w:t>30,024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30,024</w:t>
            </w:r>
          </w:p>
        </w:tc>
        <w:tc>
          <w:tcPr>
            <w:tcW w:w="232"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Other expense, net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7" w:type="dxa"/>
            <w:tcBorders/>
            <w:shd w:fill="CCEEFF" w:val="clear"/>
            <w:vAlign w:val="center"/>
          </w:tcPr>
          <w:p>
            <w:pPr>
              <w:pStyle w:val="TableContents"/>
              <w:bidi w:val="0"/>
              <w:spacing w:before="0" w:after="283"/>
              <w:jc w:val="right"/>
              <w:rPr/>
            </w:pPr>
            <w:r>
              <w:rPr/>
              <w:t>(172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             </w:t>
            </w: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(172</w:t>
            </w:r>
          </w:p>
        </w:tc>
        <w:tc>
          <w:tcPr>
            <w:tcW w:w="232"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Income (loss) before taxes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7" w:type="dxa"/>
            <w:tcBorders/>
            <w:shd w:fill="CCEEFF" w:val="clear"/>
            <w:vAlign w:val="center"/>
          </w:tcPr>
          <w:p>
            <w:pPr>
              <w:pStyle w:val="TableContents"/>
              <w:bidi w:val="0"/>
              <w:spacing w:before="0" w:after="283"/>
              <w:jc w:val="right"/>
              <w:rPr/>
            </w:pPr>
            <w:r>
              <w:rPr/>
              <w:t>83,829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(2,037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81,792</w:t>
            </w:r>
          </w:p>
        </w:tc>
        <w:tc>
          <w:tcPr>
            <w:tcW w:w="232"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283"/>
              <w:jc w:val="left"/>
              <w:rPr>
                <w:spacing w:val="0"/>
              </w:rPr>
            </w:pPr>
            <w:r>
              <w:rPr>
                <w:spacing w:val="0"/>
              </w:rPr>
              <w:t>Expenditures for additions to long-lived assets</w:t>
            </w:r>
          </w:p>
        </w:tc>
        <w:tc>
          <w:tcPr>
            <w:tcW w:w="90" w:type="dxa"/>
            <w:tcBorders/>
            <w:shd w:fill="CCEEFF" w:val="clear"/>
            <w:vAlign w:val="center"/>
          </w:tcPr>
          <w:p>
            <w:pPr>
              <w:pStyle w:val="TableContents"/>
              <w:bidi w:val="0"/>
              <w:spacing w:before="0" w:after="283"/>
              <w:jc w:val="center"/>
              <w:rPr>
                <w:spacing w:val="0"/>
              </w:rPr>
            </w:pPr>
            <w:r>
              <w:rPr>
                <w:spacing w:val="0"/>
              </w:rPr>
              <w:t> </w:t>
            </w:r>
          </w:p>
        </w:tc>
        <w:tc>
          <w:tcPr>
            <w:tcW w:w="170" w:type="dxa"/>
            <w:tcBorders/>
            <w:shd w:fill="CCEEFF" w:val="clear"/>
            <w:vAlign w:val="center"/>
          </w:tcPr>
          <w:p>
            <w:pPr>
              <w:pStyle w:val="TableContents"/>
              <w:bidi w:val="0"/>
              <w:spacing w:before="0" w:after="283"/>
              <w:jc w:val="left"/>
              <w:rPr>
                <w:spacing w:val="0"/>
              </w:rPr>
            </w:pPr>
            <w:r>
              <w:rPr>
                <w:spacing w:val="0"/>
              </w:rPr>
              <w:t> </w:t>
            </w:r>
          </w:p>
        </w:tc>
        <w:tc>
          <w:tcPr>
            <w:tcW w:w="1967" w:type="dxa"/>
            <w:tcBorders/>
            <w:shd w:fill="CCEEFF" w:val="clear"/>
            <w:vAlign w:val="center"/>
          </w:tcPr>
          <w:p>
            <w:pPr>
              <w:pStyle w:val="TableContents"/>
              <w:bidi w:val="0"/>
              <w:spacing w:before="0" w:after="283"/>
              <w:jc w:val="right"/>
              <w:rPr>
                <w:spacing w:val="0"/>
              </w:rPr>
            </w:pPr>
            <w:r>
              <w:rPr>
                <w:spacing w:val="0"/>
              </w:rPr>
              <w:t>6,733</w:t>
            </w:r>
          </w:p>
        </w:tc>
        <w:tc>
          <w:tcPr>
            <w:tcW w:w="185" w:type="dxa"/>
            <w:tcBorders/>
            <w:shd w:fill="CCEEFF" w:val="clear"/>
            <w:vAlign w:val="center"/>
          </w:tcPr>
          <w:p>
            <w:pPr>
              <w:pStyle w:val="TableContents"/>
              <w:bidi w:val="0"/>
              <w:spacing w:before="0" w:after="283"/>
              <w:jc w:val="left"/>
              <w:rPr>
                <w:spacing w:val="0"/>
              </w:rPr>
            </w:pPr>
            <w:r>
              <w:rPr>
                <w:spacing w:val="0"/>
              </w:rPr>
              <w:t> </w:t>
            </w:r>
          </w:p>
        </w:tc>
        <w:tc>
          <w:tcPr>
            <w:tcW w:w="90" w:type="dxa"/>
            <w:tcBorders/>
            <w:shd w:fill="CCEEFF" w:val="clear"/>
            <w:vAlign w:val="center"/>
          </w:tcPr>
          <w:p>
            <w:pPr>
              <w:pStyle w:val="TableContents"/>
              <w:bidi w:val="0"/>
              <w:spacing w:before="0" w:after="283"/>
              <w:jc w:val="center"/>
              <w:rPr>
                <w:spacing w:val="0"/>
              </w:rPr>
            </w:pPr>
            <w:r>
              <w:rPr>
                <w:spacing w:val="0"/>
              </w:rPr>
              <w:t> </w:t>
            </w:r>
          </w:p>
        </w:tc>
        <w:tc>
          <w:tcPr>
            <w:tcW w:w="170" w:type="dxa"/>
            <w:tcBorders/>
            <w:shd w:fill="CCEEFF" w:val="clear"/>
            <w:vAlign w:val="center"/>
          </w:tcPr>
          <w:p>
            <w:pPr>
              <w:pStyle w:val="TableContents"/>
              <w:bidi w:val="0"/>
              <w:spacing w:before="0" w:after="283"/>
              <w:jc w:val="left"/>
              <w:rPr>
                <w:spacing w:val="0"/>
              </w:rPr>
            </w:pPr>
            <w:r>
              <w:rPr>
                <w:spacing w:val="0"/>
              </w:rPr>
              <w:t> </w:t>
            </w:r>
          </w:p>
        </w:tc>
        <w:tc>
          <w:tcPr>
            <w:tcW w:w="1467" w:type="dxa"/>
            <w:tcBorders/>
            <w:shd w:fill="CCEEFF" w:val="clear"/>
            <w:vAlign w:val="center"/>
          </w:tcPr>
          <w:p>
            <w:pPr>
              <w:pStyle w:val="TableContents"/>
              <w:bidi w:val="0"/>
              <w:spacing w:before="0" w:after="283"/>
              <w:jc w:val="right"/>
              <w:rPr>
                <w:spacing w:val="0"/>
              </w:rPr>
            </w:pPr>
            <w:r>
              <w:rPr>
                <w:spacing w:val="0"/>
              </w:rPr>
              <w:t>14</w:t>
            </w:r>
          </w:p>
        </w:tc>
        <w:tc>
          <w:tcPr>
            <w:tcW w:w="185" w:type="dxa"/>
            <w:tcBorders/>
            <w:shd w:fill="CCEEFF" w:val="clear"/>
            <w:vAlign w:val="center"/>
          </w:tcPr>
          <w:p>
            <w:pPr>
              <w:pStyle w:val="TableContents"/>
              <w:bidi w:val="0"/>
              <w:spacing w:before="0" w:after="283"/>
              <w:jc w:val="left"/>
              <w:rPr>
                <w:spacing w:val="0"/>
              </w:rPr>
            </w:pPr>
            <w:r>
              <w:rPr>
                <w:spacing w:val="0"/>
              </w:rPr>
              <w:t> </w:t>
            </w:r>
          </w:p>
        </w:tc>
        <w:tc>
          <w:tcPr>
            <w:tcW w:w="90" w:type="dxa"/>
            <w:tcBorders/>
            <w:shd w:fill="CCEEFF" w:val="clear"/>
            <w:vAlign w:val="center"/>
          </w:tcPr>
          <w:p>
            <w:pPr>
              <w:pStyle w:val="TableContents"/>
              <w:bidi w:val="0"/>
              <w:spacing w:before="0" w:after="283"/>
              <w:jc w:val="center"/>
              <w:rPr>
                <w:spacing w:val="0"/>
              </w:rPr>
            </w:pPr>
            <w:r>
              <w:rPr>
                <w:spacing w:val="0"/>
              </w:rPr>
              <w:t> </w:t>
            </w:r>
          </w:p>
        </w:tc>
        <w:tc>
          <w:tcPr>
            <w:tcW w:w="170" w:type="dxa"/>
            <w:tcBorders/>
            <w:shd w:fill="CCEEFF" w:val="clear"/>
            <w:vAlign w:val="center"/>
          </w:tcPr>
          <w:p>
            <w:pPr>
              <w:pStyle w:val="TableContents"/>
              <w:bidi w:val="0"/>
              <w:spacing w:before="0" w:after="283"/>
              <w:jc w:val="left"/>
              <w:rPr>
                <w:spacing w:val="0"/>
              </w:rPr>
            </w:pPr>
            <w:r>
              <w:rPr>
                <w:spacing w:val="0"/>
              </w:rPr>
              <w:t> </w:t>
            </w:r>
          </w:p>
        </w:tc>
        <w:tc>
          <w:tcPr>
            <w:tcW w:w="830" w:type="dxa"/>
            <w:tcBorders/>
            <w:shd w:fill="CCEEFF" w:val="clear"/>
            <w:vAlign w:val="center"/>
          </w:tcPr>
          <w:p>
            <w:pPr>
              <w:pStyle w:val="TableContents"/>
              <w:bidi w:val="0"/>
              <w:spacing w:before="0" w:after="283"/>
              <w:jc w:val="right"/>
              <w:rPr>
                <w:spacing w:val="0"/>
              </w:rPr>
            </w:pPr>
            <w:r>
              <w:rPr>
                <w:spacing w:val="0"/>
              </w:rPr>
              <w:t>6,747</w:t>
            </w:r>
          </w:p>
        </w:tc>
        <w:tc>
          <w:tcPr>
            <w:tcW w:w="232" w:type="dxa"/>
            <w:tcBorders/>
            <w:shd w:fill="CCEEFF" w:val="clear"/>
            <w:vAlign w:val="center"/>
          </w:tcPr>
          <w:p>
            <w:pPr>
              <w:pStyle w:val="TableContents"/>
              <w:bidi w:val="0"/>
              <w:spacing w:before="0" w:after="283"/>
              <w:jc w:val="left"/>
              <w:rPr>
                <w:spacing w:val="0"/>
              </w:rPr>
            </w:pPr>
            <w:r>
              <w:rPr>
                <w:spacing w:val="0"/>
              </w:rPr>
              <w:t> </w:t>
            </w:r>
          </w:p>
        </w:tc>
      </w:tr>
      <w:tr>
        <w:trPr/>
        <w:tc>
          <w:tcPr>
            <w:tcW w:w="4559" w:type="dxa"/>
            <w:tcBorders/>
            <w:vAlign w:val="center"/>
          </w:tcPr>
          <w:p>
            <w:pPr>
              <w:pStyle w:val="TableContents"/>
              <w:bidi w:val="0"/>
              <w:spacing w:before="0" w:after="0"/>
              <w:jc w:val="left"/>
              <w:rPr/>
            </w:pPr>
            <w:r>
              <w:rPr/>
              <w:t xml:space="preserve">Total assets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right"/>
              <w:rPr/>
            </w:pPr>
            <w:r>
              <w:rPr/>
              <w:t>368,229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right"/>
              <w:rPr/>
            </w:pPr>
            <w:r>
              <w:rPr/>
              <w:t>29,161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397,390</w:t>
            </w:r>
          </w:p>
        </w:tc>
        <w:tc>
          <w:tcPr>
            <w:tcW w:w="232"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0"/>
              <w:jc w:val="left"/>
              <w:rPr/>
            </w:pPr>
            <w:r>
              <w:rPr>
                <w:i/>
              </w:rPr>
              <w:t>Reconciliation of revenues: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Segment revenue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236,715</w:t>
            </w:r>
          </w:p>
        </w:tc>
        <w:tc>
          <w:tcPr>
            <w:tcW w:w="232"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0"/>
              <w:jc w:val="left"/>
              <w:rPr/>
            </w:pPr>
            <w:r>
              <w:rPr/>
              <w:t xml:space="preserve">License revenue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71</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Consolidated revenues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236,786</w:t>
            </w:r>
          </w:p>
        </w:tc>
        <w:tc>
          <w:tcPr>
            <w:tcW w:w="23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i/>
              </w:rPr>
              <w:t>Reconciliation of selling, general and administrative expense:</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0"/>
              <w:jc w:val="left"/>
              <w:rPr/>
            </w:pPr>
            <w:r>
              <w:rPr/>
              <w:t xml:space="preserve">Segment selling, marketing and distribution expense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11,911</w:t>
            </w:r>
          </w:p>
        </w:tc>
        <w:tc>
          <w:tcPr>
            <w:tcW w:w="232"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Segment general and administrative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30,024</w:t>
            </w:r>
          </w:p>
        </w:tc>
        <w:tc>
          <w:tcPr>
            <w:tcW w:w="232"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0"/>
              <w:jc w:val="left"/>
              <w:rPr/>
            </w:pPr>
            <w:r>
              <w:rPr/>
              <w:t xml:space="preserve">Corporate general and administrative expense (a)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4,357</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Consolidated selling, general and administrative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46,292</w:t>
            </w:r>
          </w:p>
        </w:tc>
        <w:tc>
          <w:tcPr>
            <w:tcW w:w="23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i/>
              </w:rPr>
              <w:t>Reconciliation of income (loss) before taxes: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0"/>
              <w:jc w:val="left"/>
              <w:rPr/>
            </w:pPr>
            <w:r>
              <w:rPr/>
              <w:t xml:space="preserve">Segment income before taxes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81,792</w:t>
            </w:r>
          </w:p>
        </w:tc>
        <w:tc>
          <w:tcPr>
            <w:tcW w:w="232"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License revenue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71</w:t>
            </w:r>
          </w:p>
        </w:tc>
        <w:tc>
          <w:tcPr>
            <w:tcW w:w="232" w:type="dxa"/>
            <w:tcBorders/>
            <w:shd w:fill="CCEEFF" w:val="clear"/>
            <w:vAlign w:val="center"/>
          </w:tcPr>
          <w:p>
            <w:pPr>
              <w:pStyle w:val="TableContents"/>
              <w:bidi w:val="0"/>
              <w:spacing w:before="0" w:after="283"/>
              <w:ind w:left="0" w:right="0" w:hanging="150"/>
              <w:jc w:val="left"/>
              <w:rPr/>
            </w:pPr>
            <w:r>
              <w:rPr/>
              <w:t> </w:t>
            </w:r>
          </w:p>
        </w:tc>
      </w:tr>
      <w:tr>
        <w:trPr/>
        <w:tc>
          <w:tcPr>
            <w:tcW w:w="4559" w:type="dxa"/>
            <w:tcBorders/>
            <w:vAlign w:val="center"/>
          </w:tcPr>
          <w:p>
            <w:pPr>
              <w:pStyle w:val="TableContents"/>
              <w:bidi w:val="0"/>
              <w:spacing w:before="0" w:after="0"/>
              <w:jc w:val="left"/>
              <w:rPr/>
            </w:pPr>
            <w:r>
              <w:rPr/>
              <w:t xml:space="preserve">Unallocated interest expense, primarily related to interest on senior debt (see Note 6)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(3,809</w:t>
            </w:r>
          </w:p>
        </w:tc>
        <w:tc>
          <w:tcPr>
            <w:tcW w:w="232"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Unallocated interest income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1,008</w:t>
            </w:r>
          </w:p>
        </w:tc>
        <w:tc>
          <w:tcPr>
            <w:tcW w:w="232"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0"/>
              <w:jc w:val="left"/>
              <w:rPr/>
            </w:pPr>
            <w:r>
              <w:rPr/>
              <w:t xml:space="preserve">Loss on extinguishment of debt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(1,159</w:t>
            </w:r>
          </w:p>
        </w:tc>
        <w:tc>
          <w:tcPr>
            <w:tcW w:w="232"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Corporate general and administrative expense (a)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(4,357</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0"/>
              <w:jc w:val="left"/>
              <w:rPr/>
            </w:pPr>
            <w:r>
              <w:rPr/>
              <w:t xml:space="preserve">Consolidated income before taxes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tcMar>
              <w:bottom w:w="28" w:type="dxa"/>
            </w:tcMar>
            <w:vAlign w:val="center"/>
          </w:tcPr>
          <w:p>
            <w:pPr>
              <w:pStyle w:val="TableContents"/>
              <w:bidi w:val="0"/>
              <w:spacing w:before="0" w:after="283"/>
              <w:jc w:val="right"/>
              <w:rPr/>
            </w:pPr>
            <w:r>
              <w:rPr/>
              <w:t>73,546</w:t>
            </w:r>
          </w:p>
        </w:tc>
        <w:tc>
          <w:tcPr>
            <w:tcW w:w="232"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0"/>
              <w:jc w:val="left"/>
              <w:rPr/>
            </w:pPr>
            <w:r>
              <w:rPr>
                <w:i/>
              </w:rPr>
              <w:t>Reconciliation of total assets: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Total segment assets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397,390</w:t>
            </w:r>
          </w:p>
        </w:tc>
        <w:tc>
          <w:tcPr>
            <w:tcW w:w="232" w:type="dxa"/>
            <w:tcBorders/>
            <w:shd w:fill="CCEEFF" w:val="clear"/>
            <w:vAlign w:val="center"/>
          </w:tcPr>
          <w:p>
            <w:pPr>
              <w:pStyle w:val="TableContents"/>
              <w:bidi w:val="0"/>
              <w:spacing w:before="0" w:after="283"/>
              <w:jc w:val="left"/>
              <w:rPr/>
            </w:pPr>
            <w:r>
              <w:rPr/>
              <w:t> </w:t>
            </w:r>
          </w:p>
        </w:tc>
      </w:tr>
      <w:tr>
        <w:trPr/>
        <w:tc>
          <w:tcPr>
            <w:tcW w:w="4559" w:type="dxa"/>
            <w:tcBorders/>
            <w:vAlign w:val="center"/>
          </w:tcPr>
          <w:p>
            <w:pPr>
              <w:pStyle w:val="TableContents"/>
              <w:bidi w:val="0"/>
              <w:spacing w:before="0" w:after="0"/>
              <w:jc w:val="left"/>
              <w:rPr/>
            </w:pPr>
            <w:r>
              <w:rPr/>
              <w:t xml:space="preserve">Corporate (b)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160,990</w:t>
            </w:r>
          </w:p>
        </w:tc>
        <w:tc>
          <w:tcPr>
            <w:tcW w:w="232" w:type="dxa"/>
            <w:tcBorders/>
            <w:vAlign w:val="center"/>
          </w:tcPr>
          <w:p>
            <w:pPr>
              <w:pStyle w:val="TableContents"/>
              <w:bidi w:val="0"/>
              <w:spacing w:before="0" w:after="283"/>
              <w:jc w:val="left"/>
              <w:rPr/>
            </w:pPr>
            <w:r>
              <w:rPr/>
              <w:t> </w:t>
            </w:r>
          </w:p>
        </w:tc>
      </w:tr>
      <w:tr>
        <w:trPr/>
        <w:tc>
          <w:tcPr>
            <w:tcW w:w="4559" w:type="dxa"/>
            <w:tcBorders/>
            <w:shd w:fill="CCEEFF" w:val="clear"/>
            <w:vAlign w:val="center"/>
          </w:tcPr>
          <w:p>
            <w:pPr>
              <w:pStyle w:val="TableContents"/>
              <w:bidi w:val="0"/>
              <w:spacing w:before="0" w:after="0"/>
              <w:jc w:val="left"/>
              <w:rPr/>
            </w:pPr>
            <w:r>
              <w:rPr/>
              <w:t xml:space="preserve">Consolidated total assets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558,380</w:t>
            </w:r>
          </w:p>
        </w:tc>
        <w:tc>
          <w:tcPr>
            <w:tcW w:w="23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(a) - Primarily includes compensation expense, including stock-based compensation expense, for certain executive officers and consultants, insurance, legal and investor relations expenses and accounting and tax fees that are not allocated to the Company's operating segments. </w: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(b) - Primarily consists of cash and deferred tax assets. </w:t>
      </w:r>
    </w:p>
    <w:p>
      <w:pPr>
        <w:pStyle w:val="TextBody"/>
        <w:bidi w:val="0"/>
        <w:spacing w:before="0" w:after="0"/>
        <w:jc w:val="center"/>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ADMA BIOLOGICS, INC.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NOTES TO CONDENSED CONSOLIDATED FINANCIAL STATEMENTS (UNAUDITED)</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Net revenues according to geographic area, based on the location of where the product is shipped, were as follows: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415"/>
        <w:gridCol w:w="90"/>
        <w:gridCol w:w="170"/>
        <w:gridCol w:w="1976"/>
        <w:gridCol w:w="90"/>
        <w:gridCol w:w="90"/>
        <w:gridCol w:w="170"/>
        <w:gridCol w:w="1368"/>
        <w:gridCol w:w="90"/>
        <w:gridCol w:w="90"/>
        <w:gridCol w:w="170"/>
        <w:gridCol w:w="1293"/>
        <w:gridCol w:w="90"/>
        <w:gridCol w:w="90"/>
        <w:gridCol w:w="170"/>
        <w:gridCol w:w="971"/>
        <w:gridCol w:w="90"/>
        <w:gridCol w:w="90"/>
        <w:gridCol w:w="170"/>
        <w:gridCol w:w="1385"/>
        <w:gridCol w:w="137"/>
      </w:tblGrid>
      <w:tr>
        <w:trPr/>
        <w:tc>
          <w:tcPr>
            <w:tcW w:w="1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7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93" w:type="dxa"/>
            <w:gridSpan w:val="17"/>
            <w:tcBorders>
              <w:bottom w:val="single" w:sz="6" w:space="0" w:color="000000"/>
            </w:tcBorders>
            <w:tcMar>
              <w:bottom w:w="28" w:type="dxa"/>
            </w:tcMar>
            <w:vAlign w:val="center"/>
          </w:tcPr>
          <w:p>
            <w:pPr>
              <w:pStyle w:val="TableContents"/>
              <w:bidi w:val="0"/>
              <w:spacing w:before="0" w:after="0"/>
              <w:jc w:val="center"/>
              <w:rPr/>
            </w:pPr>
            <w:r>
              <w:rPr>
                <w:b/>
              </w:rPr>
              <w:t>Three Months Ended June 30, 2026</w:t>
            </w:r>
            <w:r>
              <w:rPr/>
              <w:t xml:space="preserve"> </w:t>
            </w:r>
          </w:p>
        </w:tc>
        <w:tc>
          <w:tcPr>
            <w:tcW w:w="137"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pPr>
            <w:r>
              <w:rPr>
                <w:i/>
              </w:rPr>
              <w:t>(in thousands)</w:t>
            </w:r>
            <w:r>
              <w:rPr/>
              <w:t xml:space="preserve">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976" w:type="dxa"/>
            <w:tcBorders>
              <w:bottom w:val="single" w:sz="6" w:space="0" w:color="000000"/>
            </w:tcBorders>
            <w:tcMar>
              <w:bottom w:w="28" w:type="dxa"/>
            </w:tcMar>
            <w:vAlign w:val="center"/>
          </w:tcPr>
          <w:p>
            <w:pPr>
              <w:pStyle w:val="TableContents"/>
              <w:bidi w:val="0"/>
              <w:spacing w:before="0" w:after="0"/>
              <w:jc w:val="center"/>
              <w:rPr/>
            </w:pPr>
            <w:r>
              <w:rPr>
                <w:b/>
              </w:rPr>
              <w:t>ADMA</w:t>
              <w:br/>
              <w:t>BioManufacturing</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368" w:type="dxa"/>
            <w:tcBorders>
              <w:bottom w:val="single" w:sz="6" w:space="0" w:color="000000"/>
            </w:tcBorders>
            <w:tcMar>
              <w:bottom w:w="28" w:type="dxa"/>
            </w:tcMar>
            <w:vAlign w:val="center"/>
          </w:tcPr>
          <w:p>
            <w:pPr>
              <w:pStyle w:val="TableContents"/>
              <w:bidi w:val="0"/>
              <w:spacing w:before="0" w:after="0"/>
              <w:jc w:val="center"/>
              <w:rPr/>
            </w:pPr>
            <w:r>
              <w:rPr>
                <w:b/>
              </w:rPr>
              <w:t>Plasma Centers</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93" w:type="dxa"/>
            <w:tcBorders>
              <w:bottom w:val="single" w:sz="6" w:space="0" w:color="000000"/>
            </w:tcBorders>
            <w:tcMar>
              <w:bottom w:w="28" w:type="dxa"/>
            </w:tcMar>
            <w:vAlign w:val="center"/>
          </w:tcPr>
          <w:p>
            <w:pPr>
              <w:pStyle w:val="TableContents"/>
              <w:bidi w:val="0"/>
              <w:spacing w:before="0" w:after="0"/>
              <w:jc w:val="center"/>
              <w:rPr/>
            </w:pPr>
            <w:r>
              <w:rPr>
                <w:b/>
              </w:rPr>
              <w:t>Total Segment</w:t>
              <w:br/>
              <w:t>Revenue</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71" w:type="dxa"/>
            <w:tcBorders>
              <w:bottom w:val="single" w:sz="6" w:space="0" w:color="000000"/>
            </w:tcBorders>
            <w:tcMar>
              <w:bottom w:w="28" w:type="dxa"/>
            </w:tcMar>
            <w:vAlign w:val="center"/>
          </w:tcPr>
          <w:p>
            <w:pPr>
              <w:pStyle w:val="TableContents"/>
              <w:bidi w:val="0"/>
              <w:spacing w:before="0" w:after="0"/>
              <w:jc w:val="center"/>
              <w:rPr/>
            </w:pPr>
            <w:r>
              <w:rPr>
                <w:b/>
              </w:rPr>
              <w:t>License</w:t>
              <w:br/>
              <w:t>Revenue</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385" w:type="dxa"/>
            <w:tcBorders>
              <w:bottom w:val="single" w:sz="6" w:space="0" w:color="000000"/>
            </w:tcBorders>
            <w:tcMar>
              <w:bottom w:w="28" w:type="dxa"/>
            </w:tcMar>
            <w:vAlign w:val="center"/>
          </w:tcPr>
          <w:p>
            <w:pPr>
              <w:pStyle w:val="TableContents"/>
              <w:bidi w:val="0"/>
              <w:spacing w:before="0" w:after="0"/>
              <w:jc w:val="center"/>
              <w:rPr/>
            </w:pPr>
            <w:r>
              <w:rPr>
                <w:b/>
              </w:rPr>
              <w:t>Consolidated</w:t>
              <w:br/>
              <w:t>Revenue</w:t>
            </w:r>
            <w:r>
              <w:rPr/>
              <w:t xml:space="preserve"> </w:t>
            </w:r>
          </w:p>
        </w:tc>
        <w:tc>
          <w:tcPr>
            <w:tcW w:w="137" w:type="dxa"/>
            <w:tcBorders/>
            <w:vAlign w:val="center"/>
          </w:tcPr>
          <w:p>
            <w:pPr>
              <w:pStyle w:val="TableContents"/>
              <w:bidi w:val="0"/>
              <w:spacing w:before="0" w:after="283"/>
              <w:jc w:val="center"/>
              <w:rPr/>
            </w:pPr>
            <w:r>
              <w:rPr/>
              <w:t> </w:t>
            </w:r>
          </w:p>
        </w:tc>
      </w:tr>
      <w:tr>
        <w:trPr/>
        <w:tc>
          <w:tcPr>
            <w:tcW w:w="1415" w:type="dxa"/>
            <w:tcBorders/>
            <w:shd w:fill="CCEEFF" w:val="clear"/>
            <w:vAlign w:val="center"/>
          </w:tcPr>
          <w:p>
            <w:pPr>
              <w:pStyle w:val="TableContents"/>
              <w:bidi w:val="0"/>
              <w:spacing w:before="0" w:after="0"/>
              <w:jc w:val="left"/>
              <w:rPr/>
            </w:pPr>
            <w:r>
              <w:rPr/>
              <w:t xml:space="preserve">United States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76" w:type="dxa"/>
            <w:tcBorders/>
            <w:shd w:fill="CCEEFF" w:val="clear"/>
            <w:vAlign w:val="center"/>
          </w:tcPr>
          <w:p>
            <w:pPr>
              <w:pStyle w:val="TableContents"/>
              <w:bidi w:val="0"/>
              <w:spacing w:before="0" w:after="283"/>
              <w:jc w:val="right"/>
              <w:rPr/>
            </w:pPr>
            <w:r>
              <w:rPr/>
              <w:t>123,253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68" w:type="dxa"/>
            <w:tcBorders/>
            <w:shd w:fill="CCEEFF" w:val="clear"/>
            <w:vAlign w:val="center"/>
          </w:tcPr>
          <w:p>
            <w:pPr>
              <w:pStyle w:val="TableContents"/>
              <w:bidi w:val="0"/>
              <w:spacing w:before="0" w:after="283"/>
              <w:jc w:val="right"/>
              <w:rPr/>
            </w:pPr>
            <w:r>
              <w:rPr/>
              <w:t>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93" w:type="dxa"/>
            <w:tcBorders/>
            <w:shd w:fill="CCEEFF" w:val="clear"/>
            <w:vAlign w:val="center"/>
          </w:tcPr>
          <w:p>
            <w:pPr>
              <w:pStyle w:val="TableContents"/>
              <w:bidi w:val="0"/>
              <w:spacing w:before="0" w:after="283"/>
              <w:jc w:val="right"/>
              <w:rPr/>
            </w:pPr>
            <w:r>
              <w:rPr/>
              <w:t>123,283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jc w:val="right"/>
              <w:rPr/>
            </w:pPr>
            <w:r>
              <w:rPr/>
              <w:t>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85" w:type="dxa"/>
            <w:tcBorders/>
            <w:shd w:fill="CCEEFF" w:val="clear"/>
            <w:vAlign w:val="center"/>
          </w:tcPr>
          <w:p>
            <w:pPr>
              <w:pStyle w:val="TableContents"/>
              <w:bidi w:val="0"/>
              <w:spacing w:before="0" w:after="283"/>
              <w:jc w:val="right"/>
              <w:rPr/>
            </w:pPr>
            <w:r>
              <w:rPr/>
              <w:t>123,318</w:t>
            </w:r>
          </w:p>
        </w:tc>
        <w:tc>
          <w:tcPr>
            <w:tcW w:w="137" w:type="dxa"/>
            <w:tcBorders/>
            <w:shd w:fill="CCEEFF" w:val="clear"/>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pPr>
            <w:r>
              <w:rPr/>
              <w:t xml:space="preserve">International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76" w:type="dxa"/>
            <w:tcBorders>
              <w:bottom w:val="single" w:sz="6" w:space="0" w:color="000000"/>
            </w:tcBorders>
            <w:tcMar>
              <w:bottom w:w="28" w:type="dxa"/>
            </w:tcMar>
            <w:vAlign w:val="center"/>
          </w:tcPr>
          <w:p>
            <w:pPr>
              <w:pStyle w:val="TableContents"/>
              <w:bidi w:val="0"/>
              <w:spacing w:before="0" w:after="283"/>
              <w:jc w:val="right"/>
              <w:rPr/>
            </w:pPr>
            <w:r>
              <w:rPr/>
              <w:t>384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68" w:type="dxa"/>
            <w:tcBorders>
              <w:bottom w:val="single" w:sz="6" w:space="0" w:color="000000"/>
            </w:tcBorders>
            <w:tcMar>
              <w:bottom w:w="28" w:type="dxa"/>
            </w:tcMar>
            <w:vAlign w:val="center"/>
          </w:tcPr>
          <w:p>
            <w:pPr>
              <w:pStyle w:val="TableContents"/>
              <w:bidi w:val="0"/>
              <w:spacing w:before="0" w:after="283"/>
              <w:jc w:val="right"/>
              <w:rPr/>
            </w:pPr>
            <w:r>
              <w:rPr/>
              <w:t>693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3" w:type="dxa"/>
            <w:tcBorders>
              <w:bottom w:val="single" w:sz="6" w:space="0" w:color="000000"/>
            </w:tcBorders>
            <w:tcMar>
              <w:bottom w:w="28" w:type="dxa"/>
            </w:tcMar>
            <w:vAlign w:val="center"/>
          </w:tcPr>
          <w:p>
            <w:pPr>
              <w:pStyle w:val="TableContents"/>
              <w:bidi w:val="0"/>
              <w:spacing w:before="0" w:after="283"/>
              <w:jc w:val="right"/>
              <w:rPr/>
            </w:pPr>
            <w:r>
              <w:rPr/>
              <w:t>1,077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71" w:type="dxa"/>
            <w:tcBorders>
              <w:bottom w:val="single" w:sz="6" w:space="0" w:color="000000"/>
            </w:tcBorders>
            <w:tcMar>
              <w:bottom w:w="28" w:type="dxa"/>
            </w:tcMar>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before="0" w:after="283"/>
              <w:jc w:val="right"/>
              <w:rPr/>
            </w:pPr>
            <w:r>
              <w:rPr/>
              <w:t>1,077</w:t>
            </w:r>
          </w:p>
        </w:tc>
        <w:tc>
          <w:tcPr>
            <w:tcW w:w="137" w:type="dxa"/>
            <w:tcBorders/>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jc w:val="left"/>
              <w:rPr/>
            </w:pPr>
            <w:r>
              <w:rPr/>
              <w:t xml:space="preserve">Total revenues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976" w:type="dxa"/>
            <w:tcBorders>
              <w:bottom w:val="single" w:sz="6" w:space="0" w:color="000000"/>
            </w:tcBorders>
            <w:shd w:fill="CCEEFF" w:val="clear"/>
            <w:tcMar>
              <w:bottom w:w="28" w:type="dxa"/>
            </w:tcMar>
            <w:vAlign w:val="center"/>
          </w:tcPr>
          <w:p>
            <w:pPr>
              <w:pStyle w:val="TableContents"/>
              <w:bidi w:val="0"/>
              <w:spacing w:before="0" w:after="283"/>
              <w:jc w:val="right"/>
              <w:rPr/>
            </w:pPr>
            <w:r>
              <w:rPr/>
              <w:t>123,637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368" w:type="dxa"/>
            <w:tcBorders>
              <w:bottom w:val="single" w:sz="6" w:space="0" w:color="000000"/>
            </w:tcBorders>
            <w:shd w:fill="CCEEFF" w:val="clear"/>
            <w:tcMar>
              <w:bottom w:w="28" w:type="dxa"/>
            </w:tcMar>
            <w:vAlign w:val="center"/>
          </w:tcPr>
          <w:p>
            <w:pPr>
              <w:pStyle w:val="TableContents"/>
              <w:bidi w:val="0"/>
              <w:spacing w:before="0" w:after="283"/>
              <w:jc w:val="right"/>
              <w:rPr/>
            </w:pPr>
            <w:r>
              <w:rPr/>
              <w:t>723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293" w:type="dxa"/>
            <w:tcBorders>
              <w:bottom w:val="single" w:sz="6" w:space="0" w:color="000000"/>
            </w:tcBorders>
            <w:shd w:fill="CCEEFF" w:val="clear"/>
            <w:tcMar>
              <w:bottom w:w="28" w:type="dxa"/>
            </w:tcMar>
            <w:vAlign w:val="center"/>
          </w:tcPr>
          <w:p>
            <w:pPr>
              <w:pStyle w:val="TableContents"/>
              <w:bidi w:val="0"/>
              <w:spacing w:before="0" w:after="283"/>
              <w:jc w:val="right"/>
              <w:rPr/>
            </w:pPr>
            <w:r>
              <w:rPr/>
              <w:t>124,360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971" w:type="dxa"/>
            <w:tcBorders>
              <w:bottom w:val="single" w:sz="6" w:space="0" w:color="000000"/>
            </w:tcBorders>
            <w:shd w:fill="CCEEFF" w:val="clear"/>
            <w:tcMar>
              <w:bottom w:w="28" w:type="dxa"/>
            </w:tcMar>
            <w:vAlign w:val="center"/>
          </w:tcPr>
          <w:p>
            <w:pPr>
              <w:pStyle w:val="TableContents"/>
              <w:bidi w:val="0"/>
              <w:spacing w:before="0" w:after="283"/>
              <w:jc w:val="right"/>
              <w:rPr/>
            </w:pPr>
            <w:r>
              <w:rPr/>
              <w:t>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385" w:type="dxa"/>
            <w:tcBorders>
              <w:bottom w:val="single" w:sz="6" w:space="0" w:color="000000"/>
            </w:tcBorders>
            <w:shd w:fill="CCEEFF" w:val="clear"/>
            <w:tcMar>
              <w:bottom w:w="28" w:type="dxa"/>
            </w:tcMar>
            <w:vAlign w:val="center"/>
          </w:tcPr>
          <w:p>
            <w:pPr>
              <w:pStyle w:val="TableContents"/>
              <w:bidi w:val="0"/>
              <w:spacing w:before="0" w:after="283"/>
              <w:jc w:val="right"/>
              <w:rPr/>
            </w:pPr>
            <w:r>
              <w:rPr/>
              <w:t>124,395</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415"/>
        <w:gridCol w:w="90"/>
        <w:gridCol w:w="170"/>
        <w:gridCol w:w="1976"/>
        <w:gridCol w:w="90"/>
        <w:gridCol w:w="90"/>
        <w:gridCol w:w="170"/>
        <w:gridCol w:w="1368"/>
        <w:gridCol w:w="90"/>
        <w:gridCol w:w="90"/>
        <w:gridCol w:w="170"/>
        <w:gridCol w:w="1293"/>
        <w:gridCol w:w="90"/>
        <w:gridCol w:w="90"/>
        <w:gridCol w:w="170"/>
        <w:gridCol w:w="971"/>
        <w:gridCol w:w="90"/>
        <w:gridCol w:w="90"/>
        <w:gridCol w:w="170"/>
        <w:gridCol w:w="1385"/>
        <w:gridCol w:w="137"/>
      </w:tblGrid>
      <w:tr>
        <w:trPr/>
        <w:tc>
          <w:tcPr>
            <w:tcW w:w="1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7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93" w:type="dxa"/>
            <w:gridSpan w:val="17"/>
            <w:tcBorders>
              <w:bottom w:val="single" w:sz="6" w:space="0" w:color="000000"/>
            </w:tcBorders>
            <w:tcMar>
              <w:bottom w:w="28" w:type="dxa"/>
            </w:tcMar>
            <w:vAlign w:val="center"/>
          </w:tcPr>
          <w:p>
            <w:pPr>
              <w:pStyle w:val="TableContents"/>
              <w:bidi w:val="0"/>
              <w:spacing w:before="0" w:after="0"/>
              <w:jc w:val="center"/>
              <w:rPr/>
            </w:pPr>
            <w:r>
              <w:rPr>
                <w:b/>
              </w:rPr>
              <w:t>Six Months Ended June 30, 2026</w:t>
            </w:r>
            <w:r>
              <w:rPr/>
              <w:t xml:space="preserve"> </w:t>
            </w:r>
          </w:p>
        </w:tc>
        <w:tc>
          <w:tcPr>
            <w:tcW w:w="137"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pPr>
            <w:r>
              <w:rPr>
                <w:i/>
              </w:rPr>
              <w:t>(in thousands)</w:t>
            </w:r>
            <w:r>
              <w:rPr/>
              <w:t xml:space="preserve">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76" w:type="dxa"/>
            <w:tcBorders>
              <w:bottom w:val="single" w:sz="6" w:space="0" w:color="000000"/>
            </w:tcBorders>
            <w:tcMar>
              <w:bottom w:w="28" w:type="dxa"/>
            </w:tcMar>
            <w:vAlign w:val="center"/>
          </w:tcPr>
          <w:p>
            <w:pPr>
              <w:pStyle w:val="TableContents"/>
              <w:bidi w:val="0"/>
              <w:spacing w:before="0" w:after="0"/>
              <w:jc w:val="center"/>
              <w:rPr/>
            </w:pPr>
            <w:r>
              <w:rPr>
                <w:b/>
              </w:rPr>
              <w:t>ADMA</w:t>
              <w:br/>
              <w:t>BioManufacturing</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68" w:type="dxa"/>
            <w:tcBorders>
              <w:bottom w:val="single" w:sz="6" w:space="0" w:color="000000"/>
            </w:tcBorders>
            <w:tcMar>
              <w:bottom w:w="28" w:type="dxa"/>
            </w:tcMar>
            <w:vAlign w:val="center"/>
          </w:tcPr>
          <w:p>
            <w:pPr>
              <w:pStyle w:val="TableContents"/>
              <w:bidi w:val="0"/>
              <w:spacing w:before="0" w:after="0"/>
              <w:jc w:val="center"/>
              <w:rPr/>
            </w:pPr>
            <w:r>
              <w:rPr>
                <w:b/>
              </w:rPr>
              <w:t>Plasma Centers</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3" w:type="dxa"/>
            <w:tcBorders>
              <w:bottom w:val="single" w:sz="6" w:space="0" w:color="000000"/>
            </w:tcBorders>
            <w:tcMar>
              <w:bottom w:w="28" w:type="dxa"/>
            </w:tcMar>
            <w:vAlign w:val="center"/>
          </w:tcPr>
          <w:p>
            <w:pPr>
              <w:pStyle w:val="TableContents"/>
              <w:bidi w:val="0"/>
              <w:spacing w:before="0" w:after="0"/>
              <w:jc w:val="center"/>
              <w:rPr/>
            </w:pPr>
            <w:r>
              <w:rPr>
                <w:b/>
              </w:rPr>
              <w:t>Total Segment</w:t>
              <w:br/>
              <w:t>Revenue</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71" w:type="dxa"/>
            <w:tcBorders>
              <w:bottom w:val="single" w:sz="6" w:space="0" w:color="000000"/>
            </w:tcBorders>
            <w:tcMar>
              <w:bottom w:w="28" w:type="dxa"/>
            </w:tcMar>
            <w:vAlign w:val="center"/>
          </w:tcPr>
          <w:p>
            <w:pPr>
              <w:pStyle w:val="TableContents"/>
              <w:bidi w:val="0"/>
              <w:spacing w:before="0" w:after="0"/>
              <w:jc w:val="center"/>
              <w:rPr/>
            </w:pPr>
            <w:r>
              <w:rPr>
                <w:b/>
              </w:rPr>
              <w:t>License</w:t>
              <w:br/>
              <w:t>Revenue</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before="0" w:after="0"/>
              <w:jc w:val="center"/>
              <w:rPr/>
            </w:pPr>
            <w:r>
              <w:rPr>
                <w:b/>
              </w:rPr>
              <w:t>Consolidated</w:t>
              <w:br/>
              <w:t>Revenue</w:t>
            </w:r>
            <w:r>
              <w:rPr/>
              <w:t xml:space="preserve"> </w:t>
            </w:r>
          </w:p>
        </w:tc>
        <w:tc>
          <w:tcPr>
            <w:tcW w:w="137" w:type="dxa"/>
            <w:tcBorders/>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jc w:val="left"/>
              <w:rPr/>
            </w:pPr>
            <w:r>
              <w:rPr/>
              <w:t xml:space="preserve">United States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76" w:type="dxa"/>
            <w:tcBorders/>
            <w:shd w:fill="CCEEFF" w:val="clear"/>
            <w:vAlign w:val="center"/>
          </w:tcPr>
          <w:p>
            <w:pPr>
              <w:pStyle w:val="TableContents"/>
              <w:bidi w:val="0"/>
              <w:spacing w:before="0" w:after="283"/>
              <w:jc w:val="right"/>
              <w:rPr/>
            </w:pPr>
            <w:r>
              <w:rPr/>
              <w:t>236,616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68" w:type="dxa"/>
            <w:tcBorders/>
            <w:shd w:fill="CCEEFF" w:val="clear"/>
            <w:vAlign w:val="center"/>
          </w:tcPr>
          <w:p>
            <w:pPr>
              <w:pStyle w:val="TableContents"/>
              <w:bidi w:val="0"/>
              <w:spacing w:before="0" w:after="283"/>
              <w:jc w:val="right"/>
              <w:rPr/>
            </w:pPr>
            <w:r>
              <w:rPr/>
              <w:t>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93" w:type="dxa"/>
            <w:tcBorders/>
            <w:shd w:fill="CCEEFF" w:val="clear"/>
            <w:vAlign w:val="center"/>
          </w:tcPr>
          <w:p>
            <w:pPr>
              <w:pStyle w:val="TableContents"/>
              <w:bidi w:val="0"/>
              <w:spacing w:before="0" w:after="283"/>
              <w:jc w:val="right"/>
              <w:rPr/>
            </w:pPr>
            <w:r>
              <w:rPr/>
              <w:t>236,672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jc w:val="right"/>
              <w:rPr/>
            </w:pPr>
            <w:r>
              <w:rPr/>
              <w:t>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85" w:type="dxa"/>
            <w:tcBorders/>
            <w:shd w:fill="CCEEFF" w:val="clear"/>
            <w:vAlign w:val="center"/>
          </w:tcPr>
          <w:p>
            <w:pPr>
              <w:pStyle w:val="TableContents"/>
              <w:bidi w:val="0"/>
              <w:spacing w:before="0" w:after="283"/>
              <w:jc w:val="right"/>
              <w:rPr/>
            </w:pPr>
            <w:r>
              <w:rPr/>
              <w:t>236,743</w:t>
            </w:r>
          </w:p>
        </w:tc>
        <w:tc>
          <w:tcPr>
            <w:tcW w:w="137" w:type="dxa"/>
            <w:tcBorders/>
            <w:shd w:fill="CCEEFF" w:val="clear"/>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pPr>
            <w:r>
              <w:rPr/>
              <w:t xml:space="preserve">International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76" w:type="dxa"/>
            <w:tcBorders>
              <w:bottom w:val="single" w:sz="6" w:space="0" w:color="000000"/>
            </w:tcBorders>
            <w:tcMar>
              <w:bottom w:w="28" w:type="dxa"/>
            </w:tcMar>
            <w:vAlign w:val="center"/>
          </w:tcPr>
          <w:p>
            <w:pPr>
              <w:pStyle w:val="TableContents"/>
              <w:bidi w:val="0"/>
              <w:spacing w:before="0" w:after="283"/>
              <w:jc w:val="right"/>
              <w:rPr/>
            </w:pPr>
            <w:r>
              <w:rPr/>
              <w:t>762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68" w:type="dxa"/>
            <w:tcBorders>
              <w:bottom w:val="single" w:sz="6" w:space="0" w:color="000000"/>
            </w:tcBorders>
            <w:tcMar>
              <w:bottom w:w="28" w:type="dxa"/>
            </w:tcMar>
            <w:vAlign w:val="center"/>
          </w:tcPr>
          <w:p>
            <w:pPr>
              <w:pStyle w:val="TableContents"/>
              <w:bidi w:val="0"/>
              <w:spacing w:before="0" w:after="283"/>
              <w:jc w:val="right"/>
              <w:rPr/>
            </w:pPr>
            <w:r>
              <w:rPr/>
              <w:t>1,383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3" w:type="dxa"/>
            <w:tcBorders>
              <w:bottom w:val="single" w:sz="6" w:space="0" w:color="000000"/>
            </w:tcBorders>
            <w:tcMar>
              <w:bottom w:w="28" w:type="dxa"/>
            </w:tcMar>
            <w:vAlign w:val="center"/>
          </w:tcPr>
          <w:p>
            <w:pPr>
              <w:pStyle w:val="TableContents"/>
              <w:bidi w:val="0"/>
              <w:spacing w:before="0" w:after="283"/>
              <w:jc w:val="right"/>
              <w:rPr/>
            </w:pPr>
            <w:r>
              <w:rPr/>
              <w:t>2,145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71" w:type="dxa"/>
            <w:tcBorders>
              <w:bottom w:val="single" w:sz="6" w:space="0" w:color="000000"/>
            </w:tcBorders>
            <w:tcMar>
              <w:bottom w:w="28" w:type="dxa"/>
            </w:tcMar>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before="0" w:after="283"/>
              <w:jc w:val="right"/>
              <w:rPr/>
            </w:pPr>
            <w:r>
              <w:rPr/>
              <w:t>2,145</w:t>
            </w:r>
          </w:p>
        </w:tc>
        <w:tc>
          <w:tcPr>
            <w:tcW w:w="137" w:type="dxa"/>
            <w:tcBorders/>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jc w:val="left"/>
              <w:rPr/>
            </w:pPr>
            <w:r>
              <w:rPr/>
              <w:t xml:space="preserve">Total revenues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976" w:type="dxa"/>
            <w:tcBorders>
              <w:bottom w:val="single" w:sz="6" w:space="0" w:color="000000"/>
            </w:tcBorders>
            <w:shd w:fill="CCEEFF" w:val="clear"/>
            <w:tcMar>
              <w:bottom w:w="28" w:type="dxa"/>
            </w:tcMar>
            <w:vAlign w:val="center"/>
          </w:tcPr>
          <w:p>
            <w:pPr>
              <w:pStyle w:val="TableContents"/>
              <w:bidi w:val="0"/>
              <w:spacing w:before="0" w:after="283"/>
              <w:jc w:val="right"/>
              <w:rPr/>
            </w:pPr>
            <w:r>
              <w:rPr/>
              <w:t>237,378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368" w:type="dxa"/>
            <w:tcBorders>
              <w:bottom w:val="single" w:sz="6" w:space="0" w:color="000000"/>
            </w:tcBorders>
            <w:shd w:fill="CCEEFF" w:val="clear"/>
            <w:tcMar>
              <w:bottom w:w="28" w:type="dxa"/>
            </w:tcMar>
            <w:vAlign w:val="center"/>
          </w:tcPr>
          <w:p>
            <w:pPr>
              <w:pStyle w:val="TableContents"/>
              <w:bidi w:val="0"/>
              <w:spacing w:before="0" w:after="283"/>
              <w:jc w:val="right"/>
              <w:rPr/>
            </w:pPr>
            <w:r>
              <w:rPr/>
              <w:t>1,439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293" w:type="dxa"/>
            <w:tcBorders>
              <w:bottom w:val="single" w:sz="6" w:space="0" w:color="000000"/>
            </w:tcBorders>
            <w:shd w:fill="CCEEFF" w:val="clear"/>
            <w:tcMar>
              <w:bottom w:w="28" w:type="dxa"/>
            </w:tcMar>
            <w:vAlign w:val="center"/>
          </w:tcPr>
          <w:p>
            <w:pPr>
              <w:pStyle w:val="TableContents"/>
              <w:bidi w:val="0"/>
              <w:spacing w:before="0" w:after="283"/>
              <w:jc w:val="right"/>
              <w:rPr/>
            </w:pPr>
            <w:r>
              <w:rPr/>
              <w:t>238,817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971" w:type="dxa"/>
            <w:tcBorders>
              <w:bottom w:val="single" w:sz="6" w:space="0" w:color="000000"/>
            </w:tcBorders>
            <w:shd w:fill="CCEEFF" w:val="clear"/>
            <w:tcMar>
              <w:bottom w:w="28" w:type="dxa"/>
            </w:tcMar>
            <w:vAlign w:val="center"/>
          </w:tcPr>
          <w:p>
            <w:pPr>
              <w:pStyle w:val="TableContents"/>
              <w:bidi w:val="0"/>
              <w:spacing w:before="0" w:after="283"/>
              <w:jc w:val="right"/>
              <w:rPr/>
            </w:pPr>
            <w:r>
              <w:rPr/>
              <w:t>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385" w:type="dxa"/>
            <w:tcBorders>
              <w:bottom w:val="single" w:sz="6" w:space="0" w:color="000000"/>
            </w:tcBorders>
            <w:shd w:fill="CCEEFF" w:val="clear"/>
            <w:tcMar>
              <w:bottom w:w="28" w:type="dxa"/>
            </w:tcMar>
            <w:vAlign w:val="center"/>
          </w:tcPr>
          <w:p>
            <w:pPr>
              <w:pStyle w:val="TableContents"/>
              <w:bidi w:val="0"/>
              <w:spacing w:before="0" w:after="283"/>
              <w:jc w:val="right"/>
              <w:rPr/>
            </w:pPr>
            <w:r>
              <w:rPr/>
              <w:t>238,888</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386"/>
        <w:gridCol w:w="90"/>
        <w:gridCol w:w="170"/>
        <w:gridCol w:w="1970"/>
        <w:gridCol w:w="90"/>
        <w:gridCol w:w="90"/>
        <w:gridCol w:w="170"/>
        <w:gridCol w:w="1366"/>
        <w:gridCol w:w="90"/>
        <w:gridCol w:w="90"/>
        <w:gridCol w:w="170"/>
        <w:gridCol w:w="1305"/>
        <w:gridCol w:w="90"/>
        <w:gridCol w:w="90"/>
        <w:gridCol w:w="170"/>
        <w:gridCol w:w="965"/>
        <w:gridCol w:w="90"/>
        <w:gridCol w:w="90"/>
        <w:gridCol w:w="170"/>
        <w:gridCol w:w="1415"/>
        <w:gridCol w:w="138"/>
      </w:tblGrid>
      <w:tr>
        <w:trPr/>
        <w:tc>
          <w:tcPr>
            <w:tcW w:w="13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13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421" w:type="dxa"/>
            <w:gridSpan w:val="17"/>
            <w:tcBorders>
              <w:bottom w:val="single" w:sz="6" w:space="0" w:color="000000"/>
            </w:tcBorders>
            <w:tcMar>
              <w:bottom w:w="28" w:type="dxa"/>
            </w:tcMar>
            <w:vAlign w:val="center"/>
          </w:tcPr>
          <w:p>
            <w:pPr>
              <w:pStyle w:val="TableContents"/>
              <w:bidi w:val="0"/>
              <w:spacing w:before="0" w:after="0"/>
              <w:jc w:val="center"/>
              <w:rPr/>
            </w:pPr>
            <w:r>
              <w:rPr>
                <w:b/>
              </w:rPr>
              <w:t>Three Months Ended June 30, 2025</w:t>
            </w:r>
            <w:r>
              <w:rPr/>
              <w:t xml:space="preserve"> </w:t>
            </w:r>
          </w:p>
        </w:tc>
        <w:tc>
          <w:tcPr>
            <w:tcW w:w="138" w:type="dxa"/>
            <w:tcBorders/>
            <w:vAlign w:val="center"/>
          </w:tcPr>
          <w:p>
            <w:pPr>
              <w:pStyle w:val="TableContents"/>
              <w:bidi w:val="0"/>
              <w:spacing w:before="0" w:after="283"/>
              <w:jc w:val="left"/>
              <w:rPr/>
            </w:pPr>
            <w:r>
              <w:rPr/>
              <w:t> </w:t>
            </w:r>
          </w:p>
        </w:tc>
      </w:tr>
      <w:tr>
        <w:trPr/>
        <w:tc>
          <w:tcPr>
            <w:tcW w:w="1386" w:type="dxa"/>
            <w:tcBorders/>
            <w:vAlign w:val="center"/>
          </w:tcPr>
          <w:p>
            <w:pPr>
              <w:pStyle w:val="TableContents"/>
              <w:bidi w:val="0"/>
              <w:spacing w:before="0" w:after="0"/>
              <w:jc w:val="left"/>
              <w:rPr/>
            </w:pPr>
            <w:r>
              <w:rPr>
                <w:i/>
              </w:rPr>
              <w:t>(in thousands)</w:t>
            </w:r>
            <w:r>
              <w:rPr/>
              <w:t xml:space="preserve">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70" w:type="dxa"/>
            <w:tcBorders>
              <w:bottom w:val="single" w:sz="6" w:space="0" w:color="000000"/>
            </w:tcBorders>
            <w:tcMar>
              <w:bottom w:w="28" w:type="dxa"/>
            </w:tcMar>
            <w:vAlign w:val="center"/>
          </w:tcPr>
          <w:p>
            <w:pPr>
              <w:pStyle w:val="TableContents"/>
              <w:bidi w:val="0"/>
              <w:spacing w:before="0" w:after="0"/>
              <w:jc w:val="center"/>
              <w:rPr/>
            </w:pPr>
            <w:r>
              <w:rPr>
                <w:b/>
              </w:rPr>
              <w:t>ADMA</w:t>
              <w:br/>
              <w:t>BioManufacturing</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66" w:type="dxa"/>
            <w:tcBorders>
              <w:bottom w:val="single" w:sz="6" w:space="0" w:color="000000"/>
            </w:tcBorders>
            <w:tcMar>
              <w:bottom w:w="28" w:type="dxa"/>
            </w:tcMar>
            <w:vAlign w:val="center"/>
          </w:tcPr>
          <w:p>
            <w:pPr>
              <w:pStyle w:val="TableContents"/>
              <w:bidi w:val="0"/>
              <w:spacing w:before="0" w:after="0"/>
              <w:jc w:val="center"/>
              <w:rPr/>
            </w:pPr>
            <w:r>
              <w:rPr>
                <w:b/>
              </w:rPr>
              <w:t>Plasma Centers</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305" w:type="dxa"/>
            <w:tcBorders>
              <w:bottom w:val="single" w:sz="6" w:space="0" w:color="000000"/>
            </w:tcBorders>
            <w:tcMar>
              <w:bottom w:w="28" w:type="dxa"/>
            </w:tcMar>
            <w:vAlign w:val="center"/>
          </w:tcPr>
          <w:p>
            <w:pPr>
              <w:pStyle w:val="TableContents"/>
              <w:bidi w:val="0"/>
              <w:spacing w:before="0" w:after="0"/>
              <w:jc w:val="center"/>
              <w:rPr/>
            </w:pPr>
            <w:r>
              <w:rPr>
                <w:b/>
              </w:rPr>
              <w:t xml:space="preserve">Total Segment </w:t>
              <w:br/>
              <w:t>Revenue</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0"/>
              <w:jc w:val="center"/>
              <w:rPr/>
            </w:pPr>
            <w:r>
              <w:rPr>
                <w:b/>
              </w:rPr>
              <w:t xml:space="preserve">License </w:t>
              <w:br/>
              <w:t>Revenue</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5" w:type="dxa"/>
            <w:tcBorders>
              <w:bottom w:val="single" w:sz="6" w:space="0" w:color="000000"/>
            </w:tcBorders>
            <w:tcMar>
              <w:bottom w:w="28" w:type="dxa"/>
            </w:tcMar>
            <w:vAlign w:val="center"/>
          </w:tcPr>
          <w:p>
            <w:pPr>
              <w:pStyle w:val="TableContents"/>
              <w:bidi w:val="0"/>
              <w:spacing w:before="0" w:after="0"/>
              <w:jc w:val="center"/>
              <w:rPr/>
            </w:pPr>
            <w:r>
              <w:rPr>
                <w:b/>
              </w:rPr>
              <w:t xml:space="preserve">Consolidated </w:t>
              <w:br/>
              <w:t>Revenue</w:t>
            </w:r>
            <w:r>
              <w:rPr/>
              <w:t xml:space="preserve"> </w:t>
            </w:r>
          </w:p>
        </w:tc>
        <w:tc>
          <w:tcPr>
            <w:tcW w:w="138" w:type="dxa"/>
            <w:tcBorders/>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0"/>
              <w:jc w:val="left"/>
              <w:rPr/>
            </w:pPr>
            <w:r>
              <w:rPr/>
              <w:t xml:space="preserve">United States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70" w:type="dxa"/>
            <w:tcBorders/>
            <w:shd w:fill="CCEEFF" w:val="clear"/>
            <w:vAlign w:val="center"/>
          </w:tcPr>
          <w:p>
            <w:pPr>
              <w:pStyle w:val="TableContents"/>
              <w:bidi w:val="0"/>
              <w:spacing w:before="0" w:after="283"/>
              <w:jc w:val="right"/>
              <w:rPr/>
            </w:pPr>
            <w:r>
              <w:rPr/>
              <w:t>121,948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66" w:type="dxa"/>
            <w:tcBorders/>
            <w:shd w:fill="CCEEFF" w:val="clear"/>
            <w:vAlign w:val="center"/>
          </w:tcPr>
          <w:p>
            <w:pPr>
              <w:pStyle w:val="TableContents"/>
              <w:bidi w:val="0"/>
              <w:spacing w:before="0" w:after="283"/>
              <w:jc w:val="right"/>
              <w:rPr/>
            </w:pPr>
            <w:r>
              <w:rPr/>
              <w:t>            </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05" w:type="dxa"/>
            <w:tcBorders/>
            <w:shd w:fill="CCEEFF" w:val="clear"/>
            <w:vAlign w:val="center"/>
          </w:tcPr>
          <w:p>
            <w:pPr>
              <w:pStyle w:val="TableContents"/>
              <w:bidi w:val="0"/>
              <w:spacing w:before="0" w:after="283"/>
              <w:jc w:val="right"/>
              <w:rPr/>
            </w:pPr>
            <w:r>
              <w:rPr/>
              <w:t>121,948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jc w:val="right"/>
              <w:rPr/>
            </w:pPr>
            <w:r>
              <w:rPr/>
              <w:t>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15" w:type="dxa"/>
            <w:tcBorders/>
            <w:shd w:fill="CCEEFF" w:val="clear"/>
            <w:vAlign w:val="center"/>
          </w:tcPr>
          <w:p>
            <w:pPr>
              <w:pStyle w:val="TableContents"/>
              <w:bidi w:val="0"/>
              <w:spacing w:before="0" w:after="283"/>
              <w:jc w:val="right"/>
              <w:rPr/>
            </w:pPr>
            <w:r>
              <w:rPr/>
              <w:t>121,984</w:t>
            </w:r>
          </w:p>
        </w:tc>
        <w:tc>
          <w:tcPr>
            <w:tcW w:w="138" w:type="dxa"/>
            <w:tcBorders/>
            <w:shd w:fill="CCEEFF" w:val="clear"/>
            <w:vAlign w:val="center"/>
          </w:tcPr>
          <w:p>
            <w:pPr>
              <w:pStyle w:val="TableContents"/>
              <w:bidi w:val="0"/>
              <w:spacing w:before="0" w:after="283"/>
              <w:jc w:val="left"/>
              <w:rPr/>
            </w:pPr>
            <w:r>
              <w:rPr/>
              <w:t> </w:t>
            </w:r>
          </w:p>
        </w:tc>
      </w:tr>
      <w:tr>
        <w:trPr/>
        <w:tc>
          <w:tcPr>
            <w:tcW w:w="1386" w:type="dxa"/>
            <w:tcBorders/>
            <w:vAlign w:val="center"/>
          </w:tcPr>
          <w:p>
            <w:pPr>
              <w:pStyle w:val="TableContents"/>
              <w:bidi w:val="0"/>
              <w:spacing w:before="0" w:after="0"/>
              <w:jc w:val="left"/>
              <w:rPr/>
            </w:pPr>
            <w:r>
              <w:rPr/>
              <w:t xml:space="preserve">International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70" w:type="dxa"/>
            <w:tcBorders>
              <w:bottom w:val="single" w:sz="6" w:space="0" w:color="000000"/>
            </w:tcBorders>
            <w:tcMar>
              <w:bottom w:w="28" w:type="dxa"/>
            </w:tcMar>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66" w:type="dxa"/>
            <w:tcBorders>
              <w:bottom w:val="single" w:sz="6" w:space="0" w:color="000000"/>
            </w:tcBorders>
            <w:tcMar>
              <w:bottom w:w="28" w:type="dxa"/>
            </w:tcMar>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05" w:type="dxa"/>
            <w:tcBorders>
              <w:bottom w:val="single" w:sz="6" w:space="0" w:color="000000"/>
            </w:tcBorders>
            <w:tcMar>
              <w:bottom w:w="28" w:type="dxa"/>
            </w:tcMar>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5" w:type="dxa"/>
            <w:tcBorders>
              <w:bottom w:val="single" w:sz="6" w:space="0" w:color="000000"/>
            </w:tcBorders>
            <w:tcMar>
              <w:bottom w:w="28" w:type="dxa"/>
            </w:tcMar>
            <w:vAlign w:val="center"/>
          </w:tcPr>
          <w:p>
            <w:pPr>
              <w:pStyle w:val="TableContents"/>
              <w:bidi w:val="0"/>
              <w:spacing w:before="0" w:after="283"/>
              <w:jc w:val="right"/>
              <w:rPr/>
            </w:pPr>
            <w:r>
              <w:rPr/>
              <w:t>              </w:t>
            </w:r>
            <w:r>
              <w:rPr/>
              <w:t xml:space="preserve">-   </w:t>
            </w:r>
          </w:p>
        </w:tc>
        <w:tc>
          <w:tcPr>
            <w:tcW w:w="138" w:type="dxa"/>
            <w:tcBorders/>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0"/>
              <w:jc w:val="left"/>
              <w:rPr/>
            </w:pPr>
            <w:r>
              <w:rPr/>
              <w:t xml:space="preserve">Total revenues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970" w:type="dxa"/>
            <w:tcBorders>
              <w:bottom w:val="single" w:sz="6" w:space="0" w:color="000000"/>
            </w:tcBorders>
            <w:shd w:fill="CCEEFF" w:val="clear"/>
            <w:tcMar>
              <w:bottom w:w="28" w:type="dxa"/>
            </w:tcMar>
            <w:vAlign w:val="center"/>
          </w:tcPr>
          <w:p>
            <w:pPr>
              <w:pStyle w:val="TableContents"/>
              <w:bidi w:val="0"/>
              <w:spacing w:before="0" w:after="283"/>
              <w:jc w:val="right"/>
              <w:rPr/>
            </w:pPr>
            <w:r>
              <w:rPr/>
              <w:t>121,948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366"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305" w:type="dxa"/>
            <w:tcBorders>
              <w:bottom w:val="single" w:sz="6" w:space="0" w:color="000000"/>
            </w:tcBorders>
            <w:shd w:fill="CCEEFF" w:val="clear"/>
            <w:tcMar>
              <w:bottom w:w="28" w:type="dxa"/>
            </w:tcMar>
            <w:vAlign w:val="center"/>
          </w:tcPr>
          <w:p>
            <w:pPr>
              <w:pStyle w:val="TableContents"/>
              <w:bidi w:val="0"/>
              <w:spacing w:before="0" w:after="283"/>
              <w:jc w:val="right"/>
              <w:rPr/>
            </w:pPr>
            <w:r>
              <w:rPr/>
              <w:t>121,948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965" w:type="dxa"/>
            <w:tcBorders>
              <w:bottom w:val="single" w:sz="6" w:space="0" w:color="000000"/>
            </w:tcBorders>
            <w:shd w:fill="CCEEFF" w:val="clear"/>
            <w:tcMar>
              <w:bottom w:w="28" w:type="dxa"/>
            </w:tcMar>
            <w:vAlign w:val="center"/>
          </w:tcPr>
          <w:p>
            <w:pPr>
              <w:pStyle w:val="TableContents"/>
              <w:bidi w:val="0"/>
              <w:spacing w:before="0" w:after="283"/>
              <w:jc w:val="right"/>
              <w:rPr/>
            </w:pPr>
            <w:r>
              <w:rPr/>
              <w:t>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415" w:type="dxa"/>
            <w:tcBorders>
              <w:bottom w:val="single" w:sz="6" w:space="0" w:color="000000"/>
            </w:tcBorders>
            <w:shd w:fill="CCEEFF" w:val="clear"/>
            <w:tcMar>
              <w:bottom w:w="28" w:type="dxa"/>
            </w:tcMar>
            <w:vAlign w:val="center"/>
          </w:tcPr>
          <w:p>
            <w:pPr>
              <w:pStyle w:val="TableContents"/>
              <w:bidi w:val="0"/>
              <w:spacing w:before="0" w:after="283"/>
              <w:jc w:val="right"/>
              <w:rPr/>
            </w:pPr>
            <w:r>
              <w:rPr/>
              <w:t>121,984</w:t>
            </w:r>
          </w:p>
        </w:tc>
        <w:tc>
          <w:tcPr>
            <w:tcW w:w="138"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415"/>
        <w:gridCol w:w="90"/>
        <w:gridCol w:w="170"/>
        <w:gridCol w:w="1976"/>
        <w:gridCol w:w="90"/>
        <w:gridCol w:w="90"/>
        <w:gridCol w:w="170"/>
        <w:gridCol w:w="1368"/>
        <w:gridCol w:w="90"/>
        <w:gridCol w:w="90"/>
        <w:gridCol w:w="170"/>
        <w:gridCol w:w="1293"/>
        <w:gridCol w:w="90"/>
        <w:gridCol w:w="90"/>
        <w:gridCol w:w="170"/>
        <w:gridCol w:w="971"/>
        <w:gridCol w:w="90"/>
        <w:gridCol w:w="90"/>
        <w:gridCol w:w="170"/>
        <w:gridCol w:w="1385"/>
        <w:gridCol w:w="137"/>
      </w:tblGrid>
      <w:tr>
        <w:trPr/>
        <w:tc>
          <w:tcPr>
            <w:tcW w:w="1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7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93" w:type="dxa"/>
            <w:gridSpan w:val="17"/>
            <w:tcBorders>
              <w:bottom w:val="single" w:sz="6" w:space="0" w:color="000000"/>
            </w:tcBorders>
            <w:tcMar>
              <w:bottom w:w="28" w:type="dxa"/>
            </w:tcMar>
            <w:vAlign w:val="center"/>
          </w:tcPr>
          <w:p>
            <w:pPr>
              <w:pStyle w:val="TableContents"/>
              <w:bidi w:val="0"/>
              <w:spacing w:before="0" w:after="0"/>
              <w:jc w:val="center"/>
              <w:rPr/>
            </w:pPr>
            <w:r>
              <w:rPr>
                <w:b/>
              </w:rPr>
              <w:t>Six Months Ended June 30, 2025</w:t>
            </w:r>
            <w:r>
              <w:rPr/>
              <w:t xml:space="preserve"> </w:t>
            </w:r>
          </w:p>
        </w:tc>
        <w:tc>
          <w:tcPr>
            <w:tcW w:w="137"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pPr>
            <w:r>
              <w:rPr>
                <w:i/>
              </w:rPr>
              <w:t>(in thousands)</w:t>
            </w:r>
            <w:r>
              <w:rPr/>
              <w:t xml:space="preserve">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76" w:type="dxa"/>
            <w:tcBorders>
              <w:bottom w:val="single" w:sz="6" w:space="0" w:color="000000"/>
            </w:tcBorders>
            <w:tcMar>
              <w:bottom w:w="28" w:type="dxa"/>
            </w:tcMar>
            <w:vAlign w:val="center"/>
          </w:tcPr>
          <w:p>
            <w:pPr>
              <w:pStyle w:val="TableContents"/>
              <w:bidi w:val="0"/>
              <w:spacing w:before="0" w:after="0"/>
              <w:jc w:val="center"/>
              <w:rPr/>
            </w:pPr>
            <w:r>
              <w:rPr>
                <w:b/>
              </w:rPr>
              <w:t>ADMA</w:t>
              <w:br/>
              <w:t>BioManufacturing</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68" w:type="dxa"/>
            <w:tcBorders>
              <w:bottom w:val="single" w:sz="6" w:space="0" w:color="000000"/>
            </w:tcBorders>
            <w:tcMar>
              <w:bottom w:w="28" w:type="dxa"/>
            </w:tcMar>
            <w:vAlign w:val="center"/>
          </w:tcPr>
          <w:p>
            <w:pPr>
              <w:pStyle w:val="TableContents"/>
              <w:bidi w:val="0"/>
              <w:spacing w:before="0" w:after="0"/>
              <w:jc w:val="center"/>
              <w:rPr/>
            </w:pPr>
            <w:r>
              <w:rPr>
                <w:b/>
              </w:rPr>
              <w:t>Plasma Centers</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3" w:type="dxa"/>
            <w:tcBorders>
              <w:bottom w:val="single" w:sz="6" w:space="0" w:color="000000"/>
            </w:tcBorders>
            <w:tcMar>
              <w:bottom w:w="28" w:type="dxa"/>
            </w:tcMar>
            <w:vAlign w:val="center"/>
          </w:tcPr>
          <w:p>
            <w:pPr>
              <w:pStyle w:val="TableContents"/>
              <w:bidi w:val="0"/>
              <w:spacing w:before="0" w:after="0"/>
              <w:jc w:val="center"/>
              <w:rPr/>
            </w:pPr>
            <w:r>
              <w:rPr>
                <w:b/>
              </w:rPr>
              <w:t>Total Segment</w:t>
              <w:br/>
              <w:t>Revenue</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71" w:type="dxa"/>
            <w:tcBorders>
              <w:bottom w:val="single" w:sz="6" w:space="0" w:color="000000"/>
            </w:tcBorders>
            <w:tcMar>
              <w:bottom w:w="28" w:type="dxa"/>
            </w:tcMar>
            <w:vAlign w:val="center"/>
          </w:tcPr>
          <w:p>
            <w:pPr>
              <w:pStyle w:val="TableContents"/>
              <w:bidi w:val="0"/>
              <w:spacing w:before="0" w:after="0"/>
              <w:jc w:val="center"/>
              <w:rPr/>
            </w:pPr>
            <w:r>
              <w:rPr>
                <w:b/>
              </w:rPr>
              <w:t>License</w:t>
              <w:br/>
              <w:t>Revenue</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before="0" w:after="0"/>
              <w:jc w:val="center"/>
              <w:rPr/>
            </w:pPr>
            <w:r>
              <w:rPr>
                <w:b/>
              </w:rPr>
              <w:t>Consolidated</w:t>
              <w:br/>
              <w:t>Revenue</w:t>
            </w:r>
            <w:r>
              <w:rPr/>
              <w:t xml:space="preserve"> </w:t>
            </w:r>
          </w:p>
        </w:tc>
        <w:tc>
          <w:tcPr>
            <w:tcW w:w="137" w:type="dxa"/>
            <w:tcBorders/>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jc w:val="left"/>
              <w:rPr/>
            </w:pPr>
            <w:r>
              <w:rPr/>
              <w:t xml:space="preserve">United States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76" w:type="dxa"/>
            <w:tcBorders/>
            <w:shd w:fill="CCEEFF" w:val="clear"/>
            <w:vAlign w:val="center"/>
          </w:tcPr>
          <w:p>
            <w:pPr>
              <w:pStyle w:val="TableContents"/>
              <w:bidi w:val="0"/>
              <w:spacing w:before="0" w:after="283"/>
              <w:jc w:val="right"/>
              <w:rPr/>
            </w:pPr>
            <w:r>
              <w:rPr/>
              <w:t>232,558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68" w:type="dxa"/>
            <w:tcBorders/>
            <w:shd w:fill="CCEEFF" w:val="clear"/>
            <w:vAlign w:val="center"/>
          </w:tcPr>
          <w:p>
            <w:pPr>
              <w:pStyle w:val="TableContents"/>
              <w:bidi w:val="0"/>
              <w:spacing w:before="0" w:after="283"/>
              <w:jc w:val="right"/>
              <w:rPr/>
            </w:pPr>
            <w:r>
              <w:rPr/>
              <w:t>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93" w:type="dxa"/>
            <w:tcBorders/>
            <w:shd w:fill="CCEEFF" w:val="clear"/>
            <w:vAlign w:val="center"/>
          </w:tcPr>
          <w:p>
            <w:pPr>
              <w:pStyle w:val="TableContents"/>
              <w:bidi w:val="0"/>
              <w:spacing w:before="0" w:after="283"/>
              <w:jc w:val="right"/>
              <w:rPr/>
            </w:pPr>
            <w:r>
              <w:rPr/>
              <w:t>232,643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jc w:val="right"/>
              <w:rPr/>
            </w:pPr>
            <w:r>
              <w:rPr/>
              <w:t>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85" w:type="dxa"/>
            <w:tcBorders/>
            <w:shd w:fill="CCEEFF" w:val="clear"/>
            <w:vAlign w:val="center"/>
          </w:tcPr>
          <w:p>
            <w:pPr>
              <w:pStyle w:val="TableContents"/>
              <w:bidi w:val="0"/>
              <w:spacing w:before="0" w:after="283"/>
              <w:jc w:val="right"/>
              <w:rPr/>
            </w:pPr>
            <w:r>
              <w:rPr/>
              <w:t>232,714</w:t>
            </w:r>
          </w:p>
        </w:tc>
        <w:tc>
          <w:tcPr>
            <w:tcW w:w="137" w:type="dxa"/>
            <w:tcBorders/>
            <w:shd w:fill="CCEEFF" w:val="clear"/>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pPr>
            <w:r>
              <w:rPr/>
              <w:t xml:space="preserve">International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76" w:type="dxa"/>
            <w:tcBorders>
              <w:bottom w:val="single" w:sz="6" w:space="0" w:color="000000"/>
            </w:tcBorders>
            <w:tcMar>
              <w:bottom w:w="28" w:type="dxa"/>
            </w:tcMar>
            <w:vAlign w:val="center"/>
          </w:tcPr>
          <w:p>
            <w:pPr>
              <w:pStyle w:val="TableContents"/>
              <w:bidi w:val="0"/>
              <w:spacing w:before="0" w:after="283"/>
              <w:jc w:val="right"/>
              <w:rPr/>
            </w:pPr>
            <w:r>
              <w:rPr/>
              <w:t>3,106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68" w:type="dxa"/>
            <w:tcBorders>
              <w:bottom w:val="single" w:sz="6" w:space="0" w:color="000000"/>
            </w:tcBorders>
            <w:tcMar>
              <w:bottom w:w="28" w:type="dxa"/>
            </w:tcMar>
            <w:vAlign w:val="center"/>
          </w:tcPr>
          <w:p>
            <w:pPr>
              <w:pStyle w:val="TableContents"/>
              <w:bidi w:val="0"/>
              <w:spacing w:before="0" w:after="283"/>
              <w:jc w:val="right"/>
              <w:rPr/>
            </w:pPr>
            <w:r>
              <w:rPr/>
              <w:t>965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3" w:type="dxa"/>
            <w:tcBorders>
              <w:bottom w:val="single" w:sz="6" w:space="0" w:color="000000"/>
            </w:tcBorders>
            <w:tcMar>
              <w:bottom w:w="28" w:type="dxa"/>
            </w:tcMar>
            <w:vAlign w:val="center"/>
          </w:tcPr>
          <w:p>
            <w:pPr>
              <w:pStyle w:val="TableContents"/>
              <w:bidi w:val="0"/>
              <w:spacing w:before="0" w:after="283"/>
              <w:jc w:val="right"/>
              <w:rPr/>
            </w:pPr>
            <w:r>
              <w:rPr/>
              <w:t>4,072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71" w:type="dxa"/>
            <w:tcBorders>
              <w:bottom w:val="single" w:sz="6" w:space="0" w:color="000000"/>
            </w:tcBorders>
            <w:tcMar>
              <w:bottom w:w="28" w:type="dxa"/>
            </w:tcMar>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before="0" w:after="283"/>
              <w:jc w:val="right"/>
              <w:rPr/>
            </w:pPr>
            <w:r>
              <w:rPr/>
              <w:t>4,072</w:t>
            </w:r>
          </w:p>
        </w:tc>
        <w:tc>
          <w:tcPr>
            <w:tcW w:w="137" w:type="dxa"/>
            <w:tcBorders/>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jc w:val="left"/>
              <w:rPr/>
            </w:pPr>
            <w:r>
              <w:rPr/>
              <w:t xml:space="preserve">Total revenues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976" w:type="dxa"/>
            <w:tcBorders>
              <w:bottom w:val="single" w:sz="6" w:space="0" w:color="000000"/>
            </w:tcBorders>
            <w:shd w:fill="CCEEFF" w:val="clear"/>
            <w:tcMar>
              <w:bottom w:w="28" w:type="dxa"/>
            </w:tcMar>
            <w:vAlign w:val="center"/>
          </w:tcPr>
          <w:p>
            <w:pPr>
              <w:pStyle w:val="TableContents"/>
              <w:bidi w:val="0"/>
              <w:spacing w:before="0" w:after="283"/>
              <w:jc w:val="right"/>
              <w:rPr/>
            </w:pPr>
            <w:r>
              <w:rPr/>
              <w:t>235,664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368" w:type="dxa"/>
            <w:tcBorders>
              <w:bottom w:val="single" w:sz="6" w:space="0" w:color="000000"/>
            </w:tcBorders>
            <w:shd w:fill="CCEEFF" w:val="clear"/>
            <w:tcMar>
              <w:bottom w:w="28" w:type="dxa"/>
            </w:tcMar>
            <w:vAlign w:val="center"/>
          </w:tcPr>
          <w:p>
            <w:pPr>
              <w:pStyle w:val="TableContents"/>
              <w:bidi w:val="0"/>
              <w:spacing w:before="0" w:after="283"/>
              <w:jc w:val="right"/>
              <w:rPr/>
            </w:pPr>
            <w:r>
              <w:rPr/>
              <w:t>1,050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293" w:type="dxa"/>
            <w:tcBorders>
              <w:bottom w:val="single" w:sz="6" w:space="0" w:color="000000"/>
            </w:tcBorders>
            <w:shd w:fill="CCEEFF" w:val="clear"/>
            <w:tcMar>
              <w:bottom w:w="28" w:type="dxa"/>
            </w:tcMar>
            <w:vAlign w:val="center"/>
          </w:tcPr>
          <w:p>
            <w:pPr>
              <w:pStyle w:val="TableContents"/>
              <w:bidi w:val="0"/>
              <w:spacing w:before="0" w:after="283"/>
              <w:jc w:val="right"/>
              <w:rPr/>
            </w:pPr>
            <w:r>
              <w:rPr/>
              <w:t>236,715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971" w:type="dxa"/>
            <w:tcBorders>
              <w:bottom w:val="single" w:sz="6" w:space="0" w:color="000000"/>
            </w:tcBorders>
            <w:shd w:fill="CCEEFF" w:val="clear"/>
            <w:tcMar>
              <w:bottom w:w="28" w:type="dxa"/>
            </w:tcMar>
            <w:vAlign w:val="center"/>
          </w:tcPr>
          <w:p>
            <w:pPr>
              <w:pStyle w:val="TableContents"/>
              <w:bidi w:val="0"/>
              <w:spacing w:before="0" w:after="283"/>
              <w:jc w:val="right"/>
              <w:rPr/>
            </w:pPr>
            <w:r>
              <w:rPr/>
              <w:t>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385" w:type="dxa"/>
            <w:tcBorders>
              <w:bottom w:val="single" w:sz="6" w:space="0" w:color="000000"/>
            </w:tcBorders>
            <w:shd w:fill="CCEEFF" w:val="clear"/>
            <w:tcMar>
              <w:bottom w:w="28" w:type="dxa"/>
            </w:tcMar>
            <w:vAlign w:val="center"/>
          </w:tcPr>
          <w:p>
            <w:pPr>
              <w:pStyle w:val="TableContents"/>
              <w:bidi w:val="0"/>
              <w:spacing w:before="0" w:after="283"/>
              <w:jc w:val="right"/>
              <w:rPr/>
            </w:pPr>
            <w:r>
              <w:rPr/>
              <w:t>236,786</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Net revenues, disaggregated by product, are as follows: </w:t>
      </w:r>
    </w:p>
    <w:p>
      <w:pPr>
        <w:pStyle w:val="TextBody"/>
        <w:bidi w:val="0"/>
        <w:spacing w:before="0" w:after="0"/>
        <w:jc w:val="left"/>
        <w:rPr/>
      </w:pPr>
      <w:r>
        <w:rPr/>
        <w:t xml:space="preserve">  </w:t>
      </w:r>
    </w:p>
    <w:tbl>
      <w:tblPr>
        <w:tblW w:w="9424" w:type="dxa"/>
        <w:jc w:val="left"/>
        <w:tblInd w:w="0" w:type="dxa"/>
        <w:tblLayout w:type="fixed"/>
        <w:tblCellMar>
          <w:top w:w="0" w:type="dxa"/>
          <w:left w:w="0" w:type="dxa"/>
          <w:bottom w:w="0" w:type="dxa"/>
          <w:right w:w="0" w:type="dxa"/>
        </w:tblCellMar>
      </w:tblPr>
      <w:tblGrid>
        <w:gridCol w:w="2675"/>
        <w:gridCol w:w="90"/>
        <w:gridCol w:w="170"/>
        <w:gridCol w:w="1156"/>
        <w:gridCol w:w="125"/>
        <w:gridCol w:w="125"/>
        <w:gridCol w:w="236"/>
        <w:gridCol w:w="1511"/>
        <w:gridCol w:w="90"/>
        <w:gridCol w:w="90"/>
        <w:gridCol w:w="170"/>
        <w:gridCol w:w="1178"/>
        <w:gridCol w:w="127"/>
        <w:gridCol w:w="127"/>
        <w:gridCol w:w="241"/>
        <w:gridCol w:w="1178"/>
        <w:gridCol w:w="135"/>
      </w:tblGrid>
      <w:tr>
        <w:trPr/>
        <w:tc>
          <w:tcPr>
            <w:tcW w:w="26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3153" w:type="dxa"/>
            <w:gridSpan w:val="5"/>
            <w:tcBorders>
              <w:bottom w:val="single" w:sz="6" w:space="0" w:color="000000"/>
            </w:tcBorders>
            <w:tcMar>
              <w:bottom w:w="28" w:type="dxa"/>
            </w:tcMar>
            <w:vAlign w:val="center"/>
          </w:tcPr>
          <w:p>
            <w:pPr>
              <w:pStyle w:val="TableContents"/>
              <w:bidi w:val="0"/>
              <w:spacing w:before="0" w:after="283"/>
              <w:jc w:val="center"/>
              <w:rPr>
                <w:b/>
                <w:spacing w:val="0"/>
              </w:rPr>
            </w:pPr>
            <w:r>
              <w:rPr>
                <w:b/>
                <w:spacing w:val="0"/>
              </w:rPr>
              <w:t>Three Months Ended 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2851" w:type="dxa"/>
            <w:gridSpan w:val="5"/>
            <w:tcBorders>
              <w:bottom w:val="single" w:sz="6" w:space="0" w:color="000000"/>
            </w:tcBorders>
            <w:tcMar>
              <w:bottom w:w="28" w:type="dxa"/>
            </w:tcMar>
            <w:vAlign w:val="center"/>
          </w:tcPr>
          <w:p>
            <w:pPr>
              <w:pStyle w:val="TableContents"/>
              <w:bidi w:val="0"/>
              <w:spacing w:before="0" w:after="283"/>
              <w:jc w:val="center"/>
              <w:rPr>
                <w:b/>
                <w:spacing w:val="0"/>
              </w:rPr>
            </w:pPr>
            <w:r>
              <w:rPr>
                <w:b/>
                <w:spacing w:val="0"/>
              </w:rPr>
              <w:t>Six Months Ended June 30,</w:t>
            </w:r>
          </w:p>
        </w:tc>
        <w:tc>
          <w:tcPr>
            <w:tcW w:w="13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56" w:type="dxa"/>
            <w:tcBorders>
              <w:bottom w:val="single" w:sz="6" w:space="0" w:color="000000"/>
            </w:tcBorders>
            <w:tcMar>
              <w:bottom w:w="28" w:type="dxa"/>
            </w:tcMar>
            <w:vAlign w:val="center"/>
          </w:tcPr>
          <w:p>
            <w:pPr>
              <w:pStyle w:val="TableContents"/>
              <w:bidi w:val="0"/>
              <w:spacing w:before="0" w:after="0"/>
              <w:jc w:val="center"/>
              <w:rPr/>
            </w:pPr>
            <w:r>
              <w:rPr>
                <w:b/>
              </w:rPr>
              <w:t>2026</w:t>
            </w:r>
            <w:r>
              <w:rPr/>
              <w:t xml:space="preserve"> </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6" w:type="dxa"/>
            <w:tcBorders>
              <w:bottom w:val="single" w:sz="6" w:space="0" w:color="000000"/>
            </w:tcBorders>
            <w:tcMar>
              <w:bottom w:w="28" w:type="dxa"/>
            </w:tcMar>
            <w:vAlign w:val="center"/>
          </w:tcPr>
          <w:p>
            <w:pPr>
              <w:pStyle w:val="TableContents"/>
              <w:bidi w:val="0"/>
              <w:spacing w:before="0" w:after="283"/>
              <w:jc w:val="left"/>
              <w:rPr/>
            </w:pPr>
            <w:r>
              <w:rPr/>
              <w:t> </w:t>
            </w:r>
          </w:p>
        </w:tc>
        <w:tc>
          <w:tcPr>
            <w:tcW w:w="1511" w:type="dxa"/>
            <w:tcBorders>
              <w:bottom w:val="single" w:sz="6" w:space="0" w:color="000000"/>
            </w:tcBorders>
            <w:tcMar>
              <w:bottom w:w="28" w:type="dxa"/>
            </w:tcMar>
            <w:vAlign w:val="center"/>
          </w:tcPr>
          <w:p>
            <w:pPr>
              <w:pStyle w:val="TableContents"/>
              <w:bidi w:val="0"/>
              <w:spacing w:before="0" w:after="0"/>
              <w:jc w:val="center"/>
              <w:rPr/>
            </w:pPr>
            <w:r>
              <w:rPr>
                <w:b/>
              </w:rPr>
              <w:t>2025</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8" w:type="dxa"/>
            <w:tcBorders>
              <w:bottom w:val="single" w:sz="6" w:space="0" w:color="000000"/>
            </w:tcBorders>
            <w:tcMar>
              <w:bottom w:w="28" w:type="dxa"/>
            </w:tcMar>
            <w:vAlign w:val="center"/>
          </w:tcPr>
          <w:p>
            <w:pPr>
              <w:pStyle w:val="TableContents"/>
              <w:bidi w:val="0"/>
              <w:spacing w:before="0" w:after="0"/>
              <w:jc w:val="center"/>
              <w:rPr/>
            </w:pPr>
            <w:r>
              <w:rPr>
                <w:b/>
              </w:rPr>
              <w:t>2026</w:t>
            </w:r>
            <w:r>
              <w:rPr/>
              <w:t xml:space="preserve">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1" w:type="dxa"/>
            <w:tcBorders>
              <w:bottom w:val="single" w:sz="6" w:space="0" w:color="000000"/>
            </w:tcBorders>
            <w:tcMar>
              <w:bottom w:w="28" w:type="dxa"/>
            </w:tcMar>
            <w:vAlign w:val="center"/>
          </w:tcPr>
          <w:p>
            <w:pPr>
              <w:pStyle w:val="TableContents"/>
              <w:bidi w:val="0"/>
              <w:spacing w:before="0" w:after="283"/>
              <w:jc w:val="left"/>
              <w:rPr/>
            </w:pPr>
            <w:r>
              <w:rPr/>
              <w:t> </w:t>
            </w:r>
          </w:p>
        </w:tc>
        <w:tc>
          <w:tcPr>
            <w:tcW w:w="1178" w:type="dxa"/>
            <w:tcBorders>
              <w:bottom w:val="single" w:sz="6" w:space="0" w:color="000000"/>
            </w:tcBorders>
            <w:tcMar>
              <w:bottom w:w="28" w:type="dxa"/>
            </w:tcMar>
            <w:vAlign w:val="center"/>
          </w:tcPr>
          <w:p>
            <w:pPr>
              <w:pStyle w:val="TableContents"/>
              <w:bidi w:val="0"/>
              <w:spacing w:before="0" w:after="0"/>
              <w:jc w:val="center"/>
              <w:rPr/>
            </w:pPr>
            <w:r>
              <w:rPr>
                <w:b/>
              </w:rPr>
              <w:t>2025</w:t>
            </w:r>
            <w:r>
              <w:rPr/>
              <w:t xml:space="preserve"> </w:t>
            </w:r>
          </w:p>
        </w:tc>
        <w:tc>
          <w:tcPr>
            <w:tcW w:w="13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pPr>
            <w:r>
              <w:rPr>
                <w:i/>
              </w:rPr>
              <w:t>(in thousands)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pPr>
            <w:r>
              <w:rPr/>
              <w:t xml:space="preserve">ASCENIV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102,921</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511" w:type="dxa"/>
            <w:tcBorders/>
            <w:shd w:fill="CCEEFF" w:val="clear"/>
            <w:vAlign w:val="center"/>
          </w:tcPr>
          <w:p>
            <w:pPr>
              <w:pStyle w:val="TableContents"/>
              <w:bidi w:val="0"/>
              <w:spacing w:before="0" w:after="283"/>
              <w:jc w:val="right"/>
              <w:rPr/>
            </w:pPr>
            <w:r>
              <w:rPr/>
              <w:t>83,321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200,407</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159,653</w:t>
            </w:r>
          </w:p>
        </w:tc>
        <w:tc>
          <w:tcPr>
            <w:tcW w:w="135"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pPr>
            <w:r>
              <w:rPr/>
              <w:t xml:space="preserve">BIVIGAM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19,419</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right"/>
              <w:rPr/>
            </w:pPr>
            <w:r>
              <w:rPr/>
              <w:t>37,710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34,841</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71,222</w:t>
            </w:r>
          </w:p>
        </w:tc>
        <w:tc>
          <w:tcPr>
            <w:tcW w:w="13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pPr>
            <w:r>
              <w:rPr/>
              <w:t>Intermediates and other(1)</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6" w:space="0" w:color="000000"/>
            </w:tcBorders>
            <w:shd w:fill="CCEEFF" w:val="clear"/>
            <w:tcMar>
              <w:bottom w:w="28" w:type="dxa"/>
            </w:tcMar>
            <w:vAlign w:val="center"/>
          </w:tcPr>
          <w:p>
            <w:pPr>
              <w:pStyle w:val="TableContents"/>
              <w:bidi w:val="0"/>
              <w:spacing w:before="0" w:after="283"/>
              <w:jc w:val="right"/>
              <w:rPr/>
            </w:pPr>
            <w:r>
              <w:rPr/>
              <w:t>1,297</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6"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511" w:type="dxa"/>
            <w:tcBorders>
              <w:bottom w:val="single" w:sz="6" w:space="0" w:color="000000"/>
            </w:tcBorders>
            <w:shd w:fill="CCEEFF" w:val="clear"/>
            <w:tcMar>
              <w:bottom w:w="28" w:type="dxa"/>
            </w:tcMar>
            <w:vAlign w:val="center"/>
          </w:tcPr>
          <w:p>
            <w:pPr>
              <w:pStyle w:val="TableContents"/>
              <w:bidi w:val="0"/>
              <w:spacing w:before="0" w:after="283"/>
              <w:jc w:val="right"/>
              <w:rPr/>
            </w:pPr>
            <w:r>
              <w:rPr/>
              <w:t>917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6" w:space="0" w:color="000000"/>
            </w:tcBorders>
            <w:shd w:fill="CCEEFF" w:val="clear"/>
            <w:tcMar>
              <w:bottom w:w="28" w:type="dxa"/>
            </w:tcMar>
            <w:vAlign w:val="center"/>
          </w:tcPr>
          <w:p>
            <w:pPr>
              <w:pStyle w:val="TableContents"/>
              <w:bidi w:val="0"/>
              <w:spacing w:before="0" w:after="283"/>
              <w:jc w:val="right"/>
              <w:rPr/>
            </w:pPr>
            <w:r>
              <w:rPr/>
              <w:t>2,130</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1"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6" w:space="0" w:color="000000"/>
            </w:tcBorders>
            <w:shd w:fill="CCEEFF" w:val="clear"/>
            <w:tcMar>
              <w:bottom w:w="28" w:type="dxa"/>
            </w:tcMar>
            <w:vAlign w:val="center"/>
          </w:tcPr>
          <w:p>
            <w:pPr>
              <w:pStyle w:val="TableContents"/>
              <w:bidi w:val="0"/>
              <w:spacing w:before="0" w:after="283"/>
              <w:jc w:val="right"/>
              <w:rPr/>
            </w:pPr>
            <w:r>
              <w:rPr/>
              <w:t>4,790</w:t>
            </w:r>
          </w:p>
        </w:tc>
        <w:tc>
          <w:tcPr>
            <w:tcW w:w="135"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pPr>
            <w:r>
              <w:rPr/>
              <w:t xml:space="preserve">ADMA BioManufacturing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123,637</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right"/>
              <w:rPr/>
            </w:pPr>
            <w:r>
              <w:rPr/>
              <w:t>121,948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237,378</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235,665</w:t>
            </w:r>
          </w:p>
        </w:tc>
        <w:tc>
          <w:tcPr>
            <w:tcW w:w="13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51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pPr>
            <w:r>
              <w:rPr/>
              <w:t xml:space="preserve">Plasma Collection Centers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723</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right"/>
              <w:rPr/>
            </w:pPr>
            <w:r>
              <w:rPr/>
              <w:t>             </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1,439</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1,050</w:t>
            </w:r>
          </w:p>
        </w:tc>
        <w:tc>
          <w:tcPr>
            <w:tcW w:w="13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pPr>
            <w:r>
              <w:rPr/>
              <w:t xml:space="preserve">License revenue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6" w:space="0" w:color="000000"/>
            </w:tcBorders>
            <w:shd w:fill="CCEEFF" w:val="clear"/>
            <w:tcMar>
              <w:bottom w:w="28" w:type="dxa"/>
            </w:tcMar>
            <w:vAlign w:val="center"/>
          </w:tcPr>
          <w:p>
            <w:pPr>
              <w:pStyle w:val="TableContents"/>
              <w:bidi w:val="0"/>
              <w:spacing w:before="0" w:after="283"/>
              <w:jc w:val="right"/>
              <w:rPr/>
            </w:pPr>
            <w:r>
              <w:rPr/>
              <w:t>35</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6"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511" w:type="dxa"/>
            <w:tcBorders>
              <w:bottom w:val="single" w:sz="6" w:space="0" w:color="000000"/>
            </w:tcBorders>
            <w:shd w:fill="CCEEFF" w:val="clear"/>
            <w:tcMar>
              <w:bottom w:w="28" w:type="dxa"/>
            </w:tcMar>
            <w:vAlign w:val="center"/>
          </w:tcPr>
          <w:p>
            <w:pPr>
              <w:pStyle w:val="TableContents"/>
              <w:bidi w:val="0"/>
              <w:spacing w:before="0" w:after="283"/>
              <w:jc w:val="right"/>
              <w:rPr/>
            </w:pPr>
            <w:r>
              <w:rPr/>
              <w:t>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6" w:space="0" w:color="000000"/>
            </w:tcBorders>
            <w:shd w:fill="CCEEFF" w:val="clear"/>
            <w:tcMar>
              <w:bottom w:w="28" w:type="dxa"/>
            </w:tcMar>
            <w:vAlign w:val="center"/>
          </w:tcPr>
          <w:p>
            <w:pPr>
              <w:pStyle w:val="TableContents"/>
              <w:bidi w:val="0"/>
              <w:spacing w:before="0" w:after="283"/>
              <w:jc w:val="right"/>
              <w:rPr/>
            </w:pPr>
            <w:r>
              <w:rPr/>
              <w:t>71</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1"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6" w:space="0" w:color="000000"/>
            </w:tcBorders>
            <w:shd w:fill="CCEEFF" w:val="clear"/>
            <w:tcMar>
              <w:bottom w:w="28" w:type="dxa"/>
            </w:tcMar>
            <w:vAlign w:val="center"/>
          </w:tcPr>
          <w:p>
            <w:pPr>
              <w:pStyle w:val="TableContents"/>
              <w:bidi w:val="0"/>
              <w:spacing w:before="0" w:after="283"/>
              <w:jc w:val="right"/>
              <w:rPr/>
            </w:pPr>
            <w:r>
              <w:rPr/>
              <w:t>71</w:t>
            </w:r>
          </w:p>
        </w:tc>
        <w:tc>
          <w:tcPr>
            <w:tcW w:w="135"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pPr>
            <w:r>
              <w:rPr>
                <w:b/>
              </w:rPr>
              <w:t>Total</w:t>
            </w:r>
            <w:r>
              <w:rPr/>
              <w:t xml:space="preserve"> </w:t>
            </w:r>
          </w:p>
        </w:tc>
        <w:tc>
          <w:tcPr>
            <w:tcW w:w="90"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56" w:type="dxa"/>
            <w:tcBorders>
              <w:bottom w:val="double" w:sz="8" w:space="0" w:color="000000"/>
            </w:tcBorders>
            <w:tcMar>
              <w:bottom w:w="28" w:type="dxa"/>
            </w:tcMar>
            <w:vAlign w:val="center"/>
          </w:tcPr>
          <w:p>
            <w:pPr>
              <w:pStyle w:val="TableContents"/>
              <w:bidi w:val="0"/>
              <w:spacing w:before="0" w:after="283"/>
              <w:jc w:val="right"/>
              <w:rPr>
                <w:b/>
              </w:rPr>
            </w:pPr>
            <w:r>
              <w:rPr>
                <w:b/>
              </w:rPr>
              <w:t>124,395</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6"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511" w:type="dxa"/>
            <w:tcBorders>
              <w:bottom w:val="double" w:sz="8" w:space="0" w:color="000000"/>
            </w:tcBorders>
            <w:tcMar>
              <w:bottom w:w="28" w:type="dxa"/>
            </w:tcMar>
            <w:vAlign w:val="center"/>
          </w:tcPr>
          <w:p>
            <w:pPr>
              <w:pStyle w:val="TableContents"/>
              <w:bidi w:val="0"/>
              <w:spacing w:before="0" w:after="283"/>
              <w:jc w:val="right"/>
              <w:rPr>
                <w:b/>
              </w:rPr>
            </w:pPr>
            <w:r>
              <w:rPr>
                <w:b/>
              </w:rPr>
              <w:t>121,984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78" w:type="dxa"/>
            <w:tcBorders>
              <w:bottom w:val="double" w:sz="8" w:space="0" w:color="000000"/>
            </w:tcBorders>
            <w:tcMar>
              <w:bottom w:w="28" w:type="dxa"/>
            </w:tcMar>
            <w:vAlign w:val="center"/>
          </w:tcPr>
          <w:p>
            <w:pPr>
              <w:pStyle w:val="TableContents"/>
              <w:bidi w:val="0"/>
              <w:spacing w:before="0" w:after="283"/>
              <w:jc w:val="right"/>
              <w:rPr>
                <w:b/>
              </w:rPr>
            </w:pPr>
            <w:r>
              <w:rPr>
                <w:b/>
              </w:rPr>
              <w:t>238,888</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1"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78" w:type="dxa"/>
            <w:tcBorders>
              <w:bottom w:val="double" w:sz="8" w:space="0" w:color="000000"/>
            </w:tcBorders>
            <w:tcMar>
              <w:bottom w:w="28" w:type="dxa"/>
            </w:tcMar>
            <w:vAlign w:val="center"/>
          </w:tcPr>
          <w:p>
            <w:pPr>
              <w:pStyle w:val="TableContents"/>
              <w:bidi w:val="0"/>
              <w:spacing w:before="0" w:after="283"/>
              <w:jc w:val="right"/>
              <w:rPr>
                <w:b/>
              </w:rPr>
            </w:pPr>
            <w:r>
              <w:rPr>
                <w:b/>
              </w:rPr>
              <w:t>236,786</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position w:val="7"/>
          <w:sz w:val="16"/>
          <w:sz w:val="20"/>
        </w:rPr>
        <w:t>(1)</w:t>
      </w:r>
      <w:r>
        <w:rPr>
          <w:rFonts w:ascii="Times New Roman" w:hAnsi="Times New Roman"/>
          <w:sz w:val="20"/>
        </w:rPr>
        <w:t xml:space="preserve"> Due to Nabi-HB historically representing less than 10% of the Company’s revenue within the ADMA BioManufacturing segment, it has been included under intermediates and other. </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ADMA BIOLOGICS, INC.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NOTES TO CONDENSED CONSOLIDATED FINANCIAL STATEMENTS (UNAUDITED)</w:t>
      </w:r>
    </w:p>
    <w:p>
      <w:pPr>
        <w:pStyle w:val="TextBody"/>
        <w:bidi w:val="0"/>
        <w:spacing w:before="0" w:after="0"/>
        <w:jc w:val="left"/>
        <w:rPr/>
      </w:pPr>
      <w:r>
        <w:rPr/>
        <w:t>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LEASE OBLIGATIONS</w:t>
      </w:r>
      <w:r>
        <w:rPr>
          <w:rFonts w:ascii="Times New Roman" w:hAnsi="Times New Roman"/>
          <w:sz w:val="20"/>
        </w:rPr>
        <w:t xml:space="preserve"> </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342900" cy="175260"/>
                <wp:effectExtent l="0" t="0" r="0" b="0"/>
                <wp:wrapSquare wrapText="right"/>
                <wp:docPr id="52" name="Frame5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rPr>
                              <w:t>12.</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12.</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firstLine="720"/>
        <w:jc w:val="both"/>
        <w:rPr>
          <w:rFonts w:ascii="Times New Roman" w:hAnsi="Times New Roman"/>
          <w:sz w:val="22"/>
        </w:rPr>
      </w:pPr>
      <w:r>
        <w:rPr>
          <w:rFonts w:ascii="Times New Roman" w:hAnsi="Times New Roman"/>
          <w:sz w:val="20"/>
        </w:rPr>
        <w:t>Aggregate lease expense for the Company’s leases for the three months ended June 30, 2026</w:t>
      </w:r>
      <w:r>
        <w:rPr>
          <w:rFonts w:ascii="Times New Roman" w:hAnsi="Times New Roman"/>
          <w:sz w:val="22"/>
        </w:rPr>
        <w:t xml:space="preserve"> </w:t>
      </w:r>
      <w:r>
        <w:rPr>
          <w:rFonts w:ascii="Times New Roman" w:hAnsi="Times New Roman"/>
          <w:sz w:val="20"/>
        </w:rPr>
        <w:t>and 2025 was approximately $0.5 million and $0.6 million, respectively, and aggregate lease expense for the six months ended June 30, 2026 and 2025 was approximately $1.0 million and $1.2 million, respectively.</w:t>
      </w:r>
      <w:r>
        <w:rPr>
          <w:rFonts w:ascii="Times New Roman" w:hAnsi="Times New Roman"/>
          <w:sz w:val="22"/>
        </w:rPr>
        <w:t xml:space="preserve"> </w:t>
      </w:r>
      <w:r>
        <w:rPr>
          <w:rFonts w:ascii="Times New Roman" w:hAnsi="Times New Roman"/>
          <w:sz w:val="20"/>
        </w:rPr>
        <w:t>Cash paid for the Company’s leases for the three months ended June 30, 2026</w:t>
      </w:r>
      <w:r>
        <w:rPr>
          <w:rFonts w:ascii="Times New Roman" w:hAnsi="Times New Roman"/>
          <w:sz w:val="22"/>
        </w:rPr>
        <w:t xml:space="preserve"> </w:t>
      </w:r>
      <w:r>
        <w:rPr>
          <w:rFonts w:ascii="Times New Roman" w:hAnsi="Times New Roman"/>
          <w:sz w:val="20"/>
        </w:rPr>
        <w:t>and 2025</w:t>
      </w:r>
      <w:r>
        <w:rPr>
          <w:rFonts w:ascii="Times New Roman" w:hAnsi="Times New Roman"/>
          <w:sz w:val="22"/>
        </w:rPr>
        <w:t xml:space="preserve"> </w:t>
      </w:r>
      <w:r>
        <w:rPr>
          <w:rFonts w:ascii="Times New Roman" w:hAnsi="Times New Roman"/>
          <w:sz w:val="20"/>
        </w:rPr>
        <w:t>was also approximately $0.5 million</w:t>
      </w:r>
      <w:r>
        <w:rPr>
          <w:rFonts w:ascii="Times New Roman" w:hAnsi="Times New Roman"/>
          <w:sz w:val="22"/>
        </w:rPr>
        <w:t xml:space="preserve"> </w:t>
      </w:r>
      <w:r>
        <w:rPr>
          <w:rFonts w:ascii="Times New Roman" w:hAnsi="Times New Roman"/>
          <w:sz w:val="20"/>
        </w:rPr>
        <w:t>and $0.6 million, respectively, and cash paid for the six months ended June 30, 2026 and 2025 was approximately $1.0 million and $1.2 million, respectively.</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2"/>
        </w:rPr>
      </w:pPr>
      <w:r>
        <w:rPr>
          <w:rFonts w:ascii="Times New Roman" w:hAnsi="Times New Roman"/>
          <w:sz w:val="20"/>
        </w:rPr>
        <w:t>The Company has aggregate lease liabilities of $7.3 million and $7.7 million as of June 30,</w:t>
      </w:r>
      <w:r>
        <w:rPr>
          <w:rFonts w:ascii="Times New Roman" w:hAnsi="Times New Roman"/>
          <w:sz w:val="22"/>
        </w:rPr>
        <w:t xml:space="preserve"> </w:t>
      </w:r>
      <w:r>
        <w:rPr>
          <w:rFonts w:ascii="Times New Roman" w:hAnsi="Times New Roman"/>
          <w:sz w:val="20"/>
        </w:rPr>
        <w:t>2026 and December 31, 2025, respectively, which are comprised primarily of the leases for the Company’s plasma collection centers. As of June</w:t>
      </w:r>
      <w:r>
        <w:rPr>
          <w:rFonts w:ascii="Times New Roman" w:hAnsi="Times New Roman"/>
          <w:sz w:val="22"/>
        </w:rPr>
        <w:t xml:space="preserve"> </w:t>
      </w:r>
      <w:r>
        <w:rPr>
          <w:rFonts w:ascii="Times New Roman" w:hAnsi="Times New Roman"/>
          <w:sz w:val="20"/>
        </w:rPr>
        <w:t>30, 2026, the Company’s operating leases have a weighted-average remaining term of 5.2 years. Scheduled payments under the Company’s lease obligations are as follows (</w:t>
      </w:r>
      <w:r>
        <w:rPr>
          <w:rFonts w:ascii="Times New Roman" w:hAnsi="Times New Roman"/>
          <w:i/>
          <w:sz w:val="20"/>
        </w:rPr>
        <w:t>in thousands</w:t>
      </w:r>
      <w:r>
        <w:rPr>
          <w:rFonts w:ascii="Times New Roman" w:hAnsi="Times New Roman"/>
          <w:sz w:val="20"/>
        </w:rPr>
        <w:t>):</w:t>
      </w:r>
    </w:p>
    <w:p>
      <w:pPr>
        <w:pStyle w:val="TextBody"/>
        <w:bidi w:val="0"/>
        <w:spacing w:before="0" w:after="0"/>
        <w:ind w:left="0" w:right="0" w:firstLine="720"/>
        <w:jc w:val="both"/>
        <w:rPr/>
      </w:pPr>
      <w:r>
        <w:rPr/>
        <w:t> </w:t>
      </w:r>
    </w:p>
    <w:tbl>
      <w:tblPr>
        <w:tblW w:w="3665" w:type="dxa"/>
        <w:jc w:val="left"/>
        <w:tblInd w:w="0" w:type="dxa"/>
        <w:tblLayout w:type="fixed"/>
        <w:tblCellMar>
          <w:top w:w="0" w:type="dxa"/>
          <w:left w:w="0" w:type="dxa"/>
          <w:bottom w:w="0" w:type="dxa"/>
          <w:right w:w="0" w:type="dxa"/>
        </w:tblCellMar>
      </w:tblPr>
      <w:tblGrid>
        <w:gridCol w:w="2510"/>
        <w:gridCol w:w="90"/>
        <w:gridCol w:w="170"/>
        <w:gridCol w:w="665"/>
        <w:gridCol w:w="230"/>
      </w:tblGrid>
      <w:tr>
        <w:trPr/>
        <w:tc>
          <w:tcPr>
            <w:tcW w:w="25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 xml:space="preserve">2026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1,032</w:t>
            </w:r>
          </w:p>
        </w:tc>
        <w:tc>
          <w:tcPr>
            <w:tcW w:w="23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xml:space="preserve">2027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1,947</w:t>
            </w:r>
          </w:p>
        </w:tc>
        <w:tc>
          <w:tcPr>
            <w:tcW w:w="23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 xml:space="preserve">2028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1,972</w:t>
            </w:r>
          </w:p>
        </w:tc>
        <w:tc>
          <w:tcPr>
            <w:tcW w:w="23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xml:space="preserve">2029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1,896</w:t>
            </w:r>
          </w:p>
        </w:tc>
        <w:tc>
          <w:tcPr>
            <w:tcW w:w="23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 xml:space="preserve">2030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1,561</w:t>
            </w:r>
          </w:p>
        </w:tc>
        <w:tc>
          <w:tcPr>
            <w:tcW w:w="23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xml:space="preserve">2031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1,008</w:t>
            </w:r>
          </w:p>
        </w:tc>
        <w:tc>
          <w:tcPr>
            <w:tcW w:w="23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 xml:space="preserve">Thereafter </w:t>
            </w:r>
          </w:p>
        </w:tc>
        <w:tc>
          <w:tcPr>
            <w:tcW w:w="90" w:type="dxa"/>
            <w:tcBorders/>
            <w:shd w:fill="CCEEFF" w:val="clear"/>
            <w:vAlign w:val="center"/>
          </w:tcPr>
          <w:p>
            <w:pPr>
              <w:pStyle w:val="TableContents"/>
              <w:bidi w:val="0"/>
              <w:spacing w:before="0" w:after="283"/>
              <w:jc w:val="center"/>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6" w:space="0" w:color="000000"/>
            </w:tcBorders>
            <w:shd w:fill="CCEEFF" w:val="clear"/>
            <w:tcMar>
              <w:bottom w:w="28" w:type="dxa"/>
            </w:tcMar>
            <w:vAlign w:val="center"/>
          </w:tcPr>
          <w:p>
            <w:pPr>
              <w:pStyle w:val="TableContents"/>
              <w:bidi w:val="0"/>
              <w:spacing w:before="0" w:after="283"/>
              <w:jc w:val="right"/>
              <w:rPr/>
            </w:pPr>
            <w:r>
              <w:rPr/>
              <w:t>445</w:t>
            </w:r>
          </w:p>
        </w:tc>
        <w:tc>
          <w:tcPr>
            <w:tcW w:w="23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xml:space="preserve">Total payments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9,861</w:t>
            </w:r>
          </w:p>
        </w:tc>
        <w:tc>
          <w:tcPr>
            <w:tcW w:w="23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 xml:space="preserve">Less: imputed interest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(2,611</w:t>
            </w:r>
          </w:p>
        </w:tc>
        <w:tc>
          <w:tcPr>
            <w:tcW w:w="23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xml:space="preserve">Current portion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 w:type="dxa"/>
            <w:tcBorders>
              <w:bottom w:val="single" w:sz="6" w:space="0" w:color="000000"/>
            </w:tcBorders>
            <w:tcMar>
              <w:bottom w:w="28" w:type="dxa"/>
            </w:tcMar>
            <w:vAlign w:val="center"/>
          </w:tcPr>
          <w:p>
            <w:pPr>
              <w:pStyle w:val="TableContents"/>
              <w:bidi w:val="0"/>
              <w:spacing w:before="0" w:after="283"/>
              <w:jc w:val="right"/>
              <w:rPr/>
            </w:pPr>
            <w:r>
              <w:rPr/>
              <w:t>(1,178</w:t>
            </w:r>
          </w:p>
        </w:tc>
        <w:tc>
          <w:tcPr>
            <w:tcW w:w="23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 xml:space="preserve">Balance at June 30, 2026 </w:t>
            </w:r>
          </w:p>
        </w:tc>
        <w:tc>
          <w:tcPr>
            <w:tcW w:w="90" w:type="dxa"/>
            <w:tcBorders/>
            <w:shd w:fill="CCEEFF" w:val="clear"/>
            <w:vAlign w:val="center"/>
          </w:tcPr>
          <w:p>
            <w:pPr>
              <w:pStyle w:val="TableContents"/>
              <w:bidi w:val="0"/>
              <w:spacing w:before="0" w:after="283"/>
              <w:jc w:val="center"/>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8" w:space="0" w:color="000000"/>
            </w:tcBorders>
            <w:shd w:fill="CCEEFF" w:val="clear"/>
            <w:tcMar>
              <w:bottom w:w="28" w:type="dxa"/>
            </w:tcMar>
            <w:vAlign w:val="center"/>
          </w:tcPr>
          <w:p>
            <w:pPr>
              <w:pStyle w:val="TableContents"/>
              <w:bidi w:val="0"/>
              <w:spacing w:before="0" w:after="283"/>
              <w:jc w:val="right"/>
              <w:rPr/>
            </w:pPr>
            <w:r>
              <w:rPr/>
              <w:t>6,072</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INCOME TAXES</w:t>
      </w:r>
      <w:r>
        <w:rPr>
          <w:rFonts w:ascii="Times New Roman" w:hAnsi="Times New Roman"/>
          <w:sz w:val="20"/>
        </w:rPr>
        <w:t xml:space="preserve"> </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342900" cy="175260"/>
                <wp:effectExtent l="0" t="0" r="0" b="0"/>
                <wp:wrapSquare wrapText="right"/>
                <wp:docPr id="53" name="Frame53"/>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rPr>
                              <w:t>13.</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13.</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600"/>
        <w:jc w:val="both"/>
        <w:rPr>
          <w:rFonts w:ascii="Times New Roman" w:hAnsi="Times New Roman"/>
          <w:sz w:val="22"/>
        </w:rPr>
      </w:pPr>
      <w:r>
        <w:rPr>
          <w:rFonts w:ascii="Times New Roman" w:hAnsi="Times New Roman"/>
          <w:sz w:val="20"/>
        </w:rPr>
        <w:t xml:space="preserve">The Company uses the estimated annual effective tax rate approach as prescribed by ASC 740-270, </w:t>
      </w:r>
      <w:r>
        <w:rPr>
          <w:rFonts w:ascii="Times New Roman" w:hAnsi="Times New Roman"/>
          <w:i/>
          <w:sz w:val="20"/>
        </w:rPr>
        <w:t>Interim Reporting</w:t>
      </w:r>
      <w:r>
        <w:rPr>
          <w:rFonts w:ascii="Times New Roman" w:hAnsi="Times New Roman"/>
          <w:sz w:val="20"/>
        </w:rPr>
        <w:t xml:space="preserve">, to calculate its interim provision for income taxes. </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3192"/>
        <w:gridCol w:w="90"/>
        <w:gridCol w:w="170"/>
        <w:gridCol w:w="1212"/>
        <w:gridCol w:w="418"/>
        <w:gridCol w:w="153"/>
        <w:gridCol w:w="289"/>
        <w:gridCol w:w="1007"/>
        <w:gridCol w:w="245"/>
        <w:gridCol w:w="90"/>
        <w:gridCol w:w="170"/>
        <w:gridCol w:w="1061"/>
        <w:gridCol w:w="365"/>
        <w:gridCol w:w="134"/>
        <w:gridCol w:w="253"/>
        <w:gridCol w:w="1061"/>
        <w:gridCol w:w="295"/>
      </w:tblGrid>
      <w:tr>
        <w:trPr/>
        <w:tc>
          <w:tcPr>
            <w:tcW w:w="3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3079" w:type="dxa"/>
            <w:gridSpan w:val="5"/>
            <w:tcBorders>
              <w:bottom w:val="single" w:sz="6" w:space="0" w:color="000000"/>
            </w:tcBorders>
            <w:tcMar>
              <w:bottom w:w="28" w:type="dxa"/>
            </w:tcMar>
            <w:vAlign w:val="center"/>
          </w:tcPr>
          <w:p>
            <w:pPr>
              <w:pStyle w:val="TableContents"/>
              <w:bidi w:val="0"/>
              <w:spacing w:before="0" w:after="0"/>
              <w:jc w:val="center"/>
              <w:rPr/>
            </w:pPr>
            <w:r>
              <w:rPr>
                <w:b/>
              </w:rPr>
              <w:t>Three Months Ended June 30,</w:t>
            </w:r>
            <w:r>
              <w:rPr/>
              <w:t xml:space="preserve">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2874" w:type="dxa"/>
            <w:gridSpan w:val="5"/>
            <w:tcBorders>
              <w:bottom w:val="single" w:sz="6" w:space="0" w:color="000000"/>
            </w:tcBorders>
            <w:tcMar>
              <w:bottom w:w="28" w:type="dxa"/>
            </w:tcMar>
            <w:vAlign w:val="center"/>
          </w:tcPr>
          <w:p>
            <w:pPr>
              <w:pStyle w:val="TableContents"/>
              <w:bidi w:val="0"/>
              <w:spacing w:before="0" w:after="0"/>
              <w:jc w:val="center"/>
              <w:rPr/>
            </w:pPr>
            <w:r>
              <w:rPr/>
              <w:t> </w:t>
            </w:r>
            <w:r>
              <w:rPr>
                <w:b/>
                <w:spacing w:val="0"/>
              </w:rPr>
              <w:t>Six Months Ended June 30,</w:t>
            </w:r>
            <w:r>
              <w:rPr/>
              <w:t xml:space="preserve"> </w:t>
            </w:r>
          </w:p>
        </w:tc>
        <w:tc>
          <w:tcPr>
            <w:tcW w:w="295" w:type="dxa"/>
            <w:tcBorders/>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12" w:type="dxa"/>
            <w:tcBorders>
              <w:bottom w:val="single" w:sz="6" w:space="0" w:color="000000"/>
            </w:tcBorders>
            <w:tcMar>
              <w:bottom w:w="28" w:type="dxa"/>
            </w:tcMar>
            <w:vAlign w:val="center"/>
          </w:tcPr>
          <w:p>
            <w:pPr>
              <w:pStyle w:val="TableContents"/>
              <w:bidi w:val="0"/>
              <w:spacing w:before="0" w:after="0"/>
              <w:jc w:val="center"/>
              <w:rPr/>
            </w:pPr>
            <w:r>
              <w:rPr>
                <w:b/>
              </w:rPr>
              <w:t>2026</w:t>
            </w:r>
            <w:r>
              <w:rPr/>
              <w:t xml:space="preserve"> </w:t>
            </w:r>
          </w:p>
        </w:tc>
        <w:tc>
          <w:tcPr>
            <w:tcW w:w="418"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89"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07" w:type="dxa"/>
            <w:tcBorders>
              <w:bottom w:val="single" w:sz="6" w:space="0" w:color="000000"/>
            </w:tcBorders>
            <w:tcMar>
              <w:bottom w:w="28" w:type="dxa"/>
            </w:tcMar>
            <w:vAlign w:val="center"/>
          </w:tcPr>
          <w:p>
            <w:pPr>
              <w:pStyle w:val="TableContents"/>
              <w:bidi w:val="0"/>
              <w:spacing w:before="0" w:after="0"/>
              <w:jc w:val="center"/>
              <w:rPr/>
            </w:pPr>
            <w:r>
              <w:rPr>
                <w:b/>
              </w:rPr>
              <w:t>2025</w:t>
            </w:r>
            <w:r>
              <w:rPr/>
              <w:t xml:space="preserve">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61" w:type="dxa"/>
            <w:tcBorders>
              <w:bottom w:val="single" w:sz="6" w:space="0" w:color="000000"/>
            </w:tcBorders>
            <w:tcMar>
              <w:bottom w:w="28" w:type="dxa"/>
            </w:tcMar>
            <w:vAlign w:val="center"/>
          </w:tcPr>
          <w:p>
            <w:pPr>
              <w:pStyle w:val="TableContents"/>
              <w:bidi w:val="0"/>
              <w:spacing w:before="0" w:after="0"/>
              <w:jc w:val="center"/>
              <w:rPr/>
            </w:pPr>
            <w:r>
              <w:rPr>
                <w:b/>
              </w:rPr>
              <w:t>2026</w:t>
            </w:r>
            <w:r>
              <w:rPr/>
              <w:t xml:space="preserve"> </w:t>
            </w:r>
          </w:p>
        </w:tc>
        <w:tc>
          <w:tcPr>
            <w:tcW w:w="36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253"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61" w:type="dxa"/>
            <w:tcBorders>
              <w:bottom w:val="single" w:sz="6" w:space="0" w:color="000000"/>
            </w:tcBorders>
            <w:tcMar>
              <w:bottom w:w="28" w:type="dxa"/>
            </w:tcMar>
            <w:vAlign w:val="center"/>
          </w:tcPr>
          <w:p>
            <w:pPr>
              <w:pStyle w:val="TableContents"/>
              <w:bidi w:val="0"/>
              <w:spacing w:before="0" w:after="0"/>
              <w:jc w:val="center"/>
              <w:rPr/>
            </w:pPr>
            <w:r>
              <w:rPr>
                <w:b/>
              </w:rPr>
              <w:t>2025</w:t>
            </w:r>
            <w:r>
              <w:rPr/>
              <w:t xml:space="preserve"> </w:t>
            </w:r>
          </w:p>
        </w:tc>
        <w:tc>
          <w:tcPr>
            <w:tcW w:w="295" w:type="dxa"/>
            <w:tcBorders/>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0"/>
              <w:jc w:val="left"/>
              <w:rPr/>
            </w:pPr>
            <w:r>
              <w:rPr>
                <w:i/>
              </w:rPr>
              <w:t>(in thousands, except percentages)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r>
      <w:tr>
        <w:trPr/>
        <w:tc>
          <w:tcPr>
            <w:tcW w:w="3192" w:type="dxa"/>
            <w:tcBorders/>
            <w:shd w:fill="CCEEFF" w:val="clear"/>
            <w:vAlign w:val="center"/>
          </w:tcPr>
          <w:p>
            <w:pPr>
              <w:pStyle w:val="TableContents"/>
              <w:bidi w:val="0"/>
              <w:spacing w:before="0" w:after="0"/>
              <w:jc w:val="left"/>
              <w:rPr/>
            </w:pPr>
            <w:r>
              <w:rPr/>
              <w:t xml:space="preserve">Provision for income taxes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12" w:type="dxa"/>
            <w:tcBorders/>
            <w:shd w:fill="CCEEFF" w:val="clear"/>
            <w:vAlign w:val="center"/>
          </w:tcPr>
          <w:p>
            <w:pPr>
              <w:pStyle w:val="TableContents"/>
              <w:bidi w:val="0"/>
              <w:spacing w:before="0" w:after="283"/>
              <w:jc w:val="right"/>
              <w:rPr/>
            </w:pPr>
            <w:r>
              <w:rPr/>
              <w:t>12,415</w:t>
            </w:r>
          </w:p>
        </w:tc>
        <w:tc>
          <w:tcPr>
            <w:tcW w:w="418"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5,878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jc w:val="right"/>
              <w:rPr/>
            </w:pPr>
            <w:r>
              <w:rPr/>
              <w:t>24,215</w:t>
            </w:r>
          </w:p>
        </w:tc>
        <w:tc>
          <w:tcPr>
            <w:tcW w:w="365"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jc w:val="right"/>
              <w:rPr/>
            </w:pPr>
            <w:r>
              <w:rPr/>
              <w:t>12,424</w:t>
            </w:r>
          </w:p>
        </w:tc>
        <w:tc>
          <w:tcPr>
            <w:tcW w:w="295" w:type="dxa"/>
            <w:tcBorders/>
            <w:shd w:fill="CCEEFF" w:val="clear"/>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0"/>
              <w:jc w:val="left"/>
              <w:rPr/>
            </w:pPr>
            <w:r>
              <w:rPr/>
              <w:t xml:space="preserve">Effective tax rate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24.7</w:t>
            </w:r>
          </w:p>
        </w:tc>
        <w:tc>
          <w:tcPr>
            <w:tcW w:w="418"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14.7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22.6</w:t>
            </w:r>
          </w:p>
        </w:tc>
        <w:tc>
          <w:tcPr>
            <w:tcW w:w="365" w:type="dxa"/>
            <w:tcBorders/>
            <w:vAlign w:val="center"/>
          </w:tcPr>
          <w:p>
            <w:pPr>
              <w:pStyle w:val="TableContents"/>
              <w:bidi w:val="0"/>
              <w:spacing w:before="0" w:after="283"/>
              <w:jc w:val="left"/>
              <w:rPr/>
            </w:pPr>
            <w:r>
              <w:rPr/>
              <w:t>%</w:t>
            </w:r>
          </w:p>
        </w:tc>
        <w:tc>
          <w:tcPr>
            <w:tcW w:w="13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16.9</w:t>
            </w:r>
          </w:p>
        </w:tc>
        <w:tc>
          <w:tcPr>
            <w:tcW w:w="295" w:type="dxa"/>
            <w:tcBorders/>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0" w:after="0"/>
        <w:ind w:left="0" w:right="0" w:firstLine="630"/>
        <w:jc w:val="both"/>
        <w:rPr>
          <w:rFonts w:ascii="Times New Roman" w:hAnsi="Times New Roman"/>
          <w:sz w:val="20"/>
        </w:rPr>
      </w:pPr>
      <w:r>
        <w:rPr>
          <w:rFonts w:ascii="Times New Roman" w:hAnsi="Times New Roman"/>
          <w:sz w:val="20"/>
        </w:rPr>
        <w:t xml:space="preserve">The effective tax rate for the three and six months ended June 30, 2026 differed from the federal statutory rate primarily due to the excess tax benefits on stock-based compensation. The effective tax rate for the three and six months ended June 30, 2025 differed from the federal statutory tax rate primarily due to the valuation allowance maintained on the Company's federal and state net deferred tax assets until December 31, 2025. </w:t>
      </w:r>
    </w:p>
    <w:p>
      <w:pPr>
        <w:pStyle w:val="TextBody"/>
        <w:bidi w:val="0"/>
        <w:spacing w:before="0" w:after="0"/>
        <w:ind w:left="0" w:right="0" w:firstLine="540"/>
        <w:jc w:val="both"/>
        <w:rPr/>
      </w:pPr>
      <w:r>
        <w:rPr/>
        <w:t> </w:t>
      </w:r>
    </w:p>
    <w:p>
      <w:pPr>
        <w:pStyle w:val="TextBody"/>
        <w:bidi w:val="0"/>
        <w:spacing w:before="0" w:after="0"/>
        <w:ind w:left="0" w:right="0" w:hanging="540"/>
        <w:jc w:val="left"/>
        <w:rPr>
          <w:rFonts w:ascii="Times New Roman" w:hAnsi="Times New Roman"/>
          <w:sz w:val="20"/>
        </w:rPr>
      </w:pPr>
      <w:r>
        <w:rPr>
          <w:rFonts w:ascii="Times New Roman" w:hAnsi="Times New Roman"/>
          <w:b/>
          <w:sz w:val="20"/>
          <w:u w:val="single"/>
        </w:rPr>
        <w:t>SUPPLEMENTAL DISCLOSURE OF CASH FLOW INFORMATION</w:t>
      </w:r>
      <w:r>
        <w:rPr>
          <w:rFonts w:ascii="Times New Roman" w:hAnsi="Times New Roman"/>
          <w:sz w:val="20"/>
        </w:rPr>
        <w:t xml:space="preserve"> </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342900" cy="175260"/>
                <wp:effectExtent l="0" t="0" r="0" b="0"/>
                <wp:wrapSquare wrapText="right"/>
                <wp:docPr id="54" name="Frame54"/>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b/>
                              </w:rPr>
                              <w:t>14.</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14.</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Supplemental cash flow information for the six months ended June 30, 2026 and 2025 is as follows:</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8040"/>
        <w:gridCol w:w="90"/>
        <w:gridCol w:w="170"/>
        <w:gridCol w:w="710"/>
        <w:gridCol w:w="90"/>
        <w:gridCol w:w="90"/>
        <w:gridCol w:w="170"/>
        <w:gridCol w:w="710"/>
        <w:gridCol w:w="135"/>
      </w:tblGrid>
      <w:tr>
        <w:trPr/>
        <w:tc>
          <w:tcPr>
            <w:tcW w:w="8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8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6" w:space="0" w:color="000000"/>
            </w:tcBorders>
            <w:tcMar>
              <w:bottom w:w="28" w:type="dxa"/>
            </w:tcMar>
            <w:vAlign w:val="center"/>
          </w:tcPr>
          <w:p>
            <w:pPr>
              <w:pStyle w:val="TableContents"/>
              <w:bidi w:val="0"/>
              <w:spacing w:before="0" w:after="0"/>
              <w:jc w:val="center"/>
              <w:rPr/>
            </w:pPr>
            <w:r>
              <w:rPr>
                <w:b/>
              </w:rPr>
              <w:t>2026</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6" w:space="0" w:color="000000"/>
            </w:tcBorders>
            <w:tcMar>
              <w:bottom w:w="28" w:type="dxa"/>
            </w:tcMar>
            <w:vAlign w:val="center"/>
          </w:tcPr>
          <w:p>
            <w:pPr>
              <w:pStyle w:val="TableContents"/>
              <w:bidi w:val="0"/>
              <w:spacing w:before="0" w:after="0"/>
              <w:jc w:val="center"/>
              <w:rPr/>
            </w:pPr>
            <w:r>
              <w:rPr>
                <w:b/>
              </w:rPr>
              <w:t>2025</w:t>
            </w:r>
            <w:r>
              <w:rPr/>
              <w:t xml:space="preserve"> </w:t>
            </w:r>
          </w:p>
        </w:tc>
        <w:tc>
          <w:tcPr>
            <w:tcW w:w="135" w:type="dxa"/>
            <w:tcBorders/>
            <w:vAlign w:val="center"/>
          </w:tcPr>
          <w:p>
            <w:pPr>
              <w:pStyle w:val="TableContents"/>
              <w:bidi w:val="0"/>
              <w:spacing w:before="0" w:after="283"/>
              <w:jc w:val="left"/>
              <w:rPr/>
            </w:pPr>
            <w:r>
              <w:rPr/>
              <w:t> </w:t>
            </w:r>
          </w:p>
        </w:tc>
      </w:tr>
      <w:tr>
        <w:trPr/>
        <w:tc>
          <w:tcPr>
            <w:tcW w:w="8040" w:type="dxa"/>
            <w:tcBorders/>
            <w:vAlign w:val="center"/>
          </w:tcPr>
          <w:p>
            <w:pPr>
              <w:pStyle w:val="TableContents"/>
              <w:bidi w:val="0"/>
              <w:spacing w:before="0" w:after="0"/>
              <w:jc w:val="left"/>
              <w:rPr/>
            </w:pPr>
            <w:r>
              <w:rPr>
                <w:i/>
              </w:rPr>
              <w:t>(In thousands)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8040" w:type="dxa"/>
            <w:tcBorders/>
            <w:vAlign w:val="center"/>
          </w:tcPr>
          <w:p>
            <w:pPr>
              <w:pStyle w:val="TableContents"/>
              <w:bidi w:val="0"/>
              <w:spacing w:before="0" w:after="0"/>
              <w:jc w:val="left"/>
              <w:rPr/>
            </w:pPr>
            <w:r>
              <w:rPr>
                <w:b/>
              </w:rPr>
              <w:t>SUPPLEMENTAL CASH FLOW INFORMATION:</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8040" w:type="dxa"/>
            <w:tcBorders/>
            <w:shd w:fill="CCEEFF" w:val="clear"/>
            <w:vAlign w:val="center"/>
          </w:tcPr>
          <w:p>
            <w:pPr>
              <w:pStyle w:val="TableContents"/>
              <w:bidi w:val="0"/>
              <w:spacing w:before="0" w:after="0"/>
              <w:jc w:val="left"/>
              <w:rPr/>
            </w:pPr>
            <w:r>
              <w:rPr/>
              <w:t xml:space="preserve">Cash paid for interest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5,173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4,957</w:t>
            </w:r>
          </w:p>
        </w:tc>
        <w:tc>
          <w:tcPr>
            <w:tcW w:w="135" w:type="dxa"/>
            <w:tcBorders/>
            <w:shd w:fill="CCEEFF" w:val="clear"/>
            <w:vAlign w:val="center"/>
          </w:tcPr>
          <w:p>
            <w:pPr>
              <w:pStyle w:val="TableContents"/>
              <w:bidi w:val="0"/>
              <w:spacing w:before="0" w:after="283"/>
              <w:jc w:val="left"/>
              <w:rPr/>
            </w:pPr>
            <w:r>
              <w:rPr/>
              <w:t> </w:t>
            </w:r>
          </w:p>
        </w:tc>
      </w:tr>
      <w:tr>
        <w:trPr/>
        <w:tc>
          <w:tcPr>
            <w:tcW w:w="8040" w:type="dxa"/>
            <w:tcBorders/>
            <w:vAlign w:val="center"/>
          </w:tcPr>
          <w:p>
            <w:pPr>
              <w:pStyle w:val="TableContents"/>
              <w:bidi w:val="0"/>
              <w:spacing w:before="0" w:after="0"/>
              <w:jc w:val="left"/>
              <w:rPr/>
            </w:pPr>
            <w:r>
              <w:rPr/>
              <w:t xml:space="preserve">Cash paid for income taxes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23,064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6,890</w:t>
            </w:r>
          </w:p>
        </w:tc>
        <w:tc>
          <w:tcPr>
            <w:tcW w:w="135" w:type="dxa"/>
            <w:tcBorders/>
            <w:vAlign w:val="center"/>
          </w:tcPr>
          <w:p>
            <w:pPr>
              <w:pStyle w:val="TableContents"/>
              <w:bidi w:val="0"/>
              <w:spacing w:before="0" w:after="283"/>
              <w:jc w:val="left"/>
              <w:rPr/>
            </w:pPr>
            <w:r>
              <w:rPr/>
              <w:t> </w:t>
            </w:r>
          </w:p>
        </w:tc>
      </w:tr>
      <w:tr>
        <w:trPr/>
        <w:tc>
          <w:tcPr>
            <w:tcW w:w="8040" w:type="dxa"/>
            <w:tcBorders/>
            <w:shd w:fill="CCEEFF" w:val="clear"/>
            <w:vAlign w:val="center"/>
          </w:tcPr>
          <w:p>
            <w:pPr>
              <w:pStyle w:val="TableContents"/>
              <w:bidi w:val="0"/>
              <w:spacing w:before="0" w:after="0"/>
              <w:jc w:val="left"/>
              <w:rPr/>
            </w:pPr>
            <w:r>
              <w:rPr>
                <w:b/>
              </w:rPr>
              <w:t>Noncash Financing and Investing Activities: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8040" w:type="dxa"/>
            <w:tcBorders/>
            <w:vAlign w:val="center"/>
          </w:tcPr>
          <w:p>
            <w:pPr>
              <w:pStyle w:val="TableContents"/>
              <w:bidi w:val="0"/>
              <w:spacing w:before="0" w:after="0"/>
              <w:jc w:val="left"/>
              <w:rPr/>
            </w:pPr>
            <w:r>
              <w:rPr/>
              <w:t xml:space="preserve">Equipment acquired reflected in accounts payable and accrued liabilities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1,311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1,025</w:t>
            </w:r>
          </w:p>
        </w:tc>
        <w:tc>
          <w:tcPr>
            <w:tcW w:w="135" w:type="dxa"/>
            <w:tcBorders/>
            <w:vAlign w:val="center"/>
          </w:tcPr>
          <w:p>
            <w:pPr>
              <w:pStyle w:val="TableContents"/>
              <w:bidi w:val="0"/>
              <w:spacing w:before="0" w:after="283"/>
              <w:jc w:val="left"/>
              <w:rPr/>
            </w:pPr>
            <w:r>
              <w:rPr/>
              <w:t> </w:t>
            </w:r>
          </w:p>
        </w:tc>
      </w:tr>
      <w:tr>
        <w:trPr/>
        <w:tc>
          <w:tcPr>
            <w:tcW w:w="8040" w:type="dxa"/>
            <w:tcBorders/>
            <w:shd w:fill="CCEEFF" w:val="clear"/>
            <w:vAlign w:val="center"/>
          </w:tcPr>
          <w:p>
            <w:pPr>
              <w:pStyle w:val="TableContents"/>
              <w:bidi w:val="0"/>
              <w:spacing w:before="0" w:after="0"/>
              <w:jc w:val="left"/>
              <w:rPr/>
            </w:pPr>
            <w:r>
              <w:rPr/>
              <w:t xml:space="preserve">Operating lease right-of-use assets obtained in exchange for operating lease obligations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15,148</w:t>
            </w:r>
          </w:p>
        </w:tc>
        <w:tc>
          <w:tcPr>
            <w:tcW w:w="135" w:type="dxa"/>
            <w:tcBorders/>
            <w:shd w:fill="CCEEFF" w:val="clear"/>
            <w:vAlign w:val="center"/>
          </w:tcPr>
          <w:p>
            <w:pPr>
              <w:pStyle w:val="TableContents"/>
              <w:bidi w:val="0"/>
              <w:spacing w:before="0" w:after="283"/>
              <w:jc w:val="left"/>
              <w:rPr/>
            </w:pPr>
            <w:r>
              <w:rPr/>
              <w:t> </w:t>
            </w:r>
          </w:p>
        </w:tc>
      </w:tr>
      <w:tr>
        <w:trPr/>
        <w:tc>
          <w:tcPr>
            <w:tcW w:w="8040" w:type="dxa"/>
            <w:tcBorders/>
            <w:vAlign w:val="center"/>
          </w:tcPr>
          <w:p>
            <w:pPr>
              <w:pStyle w:val="TableContents"/>
              <w:bidi w:val="0"/>
              <w:spacing w:before="0" w:after="0"/>
              <w:jc w:val="left"/>
              <w:rPr/>
            </w:pPr>
            <w:r>
              <w:rPr/>
              <w:t xml:space="preserve">Non-cash proceeds from the sale of assets previously held for sale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6,000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1,236</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54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1440"/>
        <w:jc w:val="left"/>
        <w:rPr>
          <w:rFonts w:ascii="Times New Roman" w:hAnsi="Times New Roman"/>
          <w:b/>
          <w:sz w:val="20"/>
        </w:rPr>
      </w:pPr>
      <w:r>
        <w:rPr>
          <w:rFonts w:ascii="Times New Roman" w:hAnsi="Times New Roman"/>
          <w:b/>
          <w:sz w:val="20"/>
        </w:rPr>
        <w:t xml:space="preserve">Management’s Discussion and Analysis of Financial Condition and Results of Operations. </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914400" cy="175260"/>
                <wp:effectExtent l="0" t="0" r="0" b="0"/>
                <wp:wrapSquare wrapText="right"/>
                <wp:docPr id="55" name="Frame55"/>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bookmarkStart w:id="11" w:name="Item_2"/>
                            <w:bookmarkEnd w:id="11"/>
                            <w:r>
                              <w:rPr/>
                              <w:t xml:space="preserve">Item 2.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12" w:name="Item_2"/>
                      <w:bookmarkEnd w:id="12"/>
                      <w:r>
                        <w:rPr/>
                        <w:t xml:space="preserve">Item 2.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The following discussion of our financial condition and results of operations,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2025, filed on February 25, 2026 (the “2025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 from our current expectations.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center"/>
        <w:rPr>
          <w:rFonts w:ascii="Times New Roman" w:hAnsi="Times New Roman"/>
          <w:b/>
          <w:sz w:val="20"/>
        </w:rPr>
      </w:pPr>
      <w:r>
        <w:rPr>
          <w:rFonts w:ascii="Times New Roman" w:hAnsi="Times New Roman"/>
          <w:b/>
          <w:sz w:val="20"/>
          <w:u w:val="single"/>
        </w:rPr>
        <w:t>OVERVIEW</w:t>
      </w:r>
      <w:r>
        <w:rPr>
          <w:rFonts w:ascii="Times New Roman" w:hAnsi="Times New Roman"/>
          <w:b/>
          <w:sz w:val="20"/>
        </w:rPr>
        <w:t xml:space="preserve"> </w:t>
      </w:r>
    </w:p>
    <w:p>
      <w:pPr>
        <w:pStyle w:val="TextBody"/>
        <w:bidi w:val="0"/>
        <w:spacing w:before="0" w:after="0"/>
        <w:jc w:val="center"/>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Our Business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ADMA Biologics, Inc. (the “Company,” “ADMA,” “we,” “us” or “our”) is a U.S. based, end-to-end commercial biopharmaceutical company dedicated to manufacturing, marketing and developing specialty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2"/>
        </w:rPr>
      </w:pPr>
      <w:r>
        <w:rPr>
          <w:rFonts w:ascii="Times New Roman" w:hAnsi="Times New Roman"/>
          <w:sz w:val="20"/>
        </w:rPr>
        <w:t>Through our ADMA BioManufacturing business segment, we currently have three products with U.S. Food and Drug Administration (the “FDA”) approval,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in adults and children ages two and above, for which we received FDA approval in April 2019 and commenced first commercial sales in October 2019; (ii) BIVIGAM (Immune Globulin Intravenous, Human), an IVIG product indicated for the treatment of PI</w:t>
      </w:r>
      <w:r>
        <w:rPr>
          <w:rFonts w:ascii="Times New Roman" w:hAnsi="Times New Roman"/>
          <w:sz w:val="22"/>
        </w:rPr>
        <w:t xml:space="preserve"> </w:t>
      </w:r>
      <w:r>
        <w:rPr>
          <w:rFonts w:ascii="Times New Roman" w:hAnsi="Times New Roman"/>
          <w:sz w:val="20"/>
        </w:rPr>
        <w:t xml:space="preserve">in adults and children ages two and above, and for which we received FDA approval in May 2019 and commenced commercial sales in August 2019; and (iii) Nabi-HB (Hepatitis B Immune Globulin, Human), which is indicated for the treatment of acute exposure to blood containing Hepatitis B surface antigen (“HBsAg”) and other listed exposures to Hepatitis B. In addition to our commercially available immunoglobulin products, we generate revenues from the sale of intermediate by-products that result from the immunoglobulin production process and from time to time provide contract manufacturing and laboratory services for certain clients.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are also developing a pipeline of plasma-derived therapeutics, including a product related to its issued U.S. Patent Nos. 10,259,865, 11,084,870, 11,897,943 and 12,612,450 pertaining to methods of treatment and prevention of </w:t>
      </w:r>
      <w:r>
        <w:rPr>
          <w:rFonts w:ascii="Times New Roman" w:hAnsi="Times New Roman"/>
          <w:i/>
          <w:sz w:val="20"/>
        </w:rPr>
        <w:t>S. pneumoniae</w:t>
      </w:r>
      <w:r>
        <w:rPr>
          <w:rFonts w:ascii="Times New Roman" w:hAnsi="Times New Roman"/>
          <w:sz w:val="20"/>
        </w:rPr>
        <w:t xml:space="preserve"> infection using an immunoglobulin manufactured to contain standardized antibodies to </w:t>
      </w:r>
      <w:r>
        <w:rPr>
          <w:rFonts w:ascii="Times New Roman" w:hAnsi="Times New Roman"/>
          <w:i/>
          <w:sz w:val="20"/>
        </w:rPr>
        <w:t>S. pneumoniae</w:t>
      </w:r>
      <w:r>
        <w:rPr>
          <w:rFonts w:ascii="Times New Roman" w:hAnsi="Times New Roman"/>
          <w:sz w:val="20"/>
        </w:rPr>
        <w:t xml:space="preserve"> serotypes. We have successfully completed production of a pilot-scale batch and are conducting animal studies for our </w:t>
      </w:r>
      <w:r>
        <w:rPr>
          <w:rFonts w:ascii="Times New Roman" w:hAnsi="Times New Roman"/>
          <w:i/>
          <w:sz w:val="20"/>
        </w:rPr>
        <w:t>S. pneumoniae</w:t>
      </w:r>
      <w:r>
        <w:rPr>
          <w:rFonts w:ascii="Times New Roman" w:hAnsi="Times New Roman"/>
          <w:sz w:val="20"/>
        </w:rPr>
        <w:t xml:space="preserve"> hyperimmune globulin program, SG-001. We anticipate submitting a pre-Investigational New Drug (“IND”) package to the FDA in fiscal year 2026, which could enable us to progress development of SG-001 directly into a registrational clinical trial.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manufacture our commercial products at our FDA-licensed, plasma fractionation and purification facility located in Boca Raton, Florida with a peak annual processing capability of up to 600,000 liters (the “Boca Facility”). Based on current production yields, our completed and ongoing supply chain enhancements and capacity expansion initiatives, we believe this facility has the potential to produce sufficient quantities of our immune globulin products.</w:t>
      </w:r>
    </w:p>
    <w:p>
      <w:pPr>
        <w:pStyle w:val="TextBody"/>
        <w:bidi w:val="0"/>
        <w:spacing w:before="0" w:after="0"/>
        <w:ind w:left="0" w:right="0" w:firstLine="72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Through our ADMA BioCenters subsidiary, we currently operate seven source plasma collection facilities in the U.S., all of which hold FDA licenses. This business unit, which we refer to as our Plasma Collection Centers business segment, provides us with a significant portion of the blood plasma required for the manufacture of our products, and also allows us to sell certain quantities of source and hyperimmune plasma to third-party customers for further manufacturing. In addition, each of our FDA-approved plasma collection centers also has approval from the Korean Ministry of Food and Drug Safety, and ADMA BioCenters has FDA approval to operate a Hepatitis B immunization program.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is sold to third-party customers in the U.S. and in other locations outside the U.S. where we are approved under supply agreements or in the open “spot” market.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From time to time, we may provide contract manufacturing services for certain third-party clients. We also provide laboratory contracting services to certain customers and may provide contract filling, labeling and packing services utilizing our FDA-approved in-house fill-finish capabilities.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Trends and Developments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the year ended December 31, 2024, we achieved net income of $197.7 million, the first time in our history that we achieved net income in accordance with accounting principles generally accepted in the United States of America (“U.S. GAAP”), and generated positive cash flows from operations of $118.7 million. Positive cash flows from operations continued throughout fiscal year 2025. Our improved operating results were primarily the result of the substantial revenue growth and continued physician, patient and payer acceptance of ASCENIV.</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April 2025, the FDA approved our Prior Approval Supplement (a “PAS”) for our innovative yield enhancement production process benefiting both ASCENIV and BIVIGAM. This PAS approval amends the Biologics License Application (“BLA”) approvals for ASCENIV and BIVIGAM and will continue to be the process by which we will manufacture these products on a go-forward basis. The production methods approved in this PAS have resulted in additional bulk drug yield from the same starting raw material source plasma volumes and we believe we should experience meaningful revenue and earnings accretion accelerating further into 2026 and beyond. This innovative process has demonstrated an ability to increase ASCENIV and BIVIGAM production yields by 20% or more from the same starting source plasma volume. Fiscal year 2026 is our first full year of yield-enhanced production, supporting anticipated sustained margin expansion.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July 2025, the One Big Beautiful Bill Act ("OBBBA") was enacted, which includes numerous changes to existing tax law including extending or making permanent certain business provisions initially established under the 2017 Tax Cuts and Jobs Act, which were set to expire. The OBBBA permanently eliminates the requirement to capitalize and amortize U.S.-based research and experimental expenditures, making these expenditures fully deductible in the period incurred. The OBBBA also permanently extends recognition of the accelerated bonus depreciation on qualifying assets in the period acquired. In 2025, these provisions resulted in a reduction of current income tax liabilities and a corresponding reduction to income tax expense.</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July 2025, we completed the acquisition of real estate in Boca Raton, Florida for a total purchase price of $12.6 million. This real estate purchase is intended to allow us to expand our production operations and related activities as well as provide for certain redundancies for ambient and cold-chain storage of raw materials, work in process and finished goods inventory.</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2"/>
        </w:rPr>
      </w:pPr>
      <w:r>
        <w:rPr>
          <w:rFonts w:ascii="Times New Roman" w:hAnsi="Times New Roman"/>
          <w:sz w:val="20"/>
        </w:rPr>
        <w:t>In December 2025, we entered into an agreement for the divestiture of three of our plasma collection centers for an aggregate purchase price of $12.0 million. The sale of these plasma centers was completed during the first quarter of 2026. We continue to own and operate seven plasma collection centers. In conjunction with the divestiture agreement, we entered into a long-term respiratory syncytial virus</w:t>
      </w:r>
      <w:r>
        <w:rPr>
          <w:rFonts w:ascii="Times New Roman" w:hAnsi="Times New Roman"/>
          <w:sz w:val="22"/>
        </w:rPr>
        <w:t xml:space="preserve"> </w:t>
      </w:r>
      <w:r>
        <w:rPr>
          <w:rFonts w:ascii="Times New Roman" w:hAnsi="Times New Roman"/>
          <w:sz w:val="20"/>
        </w:rPr>
        <w:t>(“RSV”) plasma supply agreement with the purchaser of the three plasma collection centers, further diversifying our third-party high-titer plasma supply base. Collectively, these actions reflect a deliberate focus on a more flexible, capital-efficient supply model and are expected to deliver accretive cost savings in fiscal year 2026, improve capital efficiency, support increased ASCENIV production capacity, and provide durable plasma supply confidence through the late 2030s.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Beginning in the second half of 2025 and continuing into 2026, new FDA-approved IVIG products, and other pharmaceutical products which compete with certain IVIG product uses, entered the market with aggressive pricing tactics, including extended payment terms, rebates and discounts. This has led to increases in raw material plasma supply and finished goods inventory across the distribution network. This created competitive intensity and distribution recalibration across the industry which has impacted our results for the first half of 2026, mainly as it relates to BIVIGAM, but broadly across the IVIG complex. If this trend of competitive pricing tactics continues, future results and market adoption for our products may be adversely impacted. </w:t>
      </w:r>
    </w:p>
    <w:p>
      <w:pPr>
        <w:pStyle w:val="TextBody"/>
        <w:bidi w:val="0"/>
        <w:spacing w:before="0" w:after="0"/>
        <w:jc w:val="both"/>
        <w:rPr/>
      </w:pPr>
      <w:r>
        <w:rPr/>
        <w:t> </w:t>
      </w:r>
    </w:p>
    <w:p>
      <w:pPr>
        <w:pStyle w:val="TextBody"/>
        <w:bidi w:val="0"/>
        <w:spacing w:before="0" w:after="0"/>
        <w:jc w:val="left"/>
        <w:rPr>
          <w:rFonts w:ascii="Times New Roman" w:hAnsi="Times New Roman"/>
          <w:b/>
          <w:sz w:val="20"/>
        </w:rPr>
      </w:pPr>
      <w:r>
        <w:rPr>
          <w:rFonts w:ascii="Times New Roman" w:hAnsi="Times New Roman"/>
          <w:b/>
          <w:sz w:val="20"/>
        </w:rPr>
        <w:t>Our Products</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i/>
          <w:sz w:val="20"/>
        </w:rPr>
        <w:t>ASCENIV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ASCENIV is a plasma-derived IVIG product that contains naturally occurring polyclonal antibodies, which are proteins that are used by the body’s immune system to neutralize microbes, such as bacteria and viruses, and prevent against infection and disease. We manufacture ASCENIV under U.S. Department of Health and Human Services (“HHS”) License No. 2019 using a process known as fractionation. The Centers for Medicare and Medicaid Services (“CMS”) has issued a permanent, product-specific-J-code for ASCENIV. Under the Healthcare Common Procedure Coding System, the J-code (J1554) became effective in April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RSV using our proprietary microneutralization testing assay. With our patented testing methods and assay, we are able to identify the high-titer or “hyperimmune” plasma that meets our internal and required specifications for ASCENIV. This type of high-titer plasma is typically found in less than 10% of the total donor collection samples we test.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ASCENIV is approved for the treatment of PIDD or PI, a class of inherited genetic disorders that causes a deficient or absent immune system in adults and children ages two and above. Our pivotal Phase III clinical trial in 59 PIDD patients met the primary endpoint of no Serious Bacterial Infections (“SBI”) reported during 12 months of treatment. Secondary efficacy endpoints further demonstrated the benefits of ASCENIV in the low incidence of infection, therapeutic antibiotic use, reduced days missed from work, school and daycare and reduced unscheduled medical visits and hospitalizations. We believe this clinical data together with the FDA approval of ASCENIV for the treatment of PIDD better positions ADMA to potentially further evaluate ASCENIV in immune-compromised patients infected with or at-risk for RSV infection or potentially other respiratory viral pathogens at an appropriate time. In the future, we may elect to work with the FDA and the immunology and infectious disease community to design an appropriate clinical trial to evaluate the use of ASCENIV in this patient population. Following FDA approval in April 2019, commercial sales of ASCENIV commenced in October 2019 and in 2023 we commenced manufacturing ASCENIV at the 4,400 liter production scale. This expansion has improved the product’s margin profile and increased plant production capacity as fewer batches are needed to support our revenue goals. ASCENIV’s prescriber and patient base continued to expand during 2024 and 2025, which drove record end-user utilization for this product. These elevated demand trends have sustained into 2026, and we currently expect that this product’s rapid growth will continue throughout 2026 and beyond.</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May 2026, we announced that the FDA approved the expansion of ASCENIV’s label to include the pediatric setting for those two years of age and older.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BIVIGAM</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BIVIGAM is a plasma-derived IVIG product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Based on recent estimates, these disorders are no longer considered to be very rare, with as many as one in every 2,000 people in the United States having some form of PI.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May 2019, the FDA approved our PAS for the use of our IVIG manufacturing process (known as fractionation), thereby enabling us to re-launch and commercialize this product in the United States. Following our acquisition of the Boca Facility, which included BIVIGAM and Nabi-HB, in June 2017, we resumed production of BIVIGAM during the fourth quarter of 2017 and commercial production is ongoing, using our FDA-approved IVIG manufacturing process under HHS License No. 2019. The commercial re-launch and first commercial sales for this product under our leadership commenced in August 2019.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April 2021, we announced that the FDA granted approval for our expanded plasma pool production scale process, allowing for a 4,400-liter plasma pool for the manufacture of our BIVIGAM IVIG product. This increased IVIG plasma pool scale, which allows us to produce BIVIGAM at an expanded capacity utilizing the same equipment, release testing assays and labor force, has had a favorable impact on our gross margins, manufacturing efficiencies and operating results. </w:t>
      </w:r>
    </w:p>
    <w:p>
      <w:pPr>
        <w:pStyle w:val="TextBody"/>
        <w:bidi w:val="0"/>
        <w:spacing w:before="200" w:after="20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December 2023, we announced that the FDA approved the expansion of BIVIGAM’s label in the United States to now include the pediatric setting for those two years of age and older.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Nabi-HB</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which is a major global health problem. The Hepatitis B virus can cause chronic infection and places people at high risk of death from cirrhosis and liver cancer. Nabi-HB has a well-documented record of long-term safety and effectiveness since its initial market introduction. The FDA approved Nabi-HB in March 1999. Production of Nabi-HB at the Boca Facility has continued under our leadership since the third quarter of 2017. In early 2018, we received authorization from the FDA for the release of our first commercial batch of Nabi-HB for commercial distribution in the United States and we continue to manufacture Nabi-HB under HHS License No. 2019.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u w:val="single"/>
        </w:rPr>
        <w:t>RESULTS OF OPERATIONS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Calibri" w:hAnsi="Calibri"/>
          <w:sz w:val="20"/>
        </w:rPr>
      </w:pPr>
      <w:r>
        <w:rPr>
          <w:rFonts w:ascii="Times New Roman" w:hAnsi="Times New Roman"/>
          <w:b/>
          <w:sz w:val="20"/>
        </w:rPr>
        <w:t>Critical Accounting Policies and Estimates</w:t>
      </w:r>
      <w:r>
        <w:rPr>
          <w:rFonts w:ascii="Calibri" w:hAnsi="Calibr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This Management’s Discussion and Analysis of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estimates related to the Company’s effective tax rate.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Some of the estimates and assumptions we are required to make under U.S. GAAP require difficult, subjective and/or complex judgments about matters that are inherently uncertain and, as a result, actual results could differ from those estimates. Due to the estimation processes involved, the following summary of accounting estimates and their application are considered to be critical to understanding our business operations, financial condition and results of operations. For a description of our significant accounting policies, see Note 2 to the consolidated financial statements included in our 2025 10-K. </w:t>
      </w:r>
    </w:p>
    <w:p>
      <w:pPr>
        <w:pStyle w:val="TextBody"/>
        <w:bidi w:val="0"/>
        <w:spacing w:before="0" w:after="0"/>
        <w:jc w:val="left"/>
        <w:rPr/>
      </w:pPr>
      <w:r>
        <w:rPr/>
        <w:t xml:space="preserve">  </w:t>
      </w:r>
    </w:p>
    <w:p>
      <w:pPr>
        <w:pStyle w:val="TextBody"/>
        <w:bidi w:val="0"/>
        <w:spacing w:before="0" w:after="0"/>
        <w:jc w:val="left"/>
        <w:rPr>
          <w:rFonts w:ascii="Calibri" w:hAnsi="Calibri"/>
          <w:sz w:val="20"/>
        </w:rPr>
      </w:pPr>
      <w:r>
        <w:rPr>
          <w:rFonts w:ascii="Times New Roman" w:hAnsi="Times New Roman"/>
          <w:b/>
          <w:i/>
          <w:sz w:val="20"/>
        </w:rPr>
        <w:t>Revenue Deductions for Rebates and Chargebacks</w:t>
      </w:r>
      <w:r>
        <w:rPr>
          <w:rFonts w:ascii="Calibri" w:hAnsi="Calibr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Calibri" w:hAnsi="Calibri"/>
          <w:sz w:val="20"/>
        </w:rPr>
      </w:pPr>
      <w:r>
        <w:rPr>
          <w:rFonts w:ascii="Times New Roman" w:hAnsi="Times New Roman"/>
          <w:sz w:val="20"/>
        </w:rPr>
        <w:t>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w:t>
      </w:r>
      <w:r>
        <w:rPr>
          <w:rFonts w:ascii="Calibri" w:hAnsi="Calibri"/>
          <w:sz w:val="20"/>
        </w:rPr>
        <w:t xml:space="preserve"> </w:t>
      </w:r>
    </w:p>
    <w:p>
      <w:pPr>
        <w:pStyle w:val="TextBody"/>
        <w:bidi w:val="0"/>
        <w:spacing w:before="0" w:after="0"/>
        <w:jc w:val="both"/>
        <w:rPr/>
      </w:pPr>
      <w:r>
        <w:rPr/>
        <w:t xml:space="preserve">  </w:t>
      </w:r>
    </w:p>
    <w:p>
      <w:pPr>
        <w:pStyle w:val="TextBody"/>
        <w:bidi w:val="0"/>
        <w:spacing w:before="0" w:after="0"/>
        <w:jc w:val="left"/>
        <w:rPr>
          <w:rFonts w:ascii="Calibri" w:hAnsi="Calibri"/>
          <w:sz w:val="20"/>
        </w:rPr>
      </w:pPr>
      <w:r>
        <w:rPr>
          <w:rFonts w:ascii="Times New Roman" w:hAnsi="Times New Roman"/>
          <w:b/>
          <w:i/>
          <w:sz w:val="20"/>
        </w:rPr>
        <w:t>Effective Tax Rate</w:t>
      </w:r>
      <w:r>
        <w:rPr>
          <w:rFonts w:ascii="Calibri" w:hAnsi="Calibr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provision for income taxes and the determination of our effective tax rate are subject to significant judgment and complexity. We estimate our income tax expense based on enacted tax laws and statutory tax rates in the jurisdictions in which we operate, as well as our interpretation of relevant tax regulations. The effective tax rate includes the impact of various estimates and judgments. Changes in these estimates or in tax laws could significantly affect our effective tax rate and results of operations. Due to the complexity of tax regulations and the potential for differing interpretations, it is reasonably possible that the ultimate resolution of these matters could result in material adjustments to our effective tax rate in future periods.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b/>
          <w:i/>
          <w:sz w:val="20"/>
        </w:rPr>
      </w:pPr>
      <w:r>
        <w:rPr>
          <w:rFonts w:ascii="Times New Roman" w:hAnsi="Times New Roman"/>
          <w:b/>
          <w:i w:val="false"/>
          <w:caps w:val="false"/>
          <w:smallCaps w:val="false"/>
          <w:sz w:val="20"/>
        </w:rPr>
        <w:t>Three Months Ended June 30, 2026 Compared to Three Months Ended June 30, 2025</w:t>
      </w:r>
      <w:r>
        <w:rPr>
          <w:rFonts w:ascii="Times New Roman" w:hAnsi="Times New Roman"/>
          <w:b/>
          <w:i/>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following table presents a summary of the changes in our results of operations for the three months ended June 30, 2026, compared to the three months ended June 30, 2025: </w:t>
      </w:r>
    </w:p>
    <w:p>
      <w:pPr>
        <w:pStyle w:val="TextBody"/>
        <w:bidi w:val="0"/>
        <w:spacing w:before="0" w:after="0"/>
        <w:jc w:val="both"/>
        <w:rPr/>
      </w:pPr>
      <w:r>
        <w:rPr/>
        <w:t xml:space="preserve">  </w:t>
      </w:r>
    </w:p>
    <w:tbl>
      <w:tblPr>
        <w:tblW w:w="8450" w:type="dxa"/>
        <w:jc w:val="left"/>
        <w:tblInd w:w="0" w:type="dxa"/>
        <w:tblLayout w:type="fixed"/>
        <w:tblCellMar>
          <w:top w:w="0" w:type="dxa"/>
          <w:left w:w="0" w:type="dxa"/>
          <w:bottom w:w="0" w:type="dxa"/>
          <w:right w:w="0" w:type="dxa"/>
        </w:tblCellMar>
      </w:tblPr>
      <w:tblGrid>
        <w:gridCol w:w="4295"/>
        <w:gridCol w:w="90"/>
        <w:gridCol w:w="170"/>
        <w:gridCol w:w="830"/>
        <w:gridCol w:w="185"/>
        <w:gridCol w:w="90"/>
        <w:gridCol w:w="170"/>
        <w:gridCol w:w="830"/>
        <w:gridCol w:w="185"/>
        <w:gridCol w:w="90"/>
        <w:gridCol w:w="170"/>
        <w:gridCol w:w="1115"/>
        <w:gridCol w:w="230"/>
      </w:tblGrid>
      <w:tr>
        <w:trPr/>
        <w:tc>
          <w:tcPr>
            <w:tcW w:w="4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835" w:type="dxa"/>
            <w:gridSpan w:val="10"/>
            <w:tcBorders>
              <w:bottom w:val="single" w:sz="6" w:space="0" w:color="000000"/>
            </w:tcBorders>
            <w:tcMar>
              <w:bottom w:w="28" w:type="dxa"/>
            </w:tcMar>
            <w:vAlign w:val="center"/>
          </w:tcPr>
          <w:p>
            <w:pPr>
              <w:pStyle w:val="TableContents"/>
              <w:bidi w:val="0"/>
              <w:spacing w:before="0" w:after="283"/>
              <w:jc w:val="center"/>
              <w:rPr/>
            </w:pPr>
            <w:r>
              <w:rPr>
                <w:b/>
                <w:spacing w:val="0"/>
              </w:rPr>
              <w:t>Three Months Ended June 30,</w:t>
            </w:r>
            <w:r>
              <w:rPr/>
              <w:t xml:space="preserve"> </w:t>
            </w:r>
          </w:p>
        </w:tc>
        <w:tc>
          <w:tcPr>
            <w:tcW w:w="230" w:type="dxa"/>
            <w:tcBorders/>
          </w:tcPr>
          <w:p>
            <w:pPr>
              <w:pStyle w:val="TableContents"/>
              <w:bidi w:val="0"/>
              <w:spacing w:before="0" w:after="283"/>
              <w:jc w:val="left"/>
              <w:rPr>
                <w:sz w:val="4"/>
                <w:szCs w:val="4"/>
              </w:rPr>
            </w:pPr>
            <w:r>
              <w:rPr>
                <w:sz w:val="4"/>
                <w:szCs w:val="4"/>
              </w:rPr>
            </w:r>
          </w:p>
        </w:tc>
      </w:tr>
      <w:tr>
        <w:trPr/>
        <w:tc>
          <w:tcPr>
            <w:tcW w:w="4295" w:type="dxa"/>
            <w:tcBorders/>
            <w:vAlign w:val="center"/>
          </w:tcPr>
          <w:p>
            <w:pPr>
              <w:pStyle w:val="TableContents"/>
              <w:bidi w:val="0"/>
              <w:spacing w:before="0" w:after="283"/>
              <w:jc w:val="left"/>
              <w:rPr>
                <w:i/>
                <w:spacing w:val="0"/>
              </w:rPr>
            </w:pPr>
            <w:r>
              <w:rPr>
                <w:i/>
                <w:spacing w:val="0"/>
              </w:rPr>
              <w:t>(in thousands)</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r>
          </w:p>
        </w:tc>
        <w:tc>
          <w:tcPr>
            <w:tcW w:w="830" w:type="dxa"/>
            <w:tcBorders>
              <w:bottom w:val="single" w:sz="6" w:space="0" w:color="000000"/>
            </w:tcBorders>
            <w:tcMar>
              <w:bottom w:w="28" w:type="dxa"/>
            </w:tcMar>
            <w:vAlign w:val="center"/>
          </w:tcPr>
          <w:p>
            <w:pPr>
              <w:pStyle w:val="TableContents"/>
              <w:bidi w:val="0"/>
              <w:spacing w:before="0" w:after="283"/>
              <w:jc w:val="center"/>
              <w:rPr>
                <w:b/>
                <w:spacing w:val="0"/>
              </w:rPr>
            </w:pPr>
            <w:r>
              <w:rPr>
                <w:b/>
                <w:spacing w:val="0"/>
              </w:rPr>
              <w:t>2026</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r>
          </w:p>
        </w:tc>
        <w:tc>
          <w:tcPr>
            <w:tcW w:w="830" w:type="dxa"/>
            <w:tcBorders>
              <w:bottom w:val="single" w:sz="6" w:space="0" w:color="000000"/>
            </w:tcBorders>
            <w:tcMar>
              <w:bottom w:w="28" w:type="dxa"/>
            </w:tcMar>
            <w:vAlign w:val="center"/>
          </w:tcPr>
          <w:p>
            <w:pPr>
              <w:pStyle w:val="TableContents"/>
              <w:bidi w:val="0"/>
              <w:spacing w:before="0" w:after="283"/>
              <w:jc w:val="center"/>
              <w:rPr>
                <w:b/>
                <w:spacing w:val="0"/>
              </w:rPr>
            </w:pPr>
            <w:r>
              <w:rPr>
                <w:b/>
                <w:spacing w:val="0"/>
              </w:rPr>
              <w:t>2025</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r>
          </w:p>
        </w:tc>
        <w:tc>
          <w:tcPr>
            <w:tcW w:w="1115" w:type="dxa"/>
            <w:tcBorders>
              <w:bottom w:val="single" w:sz="6" w:space="0" w:color="000000"/>
            </w:tcBorders>
            <w:tcMar>
              <w:bottom w:w="28" w:type="dxa"/>
            </w:tcMar>
            <w:vAlign w:val="center"/>
          </w:tcPr>
          <w:p>
            <w:pPr>
              <w:pStyle w:val="TableContents"/>
              <w:bidi w:val="0"/>
              <w:spacing w:before="0" w:after="283"/>
              <w:jc w:val="center"/>
              <w:rPr>
                <w:b/>
                <w:spacing w:val="0"/>
              </w:rPr>
            </w:pPr>
            <w:r>
              <w:rPr>
                <w:b/>
                <w:spacing w:val="0"/>
              </w:rPr>
              <w:t>Increase</w:t>
              <w:br/>
              <w:t>(Decrease)</w:t>
            </w:r>
          </w:p>
        </w:tc>
        <w:tc>
          <w:tcPr>
            <w:tcW w:w="230" w:type="dxa"/>
            <w:tcBorders/>
          </w:tcPr>
          <w:p>
            <w:pPr>
              <w:pStyle w:val="TableContents"/>
              <w:bidi w:val="0"/>
              <w:spacing w:before="0" w:after="283"/>
              <w:jc w:val="left"/>
              <w:rPr>
                <w:sz w:val="4"/>
                <w:szCs w:val="4"/>
              </w:rPr>
            </w:pPr>
            <w:r>
              <w:rPr>
                <w:sz w:val="4"/>
                <w:szCs w:val="4"/>
              </w:rPr>
            </w:r>
          </w:p>
        </w:tc>
      </w:tr>
      <w:tr>
        <w:trPr/>
        <w:tc>
          <w:tcPr>
            <w:tcW w:w="4295" w:type="dxa"/>
            <w:tcBorders/>
            <w:shd w:fill="CCEEFF" w:val="clear"/>
            <w:vAlign w:val="center"/>
          </w:tcPr>
          <w:p>
            <w:pPr>
              <w:pStyle w:val="TableContents"/>
              <w:bidi w:val="0"/>
              <w:spacing w:before="0" w:after="0"/>
              <w:jc w:val="left"/>
              <w:rPr/>
            </w:pPr>
            <w:r>
              <w:rPr/>
              <w:t xml:space="preserve">Revenues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w:t>
            </w:r>
          </w:p>
        </w:tc>
        <w:tc>
          <w:tcPr>
            <w:tcW w:w="830" w:type="dxa"/>
            <w:tcBorders/>
            <w:shd w:fill="CCEEFF" w:val="clear"/>
            <w:vAlign w:val="center"/>
          </w:tcPr>
          <w:p>
            <w:pPr>
              <w:pStyle w:val="TableContents"/>
              <w:bidi w:val="0"/>
              <w:spacing w:before="0" w:after="283"/>
              <w:jc w:val="right"/>
              <w:rPr/>
            </w:pPr>
            <w:r>
              <w:rPr/>
              <w:t>124,395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w:t>
            </w:r>
          </w:p>
        </w:tc>
        <w:tc>
          <w:tcPr>
            <w:tcW w:w="830" w:type="dxa"/>
            <w:tcBorders/>
            <w:shd w:fill="CCEEFF" w:val="clear"/>
            <w:vAlign w:val="center"/>
          </w:tcPr>
          <w:p>
            <w:pPr>
              <w:pStyle w:val="TableContents"/>
              <w:bidi w:val="0"/>
              <w:spacing w:before="0" w:after="283"/>
              <w:jc w:val="right"/>
              <w:rPr/>
            </w:pPr>
            <w:r>
              <w:rPr/>
              <w:t>121,984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w:t>
            </w:r>
          </w:p>
        </w:tc>
        <w:tc>
          <w:tcPr>
            <w:tcW w:w="1115" w:type="dxa"/>
            <w:tcBorders/>
            <w:shd w:fill="CCEEFF" w:val="clear"/>
            <w:vAlign w:val="center"/>
          </w:tcPr>
          <w:p>
            <w:pPr>
              <w:pStyle w:val="TableContents"/>
              <w:bidi w:val="0"/>
              <w:spacing w:before="0" w:after="283"/>
              <w:jc w:val="right"/>
              <w:rPr/>
            </w:pPr>
            <w:r>
              <w:rPr/>
              <w:t>2,411</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pPr>
            <w:r>
              <w:rPr/>
              <w:t xml:space="preserve">Cost of product revenue </w:t>
            </w:r>
          </w:p>
        </w:tc>
        <w:tc>
          <w:tcPr>
            <w:tcW w:w="90" w:type="dxa"/>
            <w:tcBorders>
              <w:bottom w:val="single" w:sz="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38,118</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54,757</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115" w:type="dxa"/>
            <w:tcBorders>
              <w:bottom w:val="single" w:sz="6" w:space="0" w:color="000000"/>
            </w:tcBorders>
            <w:tcMar>
              <w:bottom w:w="28" w:type="dxa"/>
            </w:tcMar>
            <w:vAlign w:val="center"/>
          </w:tcPr>
          <w:p>
            <w:pPr>
              <w:pStyle w:val="TableContents"/>
              <w:bidi w:val="0"/>
              <w:spacing w:before="0" w:after="283"/>
              <w:jc w:val="right"/>
              <w:rPr/>
            </w:pPr>
            <w:r>
              <w:rPr/>
              <w:t>(16,639</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pPr>
            <w:r>
              <w:rPr/>
              <w:t xml:space="preserve">Gross profit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86,277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67,227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15" w:type="dxa"/>
            <w:tcBorders/>
            <w:shd w:fill="CCEEFF" w:val="clear"/>
            <w:vAlign w:val="center"/>
          </w:tcPr>
          <w:p>
            <w:pPr>
              <w:pStyle w:val="TableContents"/>
              <w:bidi w:val="0"/>
              <w:spacing w:before="0" w:after="283"/>
              <w:jc w:val="right"/>
              <w:rPr/>
            </w:pPr>
            <w:r>
              <w:rPr/>
              <w:t>19,050</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pPr>
            <w:r>
              <w:rPr/>
              <w:t xml:space="preserve">Research and development expenses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6,014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1,031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4,983</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pPr>
            <w:r>
              <w:rPr/>
              <w:t xml:space="preserve">Plasma center operating expenses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1,026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1,152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15" w:type="dxa"/>
            <w:tcBorders/>
            <w:shd w:fill="CCEEFF" w:val="clear"/>
            <w:vAlign w:val="center"/>
          </w:tcPr>
          <w:p>
            <w:pPr>
              <w:pStyle w:val="TableContents"/>
              <w:bidi w:val="0"/>
              <w:spacing w:before="0" w:after="283"/>
              <w:jc w:val="right"/>
              <w:rPr/>
            </w:pPr>
            <w:r>
              <w:rPr/>
              <w:t>(126</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pPr>
            <w:r>
              <w:rPr/>
              <w:t xml:space="preserve">Amortization of intangibles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55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32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23</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pPr>
            <w:r>
              <w:rPr/>
              <w:t xml:space="preserve">Selling, general and administrative expenses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26,737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22,214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115" w:type="dxa"/>
            <w:tcBorders>
              <w:bottom w:val="single" w:sz="6" w:space="0" w:color="000000"/>
            </w:tcBorders>
            <w:shd w:fill="CCEEFF" w:val="clear"/>
            <w:tcMar>
              <w:bottom w:w="28" w:type="dxa"/>
            </w:tcMar>
            <w:vAlign w:val="center"/>
          </w:tcPr>
          <w:p>
            <w:pPr>
              <w:pStyle w:val="TableContents"/>
              <w:bidi w:val="0"/>
              <w:spacing w:before="0" w:after="283"/>
              <w:jc w:val="right"/>
              <w:rPr/>
            </w:pPr>
            <w:r>
              <w:rPr/>
              <w:t>4,523</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pPr>
            <w:r>
              <w:rPr/>
              <w:t xml:space="preserve">Income from operations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52,445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42,798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9,647</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pPr>
            <w:r>
              <w:rPr/>
              <w:t xml:space="preserve">Interest and other income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1,238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400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15" w:type="dxa"/>
            <w:tcBorders/>
            <w:shd w:fill="CCEEFF" w:val="clear"/>
            <w:vAlign w:val="center"/>
          </w:tcPr>
          <w:p>
            <w:pPr>
              <w:pStyle w:val="TableContents"/>
              <w:bidi w:val="0"/>
              <w:spacing w:before="0" w:after="283"/>
              <w:jc w:val="right"/>
              <w:rPr/>
            </w:pPr>
            <w:r>
              <w:rPr/>
              <w:t>838</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pPr>
            <w:r>
              <w:rPr/>
              <w:t xml:space="preserve">Interest expense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(3,424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(1,834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(1,590</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pPr>
            <w:r>
              <w:rPr/>
              <w:t xml:space="preserve">Loss on extinguishment of debt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(1,159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15" w:type="dxa"/>
            <w:tcBorders/>
            <w:shd w:fill="CCEEFF" w:val="clear"/>
            <w:vAlign w:val="center"/>
          </w:tcPr>
          <w:p>
            <w:pPr>
              <w:pStyle w:val="TableContents"/>
              <w:bidi w:val="0"/>
              <w:spacing w:before="0" w:after="283"/>
              <w:jc w:val="right"/>
              <w:rPr/>
            </w:pPr>
            <w:r>
              <w:rPr/>
              <w:t>1,159</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pPr>
            <w:r>
              <w:rPr/>
              <w:t xml:space="preserve">Other expense, net </w:t>
            </w:r>
          </w:p>
        </w:tc>
        <w:tc>
          <w:tcPr>
            <w:tcW w:w="90" w:type="dxa"/>
            <w:tcBorders>
              <w:bottom w:val="single" w:sz="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(22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(108</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115" w:type="dxa"/>
            <w:tcBorders>
              <w:bottom w:val="single" w:sz="6" w:space="0" w:color="000000"/>
            </w:tcBorders>
            <w:tcMar>
              <w:bottom w:w="28" w:type="dxa"/>
            </w:tcMar>
            <w:vAlign w:val="center"/>
          </w:tcPr>
          <w:p>
            <w:pPr>
              <w:pStyle w:val="TableContents"/>
              <w:bidi w:val="0"/>
              <w:spacing w:before="0" w:after="283"/>
              <w:jc w:val="right"/>
              <w:rPr/>
            </w:pPr>
            <w:r>
              <w:rPr/>
              <w:t>86</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pPr>
            <w:r>
              <w:rPr/>
              <w:t xml:space="preserve">Income before taxes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50,237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40,097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15" w:type="dxa"/>
            <w:tcBorders/>
            <w:shd w:fill="CCEEFF" w:val="clear"/>
            <w:vAlign w:val="center"/>
          </w:tcPr>
          <w:p>
            <w:pPr>
              <w:pStyle w:val="TableContents"/>
              <w:bidi w:val="0"/>
              <w:spacing w:before="0" w:after="283"/>
              <w:jc w:val="right"/>
              <w:rPr/>
            </w:pPr>
            <w:r>
              <w:rPr/>
              <w:t>10,140</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pPr>
            <w:r>
              <w:rPr/>
              <w:t xml:space="preserve">Provision for income taxes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12,415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5,878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115" w:type="dxa"/>
            <w:tcBorders>
              <w:bottom w:val="single" w:sz="6" w:space="0" w:color="000000"/>
            </w:tcBorders>
            <w:tcMar>
              <w:bottom w:w="28" w:type="dxa"/>
            </w:tcMar>
            <w:vAlign w:val="center"/>
          </w:tcPr>
          <w:p>
            <w:pPr>
              <w:pStyle w:val="TableContents"/>
              <w:bidi w:val="0"/>
              <w:spacing w:before="0" w:after="283"/>
              <w:jc w:val="right"/>
              <w:rPr/>
            </w:pPr>
            <w:r>
              <w:rPr/>
              <w:t>6,537</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pPr>
            <w:r>
              <w:rPr/>
              <w:t xml:space="preserve">Net income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37,822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34,219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1115" w:type="dxa"/>
            <w:tcBorders>
              <w:bottom w:val="single" w:sz="6" w:space="0" w:color="000000"/>
            </w:tcBorders>
            <w:shd w:fill="CCEEFF" w:val="clear"/>
            <w:tcMar>
              <w:bottom w:w="28" w:type="dxa"/>
            </w:tcMar>
            <w:vAlign w:val="center"/>
          </w:tcPr>
          <w:p>
            <w:pPr>
              <w:pStyle w:val="TableContents"/>
              <w:bidi w:val="0"/>
              <w:spacing w:before="0" w:after="283"/>
              <w:jc w:val="right"/>
              <w:rPr/>
            </w:pPr>
            <w:r>
              <w:rPr/>
              <w:t>3,603</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pPr>
            <w:r>
              <w:rPr/>
              <w:t xml:space="preserve">Adjusted EBITDA*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61,846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50,769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1115" w:type="dxa"/>
            <w:tcBorders>
              <w:bottom w:val="single" w:sz="6" w:space="0" w:color="000000"/>
            </w:tcBorders>
            <w:shd w:fill="CCEEFF" w:val="clear"/>
            <w:tcMar>
              <w:bottom w:w="28" w:type="dxa"/>
            </w:tcMar>
            <w:vAlign w:val="center"/>
          </w:tcPr>
          <w:p>
            <w:pPr>
              <w:pStyle w:val="TableContents"/>
              <w:bidi w:val="0"/>
              <w:spacing w:before="0" w:after="283"/>
              <w:jc w:val="right"/>
              <w:rPr/>
            </w:pPr>
            <w:r>
              <w:rPr/>
              <w:t>11,077</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pPr>
            <w:r>
              <w:rPr/>
              <w:t xml:space="preserve">Adjusted Net Income* </w:t>
            </w:r>
          </w:p>
        </w:tc>
        <w:tc>
          <w:tcPr>
            <w:tcW w:w="90" w:type="dxa"/>
            <w:tcBorders>
              <w:bottom w:val="single" w:sz="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w:t>
            </w:r>
          </w:p>
        </w:tc>
        <w:tc>
          <w:tcPr>
            <w:tcW w:w="830" w:type="dxa"/>
            <w:tcBorders>
              <w:bottom w:val="single" w:sz="6" w:space="0" w:color="000000"/>
            </w:tcBorders>
            <w:tcMar>
              <w:bottom w:w="28" w:type="dxa"/>
            </w:tcMar>
            <w:vAlign w:val="center"/>
          </w:tcPr>
          <w:p>
            <w:pPr>
              <w:pStyle w:val="TableContents"/>
              <w:bidi w:val="0"/>
              <w:spacing w:before="0" w:after="283"/>
              <w:jc w:val="right"/>
              <w:rPr/>
            </w:pPr>
            <w:r>
              <w:rPr/>
              <w:t>38,957</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w:t>
            </w:r>
          </w:p>
        </w:tc>
        <w:tc>
          <w:tcPr>
            <w:tcW w:w="830" w:type="dxa"/>
            <w:tcBorders>
              <w:bottom w:val="single" w:sz="6" w:space="0" w:color="000000"/>
            </w:tcBorders>
            <w:tcMar>
              <w:bottom w:w="28" w:type="dxa"/>
            </w:tcMar>
            <w:vAlign w:val="center"/>
          </w:tcPr>
          <w:p>
            <w:pPr>
              <w:pStyle w:val="TableContents"/>
              <w:bidi w:val="0"/>
              <w:spacing w:before="0" w:after="283"/>
              <w:jc w:val="right"/>
              <w:rPr/>
            </w:pPr>
            <w:r>
              <w:rPr/>
              <w:t>36,035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w:t>
            </w:r>
          </w:p>
        </w:tc>
        <w:tc>
          <w:tcPr>
            <w:tcW w:w="1115" w:type="dxa"/>
            <w:tcBorders>
              <w:bottom w:val="single" w:sz="6" w:space="0" w:color="000000"/>
            </w:tcBorders>
            <w:tcMar>
              <w:bottom w:w="28" w:type="dxa"/>
            </w:tcMar>
            <w:vAlign w:val="center"/>
          </w:tcPr>
          <w:p>
            <w:pPr>
              <w:pStyle w:val="TableContents"/>
              <w:bidi w:val="0"/>
              <w:spacing w:before="0" w:after="283"/>
              <w:jc w:val="right"/>
              <w:rPr/>
            </w:pPr>
            <w:r>
              <w:rPr/>
              <w:t>2,922</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108" w:right="0" w:hanging="0"/>
        <w:jc w:val="left"/>
        <w:rPr>
          <w:rFonts w:ascii="Times New Roman" w:hAnsi="Times New Roman"/>
          <w:sz w:val="20"/>
        </w:rPr>
      </w:pPr>
      <w:r>
        <w:rPr>
          <w:rFonts w:ascii="Times New Roman" w:hAnsi="Times New Roman"/>
          <w:i/>
          <w:sz w:val="20"/>
        </w:rPr>
        <w:t>* - See Non-GAAP Financial Measures appearing at the end of this discussion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Revenues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recorded total revenues of $124.4 million for the three months ended June 30, 2026, as compared to $122.0 million for the three months ended June 30, 2025, an increase of $2.4 million, or approximately 2.0%. Revenues by product for the three months ended June 30, 2026 and 2025 were as follows: </w:t>
      </w:r>
    </w:p>
    <w:p>
      <w:pPr>
        <w:pStyle w:val="TextBody"/>
        <w:bidi w:val="0"/>
        <w:spacing w:before="0" w:after="0"/>
        <w:jc w:val="both"/>
        <w:rPr/>
      </w:pPr>
      <w:r>
        <w:rPr/>
        <w:t xml:space="preserve">  </w:t>
      </w:r>
    </w:p>
    <w:tbl>
      <w:tblPr>
        <w:tblW w:w="9305" w:type="dxa"/>
        <w:jc w:val="left"/>
        <w:tblInd w:w="0" w:type="dxa"/>
        <w:tblLayout w:type="fixed"/>
        <w:tblCellMar>
          <w:top w:w="0" w:type="dxa"/>
          <w:left w:w="0" w:type="dxa"/>
          <w:bottom w:w="0" w:type="dxa"/>
          <w:right w:w="0" w:type="dxa"/>
        </w:tblCellMar>
      </w:tblPr>
      <w:tblGrid>
        <w:gridCol w:w="3305"/>
        <w:gridCol w:w="90"/>
        <w:gridCol w:w="170"/>
        <w:gridCol w:w="830"/>
        <w:gridCol w:w="90"/>
        <w:gridCol w:w="90"/>
        <w:gridCol w:w="170"/>
        <w:gridCol w:w="830"/>
        <w:gridCol w:w="90"/>
        <w:gridCol w:w="90"/>
        <w:gridCol w:w="170"/>
        <w:gridCol w:w="1175"/>
        <w:gridCol w:w="185"/>
        <w:gridCol w:w="90"/>
        <w:gridCol w:w="90"/>
        <w:gridCol w:w="1475"/>
        <w:gridCol w:w="365"/>
      </w:tblGrid>
      <w:tr>
        <w:trPr/>
        <w:tc>
          <w:tcPr>
            <w:tcW w:w="33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5375" w:type="dxa"/>
            <w:gridSpan w:val="13"/>
            <w:tcBorders>
              <w:bottom w:val="single" w:sz="6" w:space="0" w:color="000000"/>
            </w:tcBorders>
            <w:tcMar>
              <w:bottom w:w="28" w:type="dxa"/>
            </w:tcMar>
            <w:vAlign w:val="center"/>
          </w:tcPr>
          <w:p>
            <w:pPr>
              <w:pStyle w:val="TableContents"/>
              <w:bidi w:val="0"/>
              <w:spacing w:before="0" w:after="283"/>
              <w:jc w:val="center"/>
              <w:rPr/>
            </w:pPr>
            <w:r>
              <w:rPr>
                <w:b/>
                <w:spacing w:val="0"/>
              </w:rPr>
              <w:t>Three Months Ended June 30,</w:t>
            </w:r>
            <w:r>
              <w:rPr/>
              <w:t xml:space="preserve"> </w:t>
            </w:r>
          </w:p>
        </w:tc>
        <w:tc>
          <w:tcPr>
            <w:tcW w:w="365" w:type="dxa"/>
            <w:tcBorders/>
            <w:vAlign w:val="center"/>
          </w:tcPr>
          <w:p>
            <w:pPr>
              <w:pStyle w:val="TableContents"/>
              <w:bidi w:val="0"/>
              <w:spacing w:before="0" w:after="283"/>
              <w:jc w:val="center"/>
              <w:rPr/>
            </w:pPr>
            <w:r>
              <w:rPr/>
              <w:t> </w:t>
            </w:r>
          </w:p>
        </w:tc>
      </w:tr>
      <w:tr>
        <w:trPr/>
        <w:tc>
          <w:tcPr>
            <w:tcW w:w="33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pPr>
            <w:r>
              <w:rPr>
                <w:b/>
              </w:rPr>
              <w:t>2026</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pPr>
            <w:r>
              <w:rPr>
                <w:b/>
              </w:rP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75" w:type="dxa"/>
            <w:tcBorders>
              <w:bottom w:val="single" w:sz="6" w:space="0" w:color="000000"/>
            </w:tcBorders>
            <w:tcMar>
              <w:bottom w:w="28" w:type="dxa"/>
            </w:tcMar>
            <w:vAlign w:val="center"/>
          </w:tcPr>
          <w:p>
            <w:pPr>
              <w:pStyle w:val="TableContents"/>
              <w:bidi w:val="0"/>
              <w:spacing w:before="0" w:after="283"/>
              <w:jc w:val="center"/>
              <w:rPr/>
            </w:pPr>
            <w:r>
              <w:rPr>
                <w:b/>
              </w:rPr>
              <w:t xml:space="preserve">Increase/ </w:t>
              <w:br/>
              <w:t>(Decrease)</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75" w:type="dxa"/>
            <w:tcBorders>
              <w:bottom w:val="single" w:sz="6" w:space="0" w:color="000000"/>
            </w:tcBorders>
            <w:tcMar>
              <w:bottom w:w="28" w:type="dxa"/>
            </w:tcMar>
            <w:vAlign w:val="center"/>
          </w:tcPr>
          <w:p>
            <w:pPr>
              <w:pStyle w:val="TableContents"/>
              <w:bidi w:val="0"/>
              <w:spacing w:before="0" w:after="283"/>
              <w:jc w:val="center"/>
              <w:rPr/>
            </w:pPr>
            <w:r>
              <w:rPr>
                <w:b/>
              </w:rPr>
              <w:t>Increase/</w:t>
              <w:br/>
              <w:t>(Decrease) %</w:t>
            </w:r>
            <w:r>
              <w:rPr/>
              <w:t xml:space="preserve"> </w:t>
            </w:r>
          </w:p>
        </w:tc>
        <w:tc>
          <w:tcPr>
            <w:tcW w:w="365" w:type="dxa"/>
            <w:tcBorders/>
            <w:vAlign w:val="center"/>
          </w:tcPr>
          <w:p>
            <w:pPr>
              <w:pStyle w:val="TableContents"/>
              <w:bidi w:val="0"/>
              <w:spacing w:before="0" w:after="283"/>
              <w:jc w:val="center"/>
              <w:rPr/>
            </w:pPr>
            <w:r>
              <w:rPr/>
              <w:t> </w:t>
            </w:r>
          </w:p>
        </w:tc>
      </w:tr>
      <w:tr>
        <w:trPr/>
        <w:tc>
          <w:tcPr>
            <w:tcW w:w="3305" w:type="dxa"/>
            <w:tcBorders/>
            <w:vAlign w:val="center"/>
          </w:tcPr>
          <w:p>
            <w:pPr>
              <w:pStyle w:val="TableContents"/>
              <w:bidi w:val="0"/>
              <w:spacing w:before="0" w:after="0"/>
              <w:jc w:val="left"/>
              <w:rPr/>
            </w:pPr>
            <w:r>
              <w:rPr>
                <w:i/>
              </w:rPr>
              <w:t>(in thousands)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jc w:val="left"/>
              <w:rPr/>
            </w:pPr>
            <w:r>
              <w:rPr/>
              <w:t xml:space="preserve">ASCENIV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w:t>
            </w:r>
          </w:p>
        </w:tc>
        <w:tc>
          <w:tcPr>
            <w:tcW w:w="830" w:type="dxa"/>
            <w:tcBorders/>
            <w:shd w:fill="CCEEFF" w:val="clear"/>
            <w:vAlign w:val="center"/>
          </w:tcPr>
          <w:p>
            <w:pPr>
              <w:pStyle w:val="TableContents"/>
              <w:bidi w:val="0"/>
              <w:spacing w:before="0" w:after="283"/>
              <w:jc w:val="right"/>
              <w:rPr/>
            </w:pPr>
            <w:r>
              <w:rPr/>
              <w:t>102,921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w:t>
            </w:r>
          </w:p>
        </w:tc>
        <w:tc>
          <w:tcPr>
            <w:tcW w:w="830" w:type="dxa"/>
            <w:tcBorders/>
            <w:shd w:fill="CCEEFF" w:val="clear"/>
            <w:vAlign w:val="center"/>
          </w:tcPr>
          <w:p>
            <w:pPr>
              <w:pStyle w:val="TableContents"/>
              <w:bidi w:val="0"/>
              <w:spacing w:before="0" w:after="283"/>
              <w:jc w:val="right"/>
              <w:rPr/>
            </w:pPr>
            <w:r>
              <w:rPr/>
              <w:t>83,321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w:t>
            </w:r>
          </w:p>
        </w:tc>
        <w:tc>
          <w:tcPr>
            <w:tcW w:w="1175" w:type="dxa"/>
            <w:tcBorders/>
            <w:shd w:fill="CCEEFF" w:val="clear"/>
            <w:vAlign w:val="center"/>
          </w:tcPr>
          <w:p>
            <w:pPr>
              <w:pStyle w:val="TableContents"/>
              <w:bidi w:val="0"/>
              <w:spacing w:before="0" w:after="283"/>
              <w:jc w:val="right"/>
              <w:rPr/>
            </w:pPr>
            <w:r>
              <w:rPr/>
              <w:t>19,600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475" w:type="dxa"/>
            <w:tcBorders/>
            <w:shd w:fill="CCEEFF" w:val="clear"/>
            <w:vAlign w:val="center"/>
          </w:tcPr>
          <w:p>
            <w:pPr>
              <w:pStyle w:val="TableContents"/>
              <w:bidi w:val="0"/>
              <w:spacing w:before="0" w:after="283"/>
              <w:jc w:val="right"/>
              <w:rPr/>
            </w:pPr>
            <w:r>
              <w:rPr/>
              <w:t>23.5</w:t>
            </w:r>
          </w:p>
        </w:tc>
        <w:tc>
          <w:tcPr>
            <w:tcW w:w="365" w:type="dxa"/>
            <w:tcBorders/>
            <w:shd w:fill="CCEEFF" w:val="clear"/>
            <w:vAlign w:val="center"/>
          </w:tcPr>
          <w:p>
            <w:pPr>
              <w:pStyle w:val="TableContents"/>
              <w:bidi w:val="0"/>
              <w:spacing w:before="0" w:after="283"/>
              <w:jc w:val="left"/>
              <w:rPr/>
            </w:pPr>
            <w:r>
              <w:rPr/>
              <w:t>%</w:t>
            </w:r>
          </w:p>
        </w:tc>
      </w:tr>
      <w:tr>
        <w:trPr/>
        <w:tc>
          <w:tcPr>
            <w:tcW w:w="3305" w:type="dxa"/>
            <w:tcBorders/>
            <w:vAlign w:val="center"/>
          </w:tcPr>
          <w:p>
            <w:pPr>
              <w:pStyle w:val="TableContents"/>
              <w:bidi w:val="0"/>
              <w:spacing w:before="0" w:after="0"/>
              <w:jc w:val="left"/>
              <w:rPr/>
            </w:pPr>
            <w:r>
              <w:rPr/>
              <w:t xml:space="preserve">BIVIGAM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19,419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37,710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75" w:type="dxa"/>
            <w:tcBorders/>
            <w:vAlign w:val="center"/>
          </w:tcPr>
          <w:p>
            <w:pPr>
              <w:pStyle w:val="TableContents"/>
              <w:bidi w:val="0"/>
              <w:spacing w:before="0" w:after="283"/>
              <w:jc w:val="right"/>
              <w:rPr/>
            </w:pPr>
            <w:r>
              <w:rPr/>
              <w:t>(18,291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475" w:type="dxa"/>
            <w:tcBorders/>
            <w:vAlign w:val="center"/>
          </w:tcPr>
          <w:p>
            <w:pPr>
              <w:pStyle w:val="TableContents"/>
              <w:bidi w:val="0"/>
              <w:spacing w:before="0" w:after="283"/>
              <w:jc w:val="right"/>
              <w:rPr/>
            </w:pPr>
            <w:r>
              <w:rPr/>
              <w:t>(48.5</w:t>
            </w:r>
          </w:p>
        </w:tc>
        <w:tc>
          <w:tcPr>
            <w:tcW w:w="365" w:type="dxa"/>
            <w:tcBorders/>
            <w:vAlign w:val="center"/>
          </w:tcPr>
          <w:p>
            <w:pPr>
              <w:pStyle w:val="TableContents"/>
              <w:bidi w:val="0"/>
              <w:spacing w:before="0" w:after="283"/>
              <w:jc w:val="left"/>
              <w:rPr/>
            </w:pPr>
            <w:r>
              <w:rPr/>
              <w:t>)%</w:t>
            </w:r>
          </w:p>
        </w:tc>
      </w:tr>
      <w:tr>
        <w:trPr/>
        <w:tc>
          <w:tcPr>
            <w:tcW w:w="3305" w:type="dxa"/>
            <w:tcBorders/>
            <w:shd w:fill="CCEEFF" w:val="clear"/>
            <w:vAlign w:val="center"/>
          </w:tcPr>
          <w:p>
            <w:pPr>
              <w:pStyle w:val="TableContents"/>
              <w:bidi w:val="0"/>
              <w:spacing w:before="0" w:after="0"/>
              <w:jc w:val="left"/>
              <w:rPr/>
            </w:pPr>
            <w:r>
              <w:rPr/>
              <w:t>Intermediates and other products</w:t>
            </w:r>
            <w:r>
              <w:rPr>
                <w:position w:val="5"/>
                <w:sz w:val="13"/>
                <w:sz w:val="16"/>
              </w:rPr>
              <w:t>(1)</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1,297</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917</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175" w:type="dxa"/>
            <w:tcBorders>
              <w:bottom w:val="single" w:sz="6" w:space="0" w:color="000000"/>
            </w:tcBorders>
            <w:shd w:fill="CCEEFF" w:val="clear"/>
            <w:tcMar>
              <w:bottom w:w="28" w:type="dxa"/>
            </w:tcMar>
            <w:vAlign w:val="center"/>
          </w:tcPr>
          <w:p>
            <w:pPr>
              <w:pStyle w:val="TableContents"/>
              <w:bidi w:val="0"/>
              <w:spacing w:before="0" w:after="283"/>
              <w:jc w:val="right"/>
              <w:rPr/>
            </w:pPr>
            <w:r>
              <w:rPr/>
              <w:t>380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475" w:type="dxa"/>
            <w:tcBorders>
              <w:bottom w:val="single" w:sz="6" w:space="0" w:color="000000"/>
            </w:tcBorders>
            <w:shd w:fill="CCEEFF" w:val="clear"/>
            <w:tcMar>
              <w:bottom w:w="28" w:type="dxa"/>
            </w:tcMar>
            <w:vAlign w:val="center"/>
          </w:tcPr>
          <w:p>
            <w:pPr>
              <w:pStyle w:val="TableContents"/>
              <w:bidi w:val="0"/>
              <w:spacing w:before="0" w:after="283"/>
              <w:jc w:val="right"/>
              <w:rPr/>
            </w:pPr>
            <w:r>
              <w:rPr/>
              <w:t>41.4</w:t>
            </w:r>
          </w:p>
        </w:tc>
        <w:tc>
          <w:tcPr>
            <w:tcW w:w="36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r>
      <w:tr>
        <w:trPr/>
        <w:tc>
          <w:tcPr>
            <w:tcW w:w="3305" w:type="dxa"/>
            <w:tcBorders/>
            <w:vAlign w:val="center"/>
          </w:tcPr>
          <w:p>
            <w:pPr>
              <w:pStyle w:val="TableContents"/>
              <w:bidi w:val="0"/>
              <w:spacing w:before="0" w:after="0"/>
              <w:jc w:val="left"/>
              <w:rPr/>
            </w:pPr>
            <w:r>
              <w:rPr/>
              <w:t xml:space="preserve">ADMA BioManufacturing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123,637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121,948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75" w:type="dxa"/>
            <w:tcBorders/>
            <w:vAlign w:val="center"/>
          </w:tcPr>
          <w:p>
            <w:pPr>
              <w:pStyle w:val="TableContents"/>
              <w:bidi w:val="0"/>
              <w:spacing w:before="0" w:after="283"/>
              <w:jc w:val="right"/>
              <w:rPr/>
            </w:pPr>
            <w:r>
              <w:rPr/>
              <w:t>1,689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475" w:type="dxa"/>
            <w:tcBorders/>
            <w:vAlign w:val="center"/>
          </w:tcPr>
          <w:p>
            <w:pPr>
              <w:pStyle w:val="TableContents"/>
              <w:bidi w:val="0"/>
              <w:spacing w:before="0" w:after="283"/>
              <w:jc w:val="right"/>
              <w:rPr/>
            </w:pPr>
            <w:r>
              <w:rPr/>
              <w:t>1.4</w:t>
            </w:r>
          </w:p>
        </w:tc>
        <w:tc>
          <w:tcPr>
            <w:tcW w:w="365" w:type="dxa"/>
            <w:tcBorders/>
            <w:vAlign w:val="center"/>
          </w:tcPr>
          <w:p>
            <w:pPr>
              <w:pStyle w:val="TableContents"/>
              <w:bidi w:val="0"/>
              <w:spacing w:before="0" w:after="283"/>
              <w:jc w:val="left"/>
              <w:rPr/>
            </w:pPr>
            <w:r>
              <w:rPr/>
              <w:t>%</w:t>
            </w:r>
          </w:p>
        </w:tc>
      </w:tr>
      <w:tr>
        <w:trPr/>
        <w:tc>
          <w:tcPr>
            <w:tcW w:w="33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0"/>
              <w:jc w:val="left"/>
              <w:rPr/>
            </w:pPr>
            <w:r>
              <w:rPr/>
              <w:t xml:space="preserve">Plasma Collection Centers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723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75" w:type="dxa"/>
            <w:tcBorders/>
            <w:vAlign w:val="center"/>
          </w:tcPr>
          <w:p>
            <w:pPr>
              <w:pStyle w:val="TableContents"/>
              <w:bidi w:val="0"/>
              <w:spacing w:before="0" w:after="283"/>
              <w:jc w:val="right"/>
              <w:rPr/>
            </w:pPr>
            <w:r>
              <w:rPr/>
              <w:t>723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475" w:type="dxa"/>
            <w:tcBorders/>
            <w:vAlign w:val="center"/>
          </w:tcPr>
          <w:p>
            <w:pPr>
              <w:pStyle w:val="TableContents"/>
              <w:bidi w:val="0"/>
              <w:spacing w:before="0" w:after="283"/>
              <w:jc w:val="right"/>
              <w:rPr/>
            </w:pPr>
            <w:r>
              <w:rPr/>
              <w:t>100.0</w:t>
            </w:r>
          </w:p>
        </w:tc>
        <w:tc>
          <w:tcPr>
            <w:tcW w:w="365" w:type="dxa"/>
            <w:tcBorders/>
            <w:vAlign w:val="center"/>
          </w:tcPr>
          <w:p>
            <w:pPr>
              <w:pStyle w:val="TableContents"/>
              <w:bidi w:val="0"/>
              <w:spacing w:before="0" w:after="283"/>
              <w:jc w:val="left"/>
              <w:rPr/>
            </w:pPr>
            <w:r>
              <w:rPr/>
              <w:t>%</w:t>
            </w:r>
          </w:p>
        </w:tc>
      </w:tr>
      <w:tr>
        <w:trPr/>
        <w:tc>
          <w:tcPr>
            <w:tcW w:w="3305" w:type="dxa"/>
            <w:tcBorders/>
            <w:shd w:fill="CCEEFF" w:val="clear"/>
            <w:vAlign w:val="center"/>
          </w:tcPr>
          <w:p>
            <w:pPr>
              <w:pStyle w:val="TableContents"/>
              <w:bidi w:val="0"/>
              <w:spacing w:before="0" w:after="0"/>
              <w:jc w:val="left"/>
              <w:rPr/>
            </w:pPr>
            <w:r>
              <w:rPr/>
              <w:t xml:space="preserve">License revenue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175" w:type="dxa"/>
            <w:tcBorders>
              <w:bottom w:val="single" w:sz="6" w:space="0" w:color="000000"/>
            </w:tcBorders>
            <w:shd w:fill="CCEEFF" w:val="clear"/>
            <w:tcMar>
              <w:bottom w:w="28" w:type="dxa"/>
            </w:tcMar>
            <w:vAlign w:val="center"/>
          </w:tcPr>
          <w:p>
            <w:pPr>
              <w:pStyle w:val="TableContents"/>
              <w:bidi w:val="0"/>
              <w:spacing w:before="0" w:after="283"/>
              <w:jc w:val="right"/>
              <w:rPr/>
            </w:pPr>
            <w:r>
              <w:rPr/>
              <w:t>(1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475" w:type="dxa"/>
            <w:tcBorders>
              <w:bottom w:val="single" w:sz="6" w:space="0" w:color="000000"/>
            </w:tcBorders>
            <w:shd w:fill="CCEEFF" w:val="clear"/>
            <w:tcMar>
              <w:bottom w:w="28" w:type="dxa"/>
            </w:tcMar>
            <w:vAlign w:val="center"/>
          </w:tcPr>
          <w:p>
            <w:pPr>
              <w:pStyle w:val="TableContents"/>
              <w:bidi w:val="0"/>
              <w:spacing w:before="0" w:after="283"/>
              <w:jc w:val="right"/>
              <w:rPr/>
            </w:pPr>
            <w:r>
              <w:rPr/>
              <w:t>(2.7</w:t>
            </w:r>
          </w:p>
        </w:tc>
        <w:tc>
          <w:tcPr>
            <w:tcW w:w="365" w:type="dxa"/>
            <w:tcBorders/>
            <w:shd w:fill="CCEEFF" w:val="clear"/>
            <w:vAlign w:val="center"/>
          </w:tcPr>
          <w:p>
            <w:pPr>
              <w:pStyle w:val="TableContents"/>
              <w:bidi w:val="0"/>
              <w:spacing w:before="0" w:after="283"/>
              <w:jc w:val="left"/>
              <w:rPr/>
            </w:pPr>
            <w:r>
              <w:rPr/>
              <w:t>)%</w:t>
            </w:r>
          </w:p>
        </w:tc>
      </w:tr>
      <w:tr>
        <w:trPr/>
        <w:tc>
          <w:tcPr>
            <w:tcW w:w="3305" w:type="dxa"/>
            <w:tcBorders/>
            <w:vAlign w:val="center"/>
          </w:tcPr>
          <w:p>
            <w:pPr>
              <w:pStyle w:val="TableContents"/>
              <w:bidi w:val="0"/>
              <w:spacing w:before="0" w:after="0"/>
              <w:jc w:val="left"/>
              <w:rPr/>
            </w:pPr>
            <w:r>
              <w:rPr>
                <w:b/>
              </w:rPr>
              <w:t>Total Revenues</w:t>
            </w:r>
            <w:r>
              <w:rPr/>
              <w:t xml:space="preserve">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b/>
              </w:rPr>
            </w:pPr>
            <w:r>
              <w:rPr>
                <w:b/>
              </w:rPr>
              <w:t>$</w:t>
            </w:r>
          </w:p>
        </w:tc>
        <w:tc>
          <w:tcPr>
            <w:tcW w:w="830" w:type="dxa"/>
            <w:tcBorders>
              <w:bottom w:val="single" w:sz="6" w:space="0" w:color="000000"/>
            </w:tcBorders>
            <w:tcMar>
              <w:bottom w:w="28" w:type="dxa"/>
            </w:tcMar>
            <w:vAlign w:val="center"/>
          </w:tcPr>
          <w:p>
            <w:pPr>
              <w:pStyle w:val="TableContents"/>
              <w:bidi w:val="0"/>
              <w:spacing w:before="0" w:after="283"/>
              <w:jc w:val="right"/>
              <w:rPr>
                <w:b/>
              </w:rPr>
            </w:pPr>
            <w:r>
              <w:rPr>
                <w:b/>
              </w:rPr>
              <w:t>124,395</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b/>
              </w:rPr>
            </w:pPr>
            <w:r>
              <w:rPr>
                <w:b/>
              </w:rPr>
              <w:t>$</w:t>
            </w:r>
          </w:p>
        </w:tc>
        <w:tc>
          <w:tcPr>
            <w:tcW w:w="830" w:type="dxa"/>
            <w:tcBorders>
              <w:bottom w:val="single" w:sz="6" w:space="0" w:color="000000"/>
            </w:tcBorders>
            <w:tcMar>
              <w:bottom w:w="28" w:type="dxa"/>
            </w:tcMar>
            <w:vAlign w:val="center"/>
          </w:tcPr>
          <w:p>
            <w:pPr>
              <w:pStyle w:val="TableContents"/>
              <w:bidi w:val="0"/>
              <w:spacing w:before="0" w:after="283"/>
              <w:jc w:val="right"/>
              <w:rPr>
                <w:b/>
              </w:rPr>
            </w:pPr>
            <w:r>
              <w:rPr>
                <w:b/>
              </w:rPr>
              <w:t>121,984</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b/>
              </w:rPr>
            </w:pPr>
            <w:r>
              <w:rPr>
                <w:b/>
              </w:rPr>
              <w:t>$</w:t>
            </w:r>
          </w:p>
        </w:tc>
        <w:tc>
          <w:tcPr>
            <w:tcW w:w="1175" w:type="dxa"/>
            <w:tcBorders>
              <w:bottom w:val="single" w:sz="6" w:space="0" w:color="000000"/>
            </w:tcBorders>
            <w:tcMar>
              <w:bottom w:w="28" w:type="dxa"/>
            </w:tcMar>
            <w:vAlign w:val="center"/>
          </w:tcPr>
          <w:p>
            <w:pPr>
              <w:pStyle w:val="TableContents"/>
              <w:bidi w:val="0"/>
              <w:spacing w:before="0" w:after="283"/>
              <w:jc w:val="right"/>
              <w:rPr>
                <w:b/>
              </w:rPr>
            </w:pPr>
            <w:r>
              <w:rPr>
                <w:b/>
              </w:rPr>
              <w:t>2,411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6" w:space="0" w:color="000000"/>
            </w:tcBorders>
            <w:tcMar>
              <w:bottom w:w="28" w:type="dxa"/>
            </w:tcMar>
            <w:vAlign w:val="center"/>
          </w:tcPr>
          <w:p>
            <w:pPr>
              <w:pStyle w:val="TableContents"/>
              <w:bidi w:val="0"/>
              <w:spacing w:before="0" w:after="283"/>
              <w:jc w:val="right"/>
              <w:rPr/>
            </w:pPr>
            <w:r>
              <w:rPr/>
              <w:t> </w:t>
            </w:r>
          </w:p>
        </w:tc>
        <w:tc>
          <w:tcPr>
            <w:tcW w:w="1475" w:type="dxa"/>
            <w:tcBorders>
              <w:bottom w:val="single" w:sz="6" w:space="0" w:color="000000"/>
            </w:tcBorders>
            <w:tcMar>
              <w:bottom w:w="28" w:type="dxa"/>
            </w:tcMar>
            <w:vAlign w:val="center"/>
          </w:tcPr>
          <w:p>
            <w:pPr>
              <w:pStyle w:val="TableContents"/>
              <w:bidi w:val="0"/>
              <w:spacing w:before="0" w:after="283"/>
              <w:jc w:val="right"/>
              <w:rPr>
                <w:b/>
              </w:rPr>
            </w:pPr>
            <w:r>
              <w:rPr>
                <w:b/>
              </w:rPr>
              <w:t>2.0</w:t>
            </w:r>
          </w:p>
        </w:tc>
        <w:tc>
          <w:tcPr>
            <w:tcW w:w="365" w:type="dxa"/>
            <w:tcBorders>
              <w:bottom w:val="single" w:sz="2" w:space="0" w:color="000000"/>
            </w:tcBorders>
            <w:tcMar>
              <w:bottom w:w="28" w:type="dxa"/>
            </w:tcMar>
            <w:vAlign w:val="center"/>
          </w:tcPr>
          <w:p>
            <w:pPr>
              <w:pStyle w:val="TableContents"/>
              <w:bidi w:val="0"/>
              <w:spacing w:before="0" w:after="283"/>
              <w:jc w:val="left"/>
              <w:rPr>
                <w:b/>
              </w:rPr>
            </w:pPr>
            <w:r>
              <w:rPr>
                <w:b/>
              </w:rPr>
              <w:t>%</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position w:val="7"/>
          <w:sz w:val="16"/>
          <w:sz w:val="20"/>
        </w:rPr>
        <w:t>(1)</w:t>
      </w:r>
      <w:r>
        <w:rPr>
          <w:rFonts w:ascii="Times New Roman" w:hAnsi="Times New Roman"/>
          <w:sz w:val="20"/>
        </w:rPr>
        <w:t xml:space="preserve"> Due to Nabi-HB historically representing less than 10% of the Company’s revenue within the ADMA BioManufacturing segment, it has been included under intermediates and other products.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increase in total revenue was primarily driven by the $19.6 million increase in ASCENIV sales, reflecting continued growth in market acceptance of the product, alongside an increase of $0.7 million in Plasma Collection Centers sales and a $0.4 million increase in intermediates and other products. These increases were partially offset by $18.3 million reduction in BIVIGAM sales, reflecting continued competitive pressures in the standard immune globulin market. </w:t>
      </w:r>
    </w:p>
    <w:p>
      <w:pPr>
        <w:pStyle w:val="TextBody"/>
        <w:bidi w:val="0"/>
        <w:spacing w:before="0" w:after="0"/>
        <w:jc w:val="left"/>
        <w:rPr/>
      </w:pPr>
      <w:r>
        <w:rPr/>
        <w:t xml:space="preserve">  </w:t>
      </w:r>
    </w:p>
    <w:p>
      <w:pPr>
        <w:pStyle w:val="TextBody"/>
        <w:bidi w:val="0"/>
        <w:spacing w:before="0" w:after="0"/>
        <w:jc w:val="left"/>
        <w:rPr>
          <w:rFonts w:ascii="Times New Roman" w:hAnsi="Times New Roman"/>
          <w:i/>
          <w:sz w:val="20"/>
        </w:rPr>
      </w:pPr>
      <w:r>
        <w:rPr>
          <w:rFonts w:ascii="Times New Roman" w:hAnsi="Times New Roman"/>
          <w:b/>
          <w:i/>
          <w:sz w:val="20"/>
        </w:rPr>
        <w:t>Cost of Product Revenue and Gross Profit</w:t>
      </w:r>
      <w:r>
        <w:rPr>
          <w:rFonts w:ascii="Times New Roman" w:hAnsi="Times New Roman"/>
          <w: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i w:val="false"/>
          <w:caps w:val="false"/>
          <w:smallCaps w:val="false"/>
          <w:sz w:val="20"/>
        </w:rPr>
      </w:pPr>
      <w:r>
        <w:rPr>
          <w:rFonts w:ascii="Times New Roman" w:hAnsi="Times New Roman"/>
          <w:i w:val="false"/>
          <w:caps w:val="false"/>
          <w:smallCaps w:val="false"/>
          <w:sz w:val="20"/>
        </w:rPr>
        <w:t xml:space="preserve">Cost of product revenue was $38.1 million for the three months ended June 30, 2026, as compared to $54.8 million for the three months ended June 30, 2025. This decrease is primarily attributable to lower volume of BIVIGAM and lower product losses, partially offset by the increase in ASCENIV volume.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i w:val="false"/>
          <w:caps w:val="false"/>
          <w:smallCaps w:val="false"/>
          <w:sz w:val="20"/>
        </w:rPr>
      </w:pPr>
      <w:r>
        <w:rPr>
          <w:rFonts w:ascii="Times New Roman" w:hAnsi="Times New Roman"/>
          <w:i w:val="false"/>
          <w:caps w:val="false"/>
          <w:smallCaps w:val="false"/>
          <w:sz w:val="20"/>
        </w:rPr>
        <w:t xml:space="preserve">For the three months ended June 30, 2026, we had gross profit of $86.3 million, as compared to $67.2 million for the same period of a year ago, which represents gross margin in the second quarter of 2026 of 69.4%, as compared to 55.1% in the second quarter of 2025. The improvement in gross margin is primarily driven by the favorable product mix, along with the margin benefits of the yield enhancement manufacturing process. </w:t>
      </w:r>
    </w:p>
    <w:p>
      <w:pPr>
        <w:pStyle w:val="TextBody"/>
        <w:bidi w:val="0"/>
        <w:spacing w:before="0" w:after="0"/>
        <w:ind w:left="0" w:right="0" w:firstLine="720"/>
        <w:jc w:val="both"/>
        <w:rPr/>
      </w:pPr>
      <w:r>
        <w:rPr/>
        <w:t> </w:t>
      </w:r>
    </w:p>
    <w:p>
      <w:pPr>
        <w:pStyle w:val="TextBody"/>
        <w:bidi w:val="0"/>
        <w:spacing w:before="0" w:after="0"/>
        <w:jc w:val="left"/>
        <w:rPr>
          <w:rFonts w:ascii="Times New Roman" w:hAnsi="Times New Roman"/>
          <w:i/>
          <w:sz w:val="20"/>
        </w:rPr>
      </w:pPr>
      <w:r>
        <w:rPr>
          <w:rFonts w:ascii="Times New Roman" w:hAnsi="Times New Roman"/>
          <w:b/>
          <w:i/>
          <w:sz w:val="20"/>
        </w:rPr>
        <w:t>Research and Development Expenses</w:t>
      </w:r>
      <w:r>
        <w:rPr>
          <w:rFonts w:ascii="Times New Roman" w:hAnsi="Times New Roman"/>
          <w: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4"/>
        </w:rPr>
      </w:pPr>
      <w:r>
        <w:rPr>
          <w:rFonts w:ascii="Times New Roman" w:hAnsi="Times New Roman"/>
          <w:sz w:val="20"/>
        </w:rPr>
        <w:t>Research and development expenses totaled $6.0 million for the second</w:t>
      </w:r>
      <w:r>
        <w:rPr>
          <w:rFonts w:ascii="Times New Roman" w:hAnsi="Times New Roman"/>
          <w:sz w:val="24"/>
        </w:rPr>
        <w:t xml:space="preserve"> </w:t>
      </w:r>
      <w:r>
        <w:rPr>
          <w:rFonts w:ascii="Times New Roman" w:hAnsi="Times New Roman"/>
          <w:sz w:val="20"/>
        </w:rPr>
        <w:t>quarter of 2026, as compared to $1.0 million for the second</w:t>
      </w:r>
      <w:r>
        <w:rPr>
          <w:rFonts w:ascii="Times New Roman" w:hAnsi="Times New Roman"/>
          <w:sz w:val="24"/>
        </w:rPr>
        <w:t xml:space="preserve"> </w:t>
      </w:r>
      <w:r>
        <w:rPr>
          <w:rFonts w:ascii="Times New Roman" w:hAnsi="Times New Roman"/>
          <w:sz w:val="20"/>
        </w:rPr>
        <w:t>quarter of 2025. The increase of $5.0 million is mainly due to the ramp-up of clinical development and trial activities related to our SG-001 development project.</w:t>
      </w:r>
    </w:p>
    <w:p>
      <w:pPr>
        <w:pStyle w:val="TextBody"/>
        <w:bidi w:val="0"/>
        <w:spacing w:before="0" w:after="0"/>
        <w:ind w:left="0" w:right="0" w:firstLine="720"/>
        <w:jc w:val="both"/>
        <w:rPr/>
      </w:pPr>
      <w:r>
        <w:rPr/>
        <w:t> </w:t>
      </w:r>
    </w:p>
    <w:p>
      <w:pPr>
        <w:pStyle w:val="TextBody"/>
        <w:bidi w:val="0"/>
        <w:spacing w:before="0" w:after="0"/>
        <w:jc w:val="left"/>
        <w:rPr>
          <w:rFonts w:ascii="Times New Roman" w:hAnsi="Times New Roman"/>
          <w:i/>
          <w:sz w:val="20"/>
        </w:rPr>
      </w:pPr>
      <w:r>
        <w:rPr>
          <w:rFonts w:ascii="Times New Roman" w:hAnsi="Times New Roman"/>
          <w:b/>
          <w:i/>
          <w:sz w:val="20"/>
        </w:rPr>
        <w:t>Plasma Center Operating Expenses</w:t>
      </w:r>
      <w:r>
        <w:rPr>
          <w:rFonts w:ascii="Times New Roman" w:hAnsi="Times New Roman"/>
          <w: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Plasma center operating expenses, which primarily consist of compensation and benefits for plasma center management and administrative staff, decreased from $1.2 million for the three months ended June 30, 2025 to $1.0 million for the three months ended June 30, 2026, primarily due to the sale of three plasma centers in the first quarter of 2026.</w:t>
      </w:r>
    </w:p>
    <w:p>
      <w:pPr>
        <w:pStyle w:val="TextBody"/>
        <w:bidi w:val="0"/>
        <w:spacing w:before="0" w:after="0"/>
        <w:ind w:left="0" w:right="0" w:firstLine="720"/>
        <w:jc w:val="both"/>
        <w:rPr/>
      </w:pPr>
      <w:r>
        <w:rPr/>
        <w:t> </w:t>
      </w:r>
    </w:p>
    <w:p>
      <w:pPr>
        <w:pStyle w:val="TextBody"/>
        <w:bidi w:val="0"/>
        <w:spacing w:before="0" w:after="0"/>
        <w:jc w:val="left"/>
        <w:rPr>
          <w:rFonts w:ascii="Times New Roman" w:hAnsi="Times New Roman"/>
          <w:i/>
          <w:sz w:val="20"/>
        </w:rPr>
      </w:pPr>
      <w:r>
        <w:rPr>
          <w:rFonts w:ascii="Times New Roman" w:hAnsi="Times New Roman"/>
          <w:b/>
          <w:i/>
          <w:sz w:val="20"/>
        </w:rPr>
        <w:t>Amortization of Intangibles</w:t>
      </w:r>
      <w:r>
        <w:rPr>
          <w:rFonts w:ascii="Times New Roman" w:hAnsi="Times New Roman"/>
          <w: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i w:val="false"/>
          <w:caps w:val="false"/>
          <w:smallCaps w:val="false"/>
          <w:sz w:val="20"/>
        </w:rPr>
      </w:pPr>
      <w:r>
        <w:rPr>
          <w:rFonts w:ascii="Times New Roman" w:hAnsi="Times New Roman"/>
          <w:i w:val="false"/>
          <w:caps w:val="false"/>
          <w:smallCaps w:val="false"/>
          <w:sz w:val="20"/>
        </w:rPr>
        <w:t xml:space="preserve">Amortization expense mainly pertains to internally developed software and was $0.1 million and less than $0.1 million for the three months ended June 30, 2026 and 2025, respectively. </w:t>
      </w:r>
    </w:p>
    <w:p>
      <w:pPr>
        <w:pStyle w:val="TextBody"/>
        <w:bidi w:val="0"/>
        <w:spacing w:before="0" w:after="0"/>
        <w:ind w:left="0" w:right="0" w:firstLine="720"/>
        <w:jc w:val="both"/>
        <w:rPr/>
      </w:pPr>
      <w:r>
        <w:rPr/>
        <w:t> </w:t>
      </w:r>
    </w:p>
    <w:p>
      <w:pPr>
        <w:pStyle w:val="TextBody"/>
        <w:bidi w:val="0"/>
        <w:spacing w:before="0" w:after="0"/>
        <w:jc w:val="left"/>
        <w:rPr>
          <w:rFonts w:ascii="Times New Roman" w:hAnsi="Times New Roman"/>
          <w:i/>
          <w:sz w:val="20"/>
        </w:rPr>
      </w:pPr>
      <w:r>
        <w:rPr>
          <w:rFonts w:ascii="Times New Roman" w:hAnsi="Times New Roman"/>
          <w:b/>
          <w:i/>
          <w:sz w:val="20"/>
        </w:rPr>
        <w:t>Selling, General and Administrative Expenses</w:t>
      </w:r>
      <w:r>
        <w:rPr>
          <w:rFonts w:ascii="Times New Roman" w:hAnsi="Times New Roman"/>
          <w: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4"/>
        </w:rPr>
      </w:pPr>
      <w:r>
        <w:rPr>
          <w:rFonts w:ascii="Times New Roman" w:hAnsi="Times New Roman"/>
          <w:sz w:val="20"/>
        </w:rPr>
        <w:t>Selling, general and administrative (“SG&amp;A”) expenses were $26.7</w:t>
      </w:r>
      <w:r>
        <w:rPr>
          <w:rFonts w:ascii="Times New Roman" w:hAnsi="Times New Roman"/>
          <w:sz w:val="24"/>
        </w:rPr>
        <w:t xml:space="preserve"> </w:t>
      </w:r>
      <w:r>
        <w:rPr>
          <w:rFonts w:ascii="Times New Roman" w:hAnsi="Times New Roman"/>
          <w:sz w:val="20"/>
        </w:rPr>
        <w:t>million for the three months ended June 30,</w:t>
      </w:r>
      <w:r>
        <w:rPr>
          <w:rFonts w:ascii="Times New Roman" w:hAnsi="Times New Roman"/>
          <w:sz w:val="24"/>
        </w:rPr>
        <w:t xml:space="preserve"> </w:t>
      </w:r>
      <w:r>
        <w:rPr>
          <w:rFonts w:ascii="Times New Roman" w:hAnsi="Times New Roman"/>
          <w:sz w:val="20"/>
        </w:rPr>
        <w:t>2026. This increase of $4.5 million, or 20.4%, was primarily driven by higher employee-related costs, increased software maintenance costs and higher professional and legal fees associated with ongoing litigation and related matters and strategic initiatives supporting corporate growth.</w:t>
      </w:r>
    </w:p>
    <w:p>
      <w:pPr>
        <w:pStyle w:val="TextBody"/>
        <w:bidi w:val="0"/>
        <w:spacing w:before="0" w:after="0"/>
        <w:ind w:left="0" w:right="0" w:firstLine="720"/>
        <w:jc w:val="both"/>
        <w:rPr/>
      </w:pPr>
      <w:r>
        <w:rPr/>
        <w:t> </w:t>
      </w:r>
    </w:p>
    <w:p>
      <w:pPr>
        <w:pStyle w:val="TextBody"/>
        <w:bidi w:val="0"/>
        <w:spacing w:before="0" w:after="0"/>
        <w:jc w:val="left"/>
        <w:rPr>
          <w:rFonts w:ascii="Times New Roman" w:hAnsi="Times New Roman"/>
          <w:i/>
          <w:sz w:val="20"/>
        </w:rPr>
      </w:pPr>
      <w:r>
        <w:rPr>
          <w:rFonts w:ascii="Times New Roman" w:hAnsi="Times New Roman"/>
          <w:b/>
          <w:i/>
          <w:sz w:val="20"/>
        </w:rPr>
        <w:t>Interest and Other Income</w:t>
      </w:r>
      <w:r>
        <w:rPr>
          <w:rFonts w:ascii="Times New Roman" w:hAnsi="Times New Roman"/>
          <w: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4"/>
        </w:rPr>
      </w:pPr>
      <w:r>
        <w:rPr>
          <w:rFonts w:ascii="Times New Roman" w:hAnsi="Times New Roman"/>
          <w:sz w:val="20"/>
        </w:rPr>
        <w:t>Interest and other income for the three months ended June 30, 2026 was $1.2 million, as compared</w:t>
      </w:r>
      <w:r>
        <w:rPr>
          <w:rFonts w:ascii="Times New Roman" w:hAnsi="Times New Roman"/>
          <w:sz w:val="24"/>
        </w:rPr>
        <w:t xml:space="preserve"> </w:t>
      </w:r>
      <w:r>
        <w:rPr>
          <w:rFonts w:ascii="Times New Roman" w:hAnsi="Times New Roman"/>
          <w:sz w:val="20"/>
        </w:rPr>
        <w:t>to</w:t>
      </w:r>
      <w:r>
        <w:rPr>
          <w:rFonts w:ascii="Times New Roman" w:hAnsi="Times New Roman"/>
          <w:sz w:val="24"/>
        </w:rPr>
        <w:t xml:space="preserve"> </w:t>
      </w:r>
      <w:r>
        <w:rPr>
          <w:rFonts w:ascii="Times New Roman" w:hAnsi="Times New Roman"/>
          <w:sz w:val="20"/>
        </w:rPr>
        <w:t>$0.4 million for the three months ended June 30, 2025, driven by the higher average cash balances in 2026 and refinement of our cash investment strategy.</w:t>
      </w:r>
    </w:p>
    <w:p>
      <w:pPr>
        <w:pStyle w:val="TextBody"/>
        <w:bidi w:val="0"/>
        <w:spacing w:before="0" w:after="0"/>
        <w:ind w:left="0" w:right="0" w:firstLine="720"/>
        <w:jc w:val="both"/>
        <w:rPr/>
      </w:pPr>
      <w:r>
        <w:rPr/>
        <w:t> </w:t>
      </w:r>
    </w:p>
    <w:p>
      <w:pPr>
        <w:pStyle w:val="TextBody"/>
        <w:bidi w:val="0"/>
        <w:spacing w:before="0" w:after="0"/>
        <w:jc w:val="left"/>
        <w:rPr>
          <w:rFonts w:ascii="Times New Roman" w:hAnsi="Times New Roman"/>
          <w:i/>
          <w:sz w:val="20"/>
        </w:rPr>
      </w:pPr>
      <w:r>
        <w:rPr>
          <w:rFonts w:ascii="Times New Roman" w:hAnsi="Times New Roman"/>
          <w:b/>
          <w:i/>
          <w:sz w:val="20"/>
        </w:rPr>
        <w:t>Interest Expense</w:t>
      </w:r>
      <w:r>
        <w:rPr>
          <w:rFonts w:ascii="Times New Roman" w:hAnsi="Times New Roman"/>
          <w: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Interest expense for the three months ended June 30, 2026 was $3.4 million, as compared to $1.8 million for the three months ended June 30, 2025. This increase of $1.6 million was driven by the March 2026 borrowing under our credit facility to support the accelerated share repurchase agreement (the "ASR Agreement").</w:t>
      </w:r>
    </w:p>
    <w:p>
      <w:pPr>
        <w:pStyle w:val="TextBody"/>
        <w:bidi w:val="0"/>
        <w:spacing w:before="0" w:after="0"/>
        <w:ind w:left="0" w:right="0" w:firstLine="720"/>
        <w:jc w:val="both"/>
        <w:rPr/>
      </w:pPr>
      <w:r>
        <w:rPr/>
        <w:t> </w:t>
      </w:r>
    </w:p>
    <w:p>
      <w:pPr>
        <w:pStyle w:val="TextBody"/>
        <w:bidi w:val="0"/>
        <w:spacing w:before="0" w:after="0"/>
        <w:jc w:val="left"/>
        <w:rPr>
          <w:rFonts w:ascii="Times New Roman" w:hAnsi="Times New Roman"/>
          <w:i/>
          <w:sz w:val="20"/>
        </w:rPr>
      </w:pPr>
      <w:r>
        <w:rPr>
          <w:rFonts w:ascii="Times New Roman" w:hAnsi="Times New Roman"/>
          <w:b/>
          <w:i/>
          <w:sz w:val="20"/>
        </w:rPr>
        <w:t>Loss on Extinguishment of Debt</w:t>
      </w:r>
      <w:r>
        <w:rPr>
          <w:rFonts w:ascii="Times New Roman" w:hAnsi="Times New Roman"/>
          <w: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recognized no loss on extinguishment of debt for the three months ended June 30, 2026, as compared to a loss of $1.2 million for the three months ended June 30, 2025. Loss on extinguishment of debt recorded during the three months ended June 30, 2025 was driven by the early partial paydown of debt outstanding under our former senior secured credit facility with Ares Capital Corporation and certain affiliated credit funds (the “Ares Credit Agreement”).</w:t>
      </w:r>
    </w:p>
    <w:p>
      <w:pPr>
        <w:pStyle w:val="TextBody"/>
        <w:bidi w:val="0"/>
        <w:spacing w:before="0" w:after="0"/>
        <w:ind w:left="0" w:right="0" w:firstLine="72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i/>
          <w:sz w:val="20"/>
        </w:rPr>
      </w:pPr>
      <w:r>
        <w:rPr>
          <w:rFonts w:ascii="Times New Roman" w:hAnsi="Times New Roman"/>
          <w:b/>
          <w:i/>
          <w:sz w:val="20"/>
        </w:rPr>
        <w:t>Other Expense</w:t>
      </w:r>
      <w:r>
        <w:rPr>
          <w:rFonts w:ascii="Times New Roman" w:hAnsi="Times New Roman"/>
          <w: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Other expense was less than $0.1 million for the three months ended June 30, 2026 and $0.1 million for the three months ended June 30, 2025. </w:t>
      </w:r>
    </w:p>
    <w:p>
      <w:pPr>
        <w:pStyle w:val="TextBody"/>
        <w:bidi w:val="0"/>
        <w:spacing w:before="0" w:after="0"/>
        <w:jc w:val="left"/>
        <w:rPr/>
      </w:pPr>
      <w:r>
        <w:rPr/>
        <w:t xml:space="preserve">  </w:t>
      </w:r>
    </w:p>
    <w:p>
      <w:pPr>
        <w:pStyle w:val="TextBody"/>
        <w:bidi w:val="0"/>
        <w:spacing w:before="0" w:after="0"/>
        <w:jc w:val="left"/>
        <w:rPr>
          <w:rFonts w:ascii="Times New Roman" w:hAnsi="Times New Roman"/>
          <w:i/>
          <w:sz w:val="20"/>
        </w:rPr>
      </w:pPr>
      <w:r>
        <w:rPr>
          <w:rFonts w:ascii="Times New Roman" w:hAnsi="Times New Roman"/>
          <w:b/>
          <w:i/>
          <w:sz w:val="20"/>
        </w:rPr>
        <w:t>Income Tax Expense</w:t>
      </w:r>
      <w:r>
        <w:rPr>
          <w:rFonts w:ascii="Times New Roman" w:hAnsi="Times New Roman"/>
          <w: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provision for income taxes of $12.4 million for the three months ended June 30, 2026 represented an effective tax rate of 24.7%, as compared to the provision of $5.9 million for the three months ended June 30, 2025, with an effective tax rate of 14.7%. The increase was primarily driven by lower year-over-year excess tax benefits on stock-based compensation. </w:t>
      </w:r>
    </w:p>
    <w:p>
      <w:pPr>
        <w:pStyle w:val="TextBody"/>
        <w:bidi w:val="0"/>
        <w:spacing w:before="0" w:after="0"/>
        <w:jc w:val="both"/>
        <w:rPr/>
      </w:pPr>
      <w:r>
        <w:rPr/>
        <w:t xml:space="preserve">  </w:t>
      </w:r>
    </w:p>
    <w:p>
      <w:pPr>
        <w:pStyle w:val="TextBody"/>
        <w:bidi w:val="0"/>
        <w:spacing w:before="0" w:after="0"/>
        <w:jc w:val="both"/>
        <w:rPr>
          <w:rFonts w:ascii="Times New Roman" w:hAnsi="Times New Roman"/>
          <w:b/>
          <w:i/>
          <w:sz w:val="20"/>
        </w:rPr>
      </w:pPr>
      <w:r>
        <w:rPr>
          <w:rFonts w:ascii="Times New Roman" w:hAnsi="Times New Roman"/>
          <w:b/>
          <w:i w:val="false"/>
          <w:caps w:val="false"/>
          <w:smallCaps w:val="false"/>
          <w:sz w:val="20"/>
        </w:rPr>
        <w:t>Six Months Ended June 30, 2026 Compared to Six Months Ended June 30, 2025</w:t>
      </w:r>
      <w:r>
        <w:rPr>
          <w:rFonts w:ascii="Times New Roman" w:hAnsi="Times New Roman"/>
          <w:b/>
          <w:i/>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following table presents a summary of the changes in our results of operations for the six months ended June 30, 2026, compared to the six months ended June 30, 2025: </w:t>
      </w:r>
    </w:p>
    <w:p>
      <w:pPr>
        <w:pStyle w:val="TextBody"/>
        <w:bidi w:val="0"/>
        <w:spacing w:before="0" w:after="0"/>
        <w:jc w:val="both"/>
        <w:rPr/>
      </w:pPr>
      <w:r>
        <w:rPr/>
        <w:t> </w:t>
      </w:r>
    </w:p>
    <w:tbl>
      <w:tblPr>
        <w:tblW w:w="8450" w:type="dxa"/>
        <w:jc w:val="left"/>
        <w:tblInd w:w="0" w:type="dxa"/>
        <w:tblLayout w:type="fixed"/>
        <w:tblCellMar>
          <w:top w:w="0" w:type="dxa"/>
          <w:left w:w="0" w:type="dxa"/>
          <w:bottom w:w="0" w:type="dxa"/>
          <w:right w:w="0" w:type="dxa"/>
        </w:tblCellMar>
      </w:tblPr>
      <w:tblGrid>
        <w:gridCol w:w="4295"/>
        <w:gridCol w:w="90"/>
        <w:gridCol w:w="170"/>
        <w:gridCol w:w="830"/>
        <w:gridCol w:w="185"/>
        <w:gridCol w:w="90"/>
        <w:gridCol w:w="170"/>
        <w:gridCol w:w="830"/>
        <w:gridCol w:w="185"/>
        <w:gridCol w:w="90"/>
        <w:gridCol w:w="170"/>
        <w:gridCol w:w="1115"/>
        <w:gridCol w:w="230"/>
      </w:tblGrid>
      <w:tr>
        <w:trPr/>
        <w:tc>
          <w:tcPr>
            <w:tcW w:w="4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835" w:type="dxa"/>
            <w:gridSpan w:val="10"/>
            <w:tcBorders>
              <w:bottom w:val="single" w:sz="6" w:space="0" w:color="000000"/>
            </w:tcBorders>
            <w:tcMar>
              <w:bottom w:w="28" w:type="dxa"/>
            </w:tcMar>
            <w:vAlign w:val="center"/>
          </w:tcPr>
          <w:p>
            <w:pPr>
              <w:pStyle w:val="TableContents"/>
              <w:bidi w:val="0"/>
              <w:spacing w:before="0" w:after="283"/>
              <w:jc w:val="center"/>
              <w:rPr/>
            </w:pPr>
            <w:r>
              <w:rPr>
                <w:b/>
                <w:spacing w:val="0"/>
              </w:rPr>
              <w:t>Six Months Ended June 30,</w:t>
            </w:r>
            <w:r>
              <w:rPr/>
              <w:t xml:space="preserve"> </w:t>
            </w:r>
          </w:p>
        </w:tc>
        <w:tc>
          <w:tcPr>
            <w:tcW w:w="230" w:type="dxa"/>
            <w:tcBorders/>
          </w:tcPr>
          <w:p>
            <w:pPr>
              <w:pStyle w:val="TableContents"/>
              <w:bidi w:val="0"/>
              <w:spacing w:before="0" w:after="283"/>
              <w:jc w:val="left"/>
              <w:rPr>
                <w:sz w:val="4"/>
                <w:szCs w:val="4"/>
              </w:rPr>
            </w:pPr>
            <w:r>
              <w:rPr>
                <w:sz w:val="4"/>
                <w:szCs w:val="4"/>
              </w:rPr>
            </w:r>
          </w:p>
        </w:tc>
      </w:tr>
      <w:tr>
        <w:trPr/>
        <w:tc>
          <w:tcPr>
            <w:tcW w:w="4295" w:type="dxa"/>
            <w:tcBorders/>
            <w:vAlign w:val="center"/>
          </w:tcPr>
          <w:p>
            <w:pPr>
              <w:pStyle w:val="TableContents"/>
              <w:bidi w:val="0"/>
              <w:spacing w:before="0" w:after="283"/>
              <w:jc w:val="left"/>
              <w:rPr>
                <w:i/>
                <w:spacing w:val="0"/>
              </w:rPr>
            </w:pPr>
            <w:r>
              <w:rPr>
                <w:i/>
                <w:spacing w:val="0"/>
              </w:rPr>
              <w:t>(in thousands)</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r>
          </w:p>
        </w:tc>
        <w:tc>
          <w:tcPr>
            <w:tcW w:w="830" w:type="dxa"/>
            <w:tcBorders>
              <w:bottom w:val="single" w:sz="6" w:space="0" w:color="000000"/>
            </w:tcBorders>
            <w:tcMar>
              <w:bottom w:w="28" w:type="dxa"/>
            </w:tcMar>
            <w:vAlign w:val="center"/>
          </w:tcPr>
          <w:p>
            <w:pPr>
              <w:pStyle w:val="TableContents"/>
              <w:bidi w:val="0"/>
              <w:spacing w:before="0" w:after="283"/>
              <w:jc w:val="center"/>
              <w:rPr>
                <w:b/>
                <w:spacing w:val="0"/>
              </w:rPr>
            </w:pPr>
            <w:r>
              <w:rPr>
                <w:b/>
                <w:spacing w:val="0"/>
              </w:rPr>
              <w:t>2026</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r>
          </w:p>
        </w:tc>
        <w:tc>
          <w:tcPr>
            <w:tcW w:w="830" w:type="dxa"/>
            <w:tcBorders>
              <w:bottom w:val="single" w:sz="6" w:space="0" w:color="000000"/>
            </w:tcBorders>
            <w:tcMar>
              <w:bottom w:w="28" w:type="dxa"/>
            </w:tcMar>
            <w:vAlign w:val="center"/>
          </w:tcPr>
          <w:p>
            <w:pPr>
              <w:pStyle w:val="TableContents"/>
              <w:bidi w:val="0"/>
              <w:spacing w:before="0" w:after="283"/>
              <w:jc w:val="center"/>
              <w:rPr>
                <w:b/>
                <w:spacing w:val="0"/>
              </w:rPr>
            </w:pPr>
            <w:r>
              <w:rPr>
                <w:b/>
                <w:spacing w:val="0"/>
              </w:rPr>
              <w:t>2025</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r>
          </w:p>
        </w:tc>
        <w:tc>
          <w:tcPr>
            <w:tcW w:w="1115" w:type="dxa"/>
            <w:tcBorders>
              <w:bottom w:val="single" w:sz="6" w:space="0" w:color="000000"/>
            </w:tcBorders>
            <w:tcMar>
              <w:bottom w:w="28" w:type="dxa"/>
            </w:tcMar>
            <w:vAlign w:val="center"/>
          </w:tcPr>
          <w:p>
            <w:pPr>
              <w:pStyle w:val="TableContents"/>
              <w:bidi w:val="0"/>
              <w:spacing w:before="0" w:after="283"/>
              <w:jc w:val="center"/>
              <w:rPr>
                <w:b/>
                <w:spacing w:val="0"/>
              </w:rPr>
            </w:pPr>
            <w:r>
              <w:rPr>
                <w:b/>
                <w:spacing w:val="0"/>
              </w:rPr>
              <w:t>Increase</w:t>
              <w:br/>
              <w:t>(Decrease)</w:t>
            </w:r>
          </w:p>
        </w:tc>
        <w:tc>
          <w:tcPr>
            <w:tcW w:w="230" w:type="dxa"/>
            <w:tcBorders/>
          </w:tcPr>
          <w:p>
            <w:pPr>
              <w:pStyle w:val="TableContents"/>
              <w:bidi w:val="0"/>
              <w:spacing w:before="0" w:after="283"/>
              <w:jc w:val="left"/>
              <w:rPr>
                <w:sz w:val="4"/>
                <w:szCs w:val="4"/>
              </w:rPr>
            </w:pPr>
            <w:r>
              <w:rPr>
                <w:sz w:val="4"/>
                <w:szCs w:val="4"/>
              </w:rPr>
            </w:r>
          </w:p>
        </w:tc>
      </w:tr>
      <w:tr>
        <w:trPr/>
        <w:tc>
          <w:tcPr>
            <w:tcW w:w="4295" w:type="dxa"/>
            <w:tcBorders/>
            <w:shd w:fill="CCEEFF" w:val="clear"/>
            <w:vAlign w:val="center"/>
          </w:tcPr>
          <w:p>
            <w:pPr>
              <w:pStyle w:val="TableContents"/>
              <w:bidi w:val="0"/>
              <w:spacing w:before="0" w:after="0"/>
              <w:jc w:val="left"/>
              <w:rPr/>
            </w:pPr>
            <w:r>
              <w:rPr/>
              <w:t xml:space="preserve">Revenues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w:t>
            </w:r>
          </w:p>
        </w:tc>
        <w:tc>
          <w:tcPr>
            <w:tcW w:w="830" w:type="dxa"/>
            <w:tcBorders/>
            <w:shd w:fill="CCEEFF" w:val="clear"/>
            <w:vAlign w:val="center"/>
          </w:tcPr>
          <w:p>
            <w:pPr>
              <w:pStyle w:val="TableContents"/>
              <w:bidi w:val="0"/>
              <w:spacing w:before="0" w:after="283"/>
              <w:jc w:val="right"/>
              <w:rPr/>
            </w:pPr>
            <w:r>
              <w:rPr/>
              <w:t>238,888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w:t>
            </w:r>
          </w:p>
        </w:tc>
        <w:tc>
          <w:tcPr>
            <w:tcW w:w="830" w:type="dxa"/>
            <w:tcBorders/>
            <w:shd w:fill="CCEEFF" w:val="clear"/>
            <w:vAlign w:val="center"/>
          </w:tcPr>
          <w:p>
            <w:pPr>
              <w:pStyle w:val="TableContents"/>
              <w:bidi w:val="0"/>
              <w:spacing w:before="0" w:after="283"/>
              <w:jc w:val="right"/>
              <w:rPr/>
            </w:pPr>
            <w:r>
              <w:rPr/>
              <w:t>236,786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w:t>
            </w:r>
          </w:p>
        </w:tc>
        <w:tc>
          <w:tcPr>
            <w:tcW w:w="1115" w:type="dxa"/>
            <w:tcBorders/>
            <w:shd w:fill="CCEEFF" w:val="clear"/>
            <w:vAlign w:val="center"/>
          </w:tcPr>
          <w:p>
            <w:pPr>
              <w:pStyle w:val="TableContents"/>
              <w:bidi w:val="0"/>
              <w:spacing w:before="0" w:after="283"/>
              <w:jc w:val="right"/>
              <w:rPr/>
            </w:pPr>
            <w:r>
              <w:rPr/>
              <w:t>2,102</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pPr>
            <w:r>
              <w:rPr/>
              <w:t xml:space="preserve">Cost of product revenue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71,861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108,463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115" w:type="dxa"/>
            <w:tcBorders>
              <w:bottom w:val="single" w:sz="6" w:space="0" w:color="000000"/>
            </w:tcBorders>
            <w:tcMar>
              <w:bottom w:w="28" w:type="dxa"/>
            </w:tcMar>
            <w:vAlign w:val="center"/>
          </w:tcPr>
          <w:p>
            <w:pPr>
              <w:pStyle w:val="TableContents"/>
              <w:bidi w:val="0"/>
              <w:spacing w:before="0" w:after="283"/>
              <w:jc w:val="right"/>
              <w:rPr/>
            </w:pPr>
            <w:r>
              <w:rPr/>
              <w:t>(36,602</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pPr>
            <w:r>
              <w:rPr/>
              <w:t xml:space="preserve">Gross profit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167,027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128,323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15" w:type="dxa"/>
            <w:tcBorders/>
            <w:shd w:fill="CCEEFF" w:val="clear"/>
            <w:vAlign w:val="center"/>
          </w:tcPr>
          <w:p>
            <w:pPr>
              <w:pStyle w:val="TableContents"/>
              <w:bidi w:val="0"/>
              <w:spacing w:before="0" w:after="283"/>
              <w:jc w:val="right"/>
              <w:rPr/>
            </w:pPr>
            <w:r>
              <w:rPr/>
              <w:t>38,704</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pPr>
            <w:r>
              <w:rPr/>
              <w:t xml:space="preserve">Research and development expenses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8,611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1,858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6,753</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pPr>
            <w:r>
              <w:rPr/>
              <w:t xml:space="preserve">Plasma center operating expenses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2,088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2,438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15" w:type="dxa"/>
            <w:tcBorders/>
            <w:shd w:fill="CCEEFF" w:val="clear"/>
            <w:vAlign w:val="center"/>
          </w:tcPr>
          <w:p>
            <w:pPr>
              <w:pStyle w:val="TableContents"/>
              <w:bidi w:val="0"/>
              <w:spacing w:before="0" w:after="283"/>
              <w:jc w:val="right"/>
              <w:rPr/>
            </w:pPr>
            <w:r>
              <w:rPr/>
              <w:t>(350</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pPr>
            <w:r>
              <w:rPr/>
              <w:t xml:space="preserve">Amortization of intangibles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110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57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53</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pPr>
            <w:r>
              <w:rPr/>
              <w:t xml:space="preserve">Gain on sale of plasma centers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(7,980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15" w:type="dxa"/>
            <w:tcBorders/>
            <w:shd w:fill="CCEEFF" w:val="clear"/>
            <w:vAlign w:val="center"/>
          </w:tcPr>
          <w:p>
            <w:pPr>
              <w:pStyle w:val="TableContents"/>
              <w:bidi w:val="0"/>
              <w:spacing w:before="0" w:after="283"/>
              <w:jc w:val="right"/>
              <w:rPr/>
            </w:pPr>
            <w:r>
              <w:rPr/>
              <w:t>(7,980</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pPr>
            <w:r>
              <w:rPr/>
              <w:t xml:space="preserve">Selling, general and administrative expenses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53,479</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46,292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115" w:type="dxa"/>
            <w:tcBorders>
              <w:bottom w:val="single" w:sz="6" w:space="0" w:color="000000"/>
            </w:tcBorders>
            <w:tcMar>
              <w:bottom w:w="28" w:type="dxa"/>
            </w:tcMar>
            <w:vAlign w:val="center"/>
          </w:tcPr>
          <w:p>
            <w:pPr>
              <w:pStyle w:val="TableContents"/>
              <w:bidi w:val="0"/>
              <w:spacing w:before="0" w:after="283"/>
              <w:jc w:val="right"/>
              <w:rPr/>
            </w:pPr>
            <w:r>
              <w:rPr/>
              <w:t>7,187</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pPr>
            <w:r>
              <w:rPr/>
              <w:t xml:space="preserve">Income from operations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110,719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77,678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15" w:type="dxa"/>
            <w:tcBorders/>
            <w:shd w:fill="CCEEFF" w:val="clear"/>
            <w:vAlign w:val="center"/>
          </w:tcPr>
          <w:p>
            <w:pPr>
              <w:pStyle w:val="TableContents"/>
              <w:bidi w:val="0"/>
              <w:spacing w:before="0" w:after="283"/>
              <w:jc w:val="right"/>
              <w:rPr/>
            </w:pPr>
            <w:r>
              <w:rPr/>
              <w:t>33,041</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pPr>
            <w:r>
              <w:rPr/>
              <w:t xml:space="preserve">Interest and other income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2,331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1,008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1,323</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pPr>
            <w:r>
              <w:rPr/>
              <w:t xml:space="preserve">Interest expense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(5,524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(3,809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15" w:type="dxa"/>
            <w:tcBorders/>
            <w:shd w:fill="CCEEFF" w:val="clear"/>
            <w:vAlign w:val="center"/>
          </w:tcPr>
          <w:p>
            <w:pPr>
              <w:pStyle w:val="TableContents"/>
              <w:bidi w:val="0"/>
              <w:spacing w:before="0" w:after="283"/>
              <w:jc w:val="right"/>
              <w:rPr/>
            </w:pPr>
            <w:r>
              <w:rPr/>
              <w:t>(1,715</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pPr>
            <w:r>
              <w:rPr/>
              <w:t xml:space="preserve">Loss on extinguishment of debt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(1,159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1,159</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pPr>
            <w:r>
              <w:rPr/>
              <w:t xml:space="preserve">Other expense, net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(161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(172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115" w:type="dxa"/>
            <w:tcBorders>
              <w:bottom w:val="single" w:sz="6" w:space="0" w:color="000000"/>
            </w:tcBorders>
            <w:shd w:fill="CCEEFF" w:val="clear"/>
            <w:tcMar>
              <w:bottom w:w="28" w:type="dxa"/>
            </w:tcMar>
            <w:vAlign w:val="center"/>
          </w:tcPr>
          <w:p>
            <w:pPr>
              <w:pStyle w:val="TableContents"/>
              <w:bidi w:val="0"/>
              <w:spacing w:before="0" w:after="283"/>
              <w:jc w:val="right"/>
              <w:rPr/>
            </w:pPr>
            <w:r>
              <w:rPr/>
              <w:t>11</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pPr>
            <w:r>
              <w:rPr/>
              <w:t xml:space="preserve">Income before taxes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107,365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73,546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33,819</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pPr>
            <w:r>
              <w:rPr/>
              <w:t xml:space="preserve">Provision for income taxes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24,215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12,424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115" w:type="dxa"/>
            <w:tcBorders>
              <w:bottom w:val="single" w:sz="6" w:space="0" w:color="000000"/>
            </w:tcBorders>
            <w:shd w:fill="CCEEFF" w:val="clear"/>
            <w:tcMar>
              <w:bottom w:w="28" w:type="dxa"/>
            </w:tcMar>
            <w:vAlign w:val="center"/>
          </w:tcPr>
          <w:p>
            <w:pPr>
              <w:pStyle w:val="TableContents"/>
              <w:bidi w:val="0"/>
              <w:spacing w:before="0" w:after="283"/>
              <w:jc w:val="right"/>
              <w:rPr/>
            </w:pPr>
            <w:r>
              <w:rPr/>
              <w:t>11,791</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pPr>
            <w:r>
              <w:rPr/>
              <w:t xml:space="preserve">Net income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w:t>
            </w:r>
          </w:p>
        </w:tc>
        <w:tc>
          <w:tcPr>
            <w:tcW w:w="830" w:type="dxa"/>
            <w:tcBorders>
              <w:bottom w:val="single" w:sz="6" w:space="0" w:color="000000"/>
            </w:tcBorders>
            <w:tcMar>
              <w:bottom w:w="28" w:type="dxa"/>
            </w:tcMar>
            <w:vAlign w:val="center"/>
          </w:tcPr>
          <w:p>
            <w:pPr>
              <w:pStyle w:val="TableContents"/>
              <w:bidi w:val="0"/>
              <w:spacing w:before="0" w:after="283"/>
              <w:jc w:val="right"/>
              <w:rPr/>
            </w:pPr>
            <w:r>
              <w:rPr/>
              <w:t>83,150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w:t>
            </w:r>
          </w:p>
        </w:tc>
        <w:tc>
          <w:tcPr>
            <w:tcW w:w="830" w:type="dxa"/>
            <w:tcBorders>
              <w:bottom w:val="single" w:sz="6" w:space="0" w:color="000000"/>
            </w:tcBorders>
            <w:tcMar>
              <w:bottom w:w="28" w:type="dxa"/>
            </w:tcMar>
            <w:vAlign w:val="center"/>
          </w:tcPr>
          <w:p>
            <w:pPr>
              <w:pStyle w:val="TableContents"/>
              <w:bidi w:val="0"/>
              <w:spacing w:before="0" w:after="283"/>
              <w:jc w:val="right"/>
              <w:rPr/>
            </w:pPr>
            <w:r>
              <w:rPr/>
              <w:t>61,122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w:t>
            </w:r>
          </w:p>
        </w:tc>
        <w:tc>
          <w:tcPr>
            <w:tcW w:w="1115" w:type="dxa"/>
            <w:tcBorders>
              <w:bottom w:val="single" w:sz="6" w:space="0" w:color="000000"/>
            </w:tcBorders>
            <w:tcMar>
              <w:bottom w:w="28" w:type="dxa"/>
            </w:tcMar>
            <w:vAlign w:val="center"/>
          </w:tcPr>
          <w:p>
            <w:pPr>
              <w:pStyle w:val="TableContents"/>
              <w:bidi w:val="0"/>
              <w:spacing w:before="0" w:after="283"/>
              <w:jc w:val="right"/>
              <w:rPr/>
            </w:pPr>
            <w:r>
              <w:rPr/>
              <w:t>22,028</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pPr>
            <w:r>
              <w:rPr/>
              <w:t xml:space="preserve">Adjusted EBITDA*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w:t>
            </w:r>
          </w:p>
        </w:tc>
        <w:tc>
          <w:tcPr>
            <w:tcW w:w="830" w:type="dxa"/>
            <w:tcBorders>
              <w:bottom w:val="single" w:sz="6" w:space="0" w:color="000000"/>
            </w:tcBorders>
            <w:tcMar>
              <w:bottom w:w="28" w:type="dxa"/>
            </w:tcMar>
            <w:vAlign w:val="center"/>
          </w:tcPr>
          <w:p>
            <w:pPr>
              <w:pStyle w:val="TableContents"/>
              <w:bidi w:val="0"/>
              <w:spacing w:before="0" w:after="283"/>
              <w:jc w:val="right"/>
              <w:rPr/>
            </w:pPr>
            <w:r>
              <w:rPr/>
              <w:t>121,499</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w:t>
            </w:r>
          </w:p>
        </w:tc>
        <w:tc>
          <w:tcPr>
            <w:tcW w:w="830" w:type="dxa"/>
            <w:tcBorders>
              <w:bottom w:val="single" w:sz="6" w:space="0" w:color="000000"/>
            </w:tcBorders>
            <w:tcMar>
              <w:bottom w:w="28" w:type="dxa"/>
            </w:tcMar>
            <w:vAlign w:val="center"/>
          </w:tcPr>
          <w:p>
            <w:pPr>
              <w:pStyle w:val="TableContents"/>
              <w:bidi w:val="0"/>
              <w:spacing w:before="0" w:after="283"/>
              <w:jc w:val="right"/>
              <w:rPr/>
            </w:pPr>
            <w:r>
              <w:rPr/>
              <w:t>98,706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w:t>
            </w:r>
          </w:p>
        </w:tc>
        <w:tc>
          <w:tcPr>
            <w:tcW w:w="1115" w:type="dxa"/>
            <w:tcBorders>
              <w:bottom w:val="single" w:sz="6" w:space="0" w:color="000000"/>
            </w:tcBorders>
            <w:tcMar>
              <w:bottom w:w="28" w:type="dxa"/>
            </w:tcMar>
            <w:vAlign w:val="center"/>
          </w:tcPr>
          <w:p>
            <w:pPr>
              <w:pStyle w:val="TableContents"/>
              <w:bidi w:val="0"/>
              <w:spacing w:before="0" w:after="283"/>
              <w:jc w:val="right"/>
              <w:rPr/>
            </w:pPr>
            <w:r>
              <w:rPr/>
              <w:t>22,793</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pPr>
            <w:r>
              <w:rPr/>
              <w:t xml:space="preserve">Adjusted Net Income*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79,636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69,333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1115" w:type="dxa"/>
            <w:tcBorders>
              <w:bottom w:val="single" w:sz="6" w:space="0" w:color="000000"/>
            </w:tcBorders>
            <w:shd w:fill="CCEEFF" w:val="clear"/>
            <w:tcMar>
              <w:bottom w:w="28" w:type="dxa"/>
            </w:tcMar>
            <w:vAlign w:val="center"/>
          </w:tcPr>
          <w:p>
            <w:pPr>
              <w:pStyle w:val="TableContents"/>
              <w:bidi w:val="0"/>
              <w:spacing w:before="0" w:after="283"/>
              <w:jc w:val="right"/>
              <w:rPr/>
            </w:pPr>
            <w:r>
              <w:rPr/>
              <w:t>10,303</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108" w:right="0" w:hanging="0"/>
        <w:jc w:val="left"/>
        <w:rPr>
          <w:rFonts w:ascii="Times New Roman" w:hAnsi="Times New Roman"/>
          <w:sz w:val="20"/>
        </w:rPr>
      </w:pPr>
      <w:r>
        <w:rPr>
          <w:rFonts w:ascii="Times New Roman" w:hAnsi="Times New Roman"/>
          <w:i/>
          <w:sz w:val="20"/>
        </w:rPr>
        <w:t>* - See Non-GAAP Financial Measures appearing at the end of this discussion</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Revenues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recorded total revenues of $238.9 million for the six months ended June 30, 2026, as compared to $236.8 million for the six months ended June 30, 2025, an increase of $2.1 million, or approximately 0.9%. Revenues by product for the six months ended June 30, 2026 and 2025 were as follows:</w:t>
      </w:r>
    </w:p>
    <w:p>
      <w:pPr>
        <w:pStyle w:val="TextBody"/>
        <w:bidi w:val="0"/>
        <w:spacing w:before="0" w:after="0"/>
        <w:ind w:left="0" w:right="0" w:firstLine="72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tbl>
      <w:tblPr>
        <w:tblW w:w="9365" w:type="dxa"/>
        <w:jc w:val="left"/>
        <w:tblInd w:w="0" w:type="dxa"/>
        <w:tblLayout w:type="fixed"/>
        <w:tblCellMar>
          <w:top w:w="0" w:type="dxa"/>
          <w:left w:w="0" w:type="dxa"/>
          <w:bottom w:w="0" w:type="dxa"/>
          <w:right w:w="0" w:type="dxa"/>
        </w:tblCellMar>
      </w:tblPr>
      <w:tblGrid>
        <w:gridCol w:w="3365"/>
        <w:gridCol w:w="90"/>
        <w:gridCol w:w="170"/>
        <w:gridCol w:w="830"/>
        <w:gridCol w:w="90"/>
        <w:gridCol w:w="90"/>
        <w:gridCol w:w="170"/>
        <w:gridCol w:w="830"/>
        <w:gridCol w:w="90"/>
        <w:gridCol w:w="90"/>
        <w:gridCol w:w="170"/>
        <w:gridCol w:w="1175"/>
        <w:gridCol w:w="185"/>
        <w:gridCol w:w="90"/>
        <w:gridCol w:w="90"/>
        <w:gridCol w:w="1475"/>
        <w:gridCol w:w="365"/>
      </w:tblGrid>
      <w:tr>
        <w:trPr/>
        <w:tc>
          <w:tcPr>
            <w:tcW w:w="33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5375" w:type="dxa"/>
            <w:gridSpan w:val="13"/>
            <w:tcBorders>
              <w:bottom w:val="single" w:sz="6" w:space="0" w:color="000000"/>
            </w:tcBorders>
            <w:tcMar>
              <w:bottom w:w="28" w:type="dxa"/>
            </w:tcMar>
            <w:vAlign w:val="center"/>
          </w:tcPr>
          <w:p>
            <w:pPr>
              <w:pStyle w:val="TableContents"/>
              <w:bidi w:val="0"/>
              <w:spacing w:before="0" w:after="283"/>
              <w:jc w:val="center"/>
              <w:rPr/>
            </w:pPr>
            <w:r>
              <w:rPr>
                <w:b/>
                <w:spacing w:val="0"/>
              </w:rPr>
              <w:t>Six Months Ended June 30,</w:t>
            </w:r>
            <w:r>
              <w:rPr/>
              <w:t xml:space="preserve"> </w:t>
            </w:r>
          </w:p>
        </w:tc>
        <w:tc>
          <w:tcPr>
            <w:tcW w:w="365" w:type="dxa"/>
            <w:tcBorders/>
            <w:vAlign w:val="center"/>
          </w:tcPr>
          <w:p>
            <w:pPr>
              <w:pStyle w:val="TableContents"/>
              <w:bidi w:val="0"/>
              <w:spacing w:before="0" w:after="283"/>
              <w:jc w:val="center"/>
              <w:rPr/>
            </w:pPr>
            <w:r>
              <w:rPr/>
              <w:t> </w:t>
            </w:r>
          </w:p>
        </w:tc>
      </w:tr>
      <w:tr>
        <w:trPr/>
        <w:tc>
          <w:tcPr>
            <w:tcW w:w="33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pPr>
            <w:r>
              <w:rPr>
                <w:b/>
              </w:rPr>
              <w:t>2026</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pPr>
            <w:r>
              <w:rPr>
                <w:b/>
              </w:rP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75" w:type="dxa"/>
            <w:tcBorders>
              <w:bottom w:val="single" w:sz="6" w:space="0" w:color="000000"/>
            </w:tcBorders>
            <w:tcMar>
              <w:bottom w:w="28" w:type="dxa"/>
            </w:tcMar>
            <w:vAlign w:val="center"/>
          </w:tcPr>
          <w:p>
            <w:pPr>
              <w:pStyle w:val="TableContents"/>
              <w:bidi w:val="0"/>
              <w:spacing w:before="0" w:after="283"/>
              <w:jc w:val="center"/>
              <w:rPr/>
            </w:pPr>
            <w:r>
              <w:rPr>
                <w:b/>
              </w:rPr>
              <w:t xml:space="preserve">Increase/ </w:t>
              <w:br/>
              <w:t>(Decrease)</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75" w:type="dxa"/>
            <w:tcBorders>
              <w:bottom w:val="single" w:sz="6" w:space="0" w:color="000000"/>
            </w:tcBorders>
            <w:tcMar>
              <w:bottom w:w="28" w:type="dxa"/>
            </w:tcMar>
            <w:vAlign w:val="center"/>
          </w:tcPr>
          <w:p>
            <w:pPr>
              <w:pStyle w:val="TableContents"/>
              <w:bidi w:val="0"/>
              <w:spacing w:before="0" w:after="283"/>
              <w:jc w:val="center"/>
              <w:rPr/>
            </w:pPr>
            <w:r>
              <w:rPr>
                <w:b/>
              </w:rPr>
              <w:t xml:space="preserve">Increase/ </w:t>
              <w:br/>
              <w:t>(Decrease) %</w:t>
            </w:r>
            <w:r>
              <w:rPr/>
              <w:t xml:space="preserve"> </w:t>
            </w:r>
          </w:p>
        </w:tc>
        <w:tc>
          <w:tcPr>
            <w:tcW w:w="365" w:type="dxa"/>
            <w:tcBorders/>
            <w:vAlign w:val="center"/>
          </w:tcPr>
          <w:p>
            <w:pPr>
              <w:pStyle w:val="TableContents"/>
              <w:bidi w:val="0"/>
              <w:spacing w:before="0" w:after="283"/>
              <w:jc w:val="center"/>
              <w:rPr/>
            </w:pPr>
            <w:r>
              <w:rPr/>
              <w:t> </w:t>
            </w:r>
          </w:p>
        </w:tc>
      </w:tr>
      <w:tr>
        <w:trPr/>
        <w:tc>
          <w:tcPr>
            <w:tcW w:w="3365" w:type="dxa"/>
            <w:tcBorders/>
            <w:vAlign w:val="center"/>
          </w:tcPr>
          <w:p>
            <w:pPr>
              <w:pStyle w:val="TableContents"/>
              <w:bidi w:val="0"/>
              <w:spacing w:before="0" w:after="0"/>
              <w:jc w:val="left"/>
              <w:rPr/>
            </w:pPr>
            <w:r>
              <w:rPr>
                <w:i/>
              </w:rPr>
              <w:t>(in thousands)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jc w:val="left"/>
              <w:rPr/>
            </w:pPr>
            <w:r>
              <w:rPr/>
              <w:t xml:space="preserve">ASCENIV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w:t>
            </w:r>
          </w:p>
        </w:tc>
        <w:tc>
          <w:tcPr>
            <w:tcW w:w="830" w:type="dxa"/>
            <w:tcBorders/>
            <w:shd w:fill="CCEEFF" w:val="clear"/>
            <w:vAlign w:val="center"/>
          </w:tcPr>
          <w:p>
            <w:pPr>
              <w:pStyle w:val="TableContents"/>
              <w:bidi w:val="0"/>
              <w:spacing w:before="0" w:after="283"/>
              <w:jc w:val="right"/>
              <w:rPr/>
            </w:pPr>
            <w:r>
              <w:rPr/>
              <w:t>200,407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w:t>
            </w:r>
          </w:p>
        </w:tc>
        <w:tc>
          <w:tcPr>
            <w:tcW w:w="830" w:type="dxa"/>
            <w:tcBorders/>
            <w:shd w:fill="CCEEFF" w:val="clear"/>
            <w:vAlign w:val="center"/>
          </w:tcPr>
          <w:p>
            <w:pPr>
              <w:pStyle w:val="TableContents"/>
              <w:bidi w:val="0"/>
              <w:spacing w:before="0" w:after="283"/>
              <w:jc w:val="right"/>
              <w:rPr/>
            </w:pPr>
            <w:r>
              <w:rPr/>
              <w:t>159,653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w:t>
            </w:r>
          </w:p>
        </w:tc>
        <w:tc>
          <w:tcPr>
            <w:tcW w:w="1175" w:type="dxa"/>
            <w:tcBorders/>
            <w:shd w:fill="CCEEFF" w:val="clear"/>
            <w:vAlign w:val="center"/>
          </w:tcPr>
          <w:p>
            <w:pPr>
              <w:pStyle w:val="TableContents"/>
              <w:bidi w:val="0"/>
              <w:spacing w:before="0" w:after="283"/>
              <w:jc w:val="right"/>
              <w:rPr/>
            </w:pPr>
            <w:r>
              <w:rPr/>
              <w:t>40,754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475" w:type="dxa"/>
            <w:tcBorders/>
            <w:shd w:fill="CCEEFF" w:val="clear"/>
            <w:vAlign w:val="center"/>
          </w:tcPr>
          <w:p>
            <w:pPr>
              <w:pStyle w:val="TableContents"/>
              <w:bidi w:val="0"/>
              <w:spacing w:before="0" w:after="283"/>
              <w:jc w:val="right"/>
              <w:rPr/>
            </w:pPr>
            <w:r>
              <w:rPr/>
              <w:t>25.5</w:t>
            </w:r>
          </w:p>
        </w:tc>
        <w:tc>
          <w:tcPr>
            <w:tcW w:w="365" w:type="dxa"/>
            <w:tcBorders/>
            <w:shd w:fill="CCEEFF" w:val="clear"/>
            <w:vAlign w:val="center"/>
          </w:tcPr>
          <w:p>
            <w:pPr>
              <w:pStyle w:val="TableContents"/>
              <w:bidi w:val="0"/>
              <w:spacing w:before="0" w:after="283"/>
              <w:jc w:val="left"/>
              <w:rPr/>
            </w:pPr>
            <w:r>
              <w:rPr/>
              <w:t>%</w:t>
            </w:r>
          </w:p>
        </w:tc>
      </w:tr>
      <w:tr>
        <w:trPr/>
        <w:tc>
          <w:tcPr>
            <w:tcW w:w="3365" w:type="dxa"/>
            <w:tcBorders/>
            <w:vAlign w:val="center"/>
          </w:tcPr>
          <w:p>
            <w:pPr>
              <w:pStyle w:val="TableContents"/>
              <w:bidi w:val="0"/>
              <w:spacing w:before="0" w:after="0"/>
              <w:jc w:val="left"/>
              <w:rPr/>
            </w:pPr>
            <w:r>
              <w:rPr/>
              <w:t xml:space="preserve">BIVIGAM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34,841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71,222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75" w:type="dxa"/>
            <w:tcBorders/>
            <w:vAlign w:val="center"/>
          </w:tcPr>
          <w:p>
            <w:pPr>
              <w:pStyle w:val="TableContents"/>
              <w:bidi w:val="0"/>
              <w:spacing w:before="0" w:after="283"/>
              <w:jc w:val="right"/>
              <w:rPr/>
            </w:pPr>
            <w:r>
              <w:rPr/>
              <w:t>(36,381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475" w:type="dxa"/>
            <w:tcBorders/>
            <w:vAlign w:val="center"/>
          </w:tcPr>
          <w:p>
            <w:pPr>
              <w:pStyle w:val="TableContents"/>
              <w:bidi w:val="0"/>
              <w:spacing w:before="0" w:after="283"/>
              <w:jc w:val="right"/>
              <w:rPr/>
            </w:pPr>
            <w:r>
              <w:rPr/>
              <w:t>(51.1</w:t>
            </w:r>
          </w:p>
        </w:tc>
        <w:tc>
          <w:tcPr>
            <w:tcW w:w="365" w:type="dxa"/>
            <w:tcBorders/>
            <w:vAlign w:val="center"/>
          </w:tcPr>
          <w:p>
            <w:pPr>
              <w:pStyle w:val="TableContents"/>
              <w:bidi w:val="0"/>
              <w:spacing w:before="0" w:after="283"/>
              <w:jc w:val="left"/>
              <w:rPr/>
            </w:pPr>
            <w:r>
              <w:rPr/>
              <w:t>)%</w:t>
            </w:r>
          </w:p>
        </w:tc>
      </w:tr>
      <w:tr>
        <w:trPr/>
        <w:tc>
          <w:tcPr>
            <w:tcW w:w="3365" w:type="dxa"/>
            <w:tcBorders/>
            <w:shd w:fill="CCEEFF" w:val="clear"/>
            <w:vAlign w:val="center"/>
          </w:tcPr>
          <w:p>
            <w:pPr>
              <w:pStyle w:val="TableContents"/>
              <w:bidi w:val="0"/>
              <w:spacing w:before="0" w:after="0"/>
              <w:jc w:val="left"/>
              <w:rPr/>
            </w:pPr>
            <w:r>
              <w:rPr/>
              <w:t>Intermediates and other products</w:t>
            </w:r>
            <w:r>
              <w:rPr>
                <w:position w:val="8"/>
                <w:sz w:val="19"/>
              </w:rPr>
              <w:t>(1)</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2,130</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4,790</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175" w:type="dxa"/>
            <w:tcBorders>
              <w:bottom w:val="single" w:sz="6" w:space="0" w:color="000000"/>
            </w:tcBorders>
            <w:shd w:fill="CCEEFF" w:val="clear"/>
            <w:tcMar>
              <w:bottom w:w="28" w:type="dxa"/>
            </w:tcMar>
            <w:vAlign w:val="center"/>
          </w:tcPr>
          <w:p>
            <w:pPr>
              <w:pStyle w:val="TableContents"/>
              <w:bidi w:val="0"/>
              <w:spacing w:before="0" w:after="283"/>
              <w:jc w:val="right"/>
              <w:rPr/>
            </w:pPr>
            <w:r>
              <w:rPr/>
              <w:t>(2,660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475" w:type="dxa"/>
            <w:tcBorders>
              <w:bottom w:val="single" w:sz="6" w:space="0" w:color="000000"/>
            </w:tcBorders>
            <w:shd w:fill="CCEEFF" w:val="clear"/>
            <w:tcMar>
              <w:bottom w:w="28" w:type="dxa"/>
            </w:tcMar>
            <w:vAlign w:val="center"/>
          </w:tcPr>
          <w:p>
            <w:pPr>
              <w:pStyle w:val="TableContents"/>
              <w:bidi w:val="0"/>
              <w:spacing w:before="0" w:after="283"/>
              <w:jc w:val="right"/>
              <w:rPr/>
            </w:pPr>
            <w:r>
              <w:rPr/>
              <w:t>(55.5</w:t>
            </w:r>
          </w:p>
        </w:tc>
        <w:tc>
          <w:tcPr>
            <w:tcW w:w="36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r>
      <w:tr>
        <w:trPr/>
        <w:tc>
          <w:tcPr>
            <w:tcW w:w="3365" w:type="dxa"/>
            <w:tcBorders/>
            <w:vAlign w:val="center"/>
          </w:tcPr>
          <w:p>
            <w:pPr>
              <w:pStyle w:val="TableContents"/>
              <w:bidi w:val="0"/>
              <w:spacing w:before="0" w:after="0"/>
              <w:jc w:val="left"/>
              <w:rPr/>
            </w:pPr>
            <w:r>
              <w:rPr/>
              <w:t xml:space="preserve">ADMA BioManufacturing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237,378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235,665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75" w:type="dxa"/>
            <w:tcBorders/>
            <w:vAlign w:val="center"/>
          </w:tcPr>
          <w:p>
            <w:pPr>
              <w:pStyle w:val="TableContents"/>
              <w:bidi w:val="0"/>
              <w:spacing w:before="0" w:after="283"/>
              <w:jc w:val="right"/>
              <w:rPr/>
            </w:pPr>
            <w:r>
              <w:rPr/>
              <w:t>1,713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475" w:type="dxa"/>
            <w:tcBorders/>
            <w:vAlign w:val="center"/>
          </w:tcPr>
          <w:p>
            <w:pPr>
              <w:pStyle w:val="TableContents"/>
              <w:bidi w:val="0"/>
              <w:spacing w:before="0" w:after="283"/>
              <w:jc w:val="right"/>
              <w:rPr/>
            </w:pPr>
            <w:r>
              <w:rPr/>
              <w:t>0.7</w:t>
            </w:r>
          </w:p>
        </w:tc>
        <w:tc>
          <w:tcPr>
            <w:tcW w:w="365" w:type="dxa"/>
            <w:tcBorders/>
            <w:vAlign w:val="center"/>
          </w:tcPr>
          <w:p>
            <w:pPr>
              <w:pStyle w:val="TableContents"/>
              <w:bidi w:val="0"/>
              <w:spacing w:before="0" w:after="283"/>
              <w:jc w:val="left"/>
              <w:rPr/>
            </w:pPr>
            <w:r>
              <w:rPr/>
              <w:t>%</w:t>
            </w:r>
          </w:p>
        </w:tc>
      </w:tr>
      <w:tr>
        <w:trPr/>
        <w:tc>
          <w:tcPr>
            <w:tcW w:w="33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0"/>
              <w:jc w:val="left"/>
              <w:rPr/>
            </w:pPr>
            <w:r>
              <w:rPr/>
              <w:t xml:space="preserve">Plasma Collection Centers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1,439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1,050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75" w:type="dxa"/>
            <w:tcBorders/>
            <w:vAlign w:val="center"/>
          </w:tcPr>
          <w:p>
            <w:pPr>
              <w:pStyle w:val="TableContents"/>
              <w:bidi w:val="0"/>
              <w:spacing w:before="0" w:after="283"/>
              <w:jc w:val="right"/>
              <w:rPr/>
            </w:pPr>
            <w:r>
              <w:rPr/>
              <w:t>388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475" w:type="dxa"/>
            <w:tcBorders/>
            <w:vAlign w:val="center"/>
          </w:tcPr>
          <w:p>
            <w:pPr>
              <w:pStyle w:val="TableContents"/>
              <w:bidi w:val="0"/>
              <w:spacing w:before="0" w:after="283"/>
              <w:jc w:val="right"/>
              <w:rPr/>
            </w:pPr>
            <w:r>
              <w:rPr/>
              <w:t>37.0</w:t>
            </w:r>
          </w:p>
        </w:tc>
        <w:tc>
          <w:tcPr>
            <w:tcW w:w="365" w:type="dxa"/>
            <w:tcBorders/>
            <w:vAlign w:val="center"/>
          </w:tcPr>
          <w:p>
            <w:pPr>
              <w:pStyle w:val="TableContents"/>
              <w:bidi w:val="0"/>
              <w:spacing w:before="0" w:after="283"/>
              <w:jc w:val="left"/>
              <w:rPr/>
            </w:pPr>
            <w:r>
              <w:rPr/>
              <w:t>%</w:t>
            </w:r>
          </w:p>
        </w:tc>
      </w:tr>
      <w:tr>
        <w:trPr/>
        <w:tc>
          <w:tcPr>
            <w:tcW w:w="3365" w:type="dxa"/>
            <w:tcBorders/>
            <w:shd w:fill="CCEEFF" w:val="clear"/>
            <w:vAlign w:val="center"/>
          </w:tcPr>
          <w:p>
            <w:pPr>
              <w:pStyle w:val="TableContents"/>
              <w:bidi w:val="0"/>
              <w:spacing w:before="0" w:after="0"/>
              <w:jc w:val="left"/>
              <w:rPr/>
            </w:pPr>
            <w:r>
              <w:rPr/>
              <w:t xml:space="preserve">License revenue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175"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475" w:type="dxa"/>
            <w:tcBorders>
              <w:bottom w:val="single" w:sz="6" w:space="0" w:color="000000"/>
            </w:tcBorders>
            <w:shd w:fill="CCEEFF" w:val="clear"/>
            <w:tcMar>
              <w:bottom w:w="28" w:type="dxa"/>
            </w:tcMar>
            <w:vAlign w:val="center"/>
          </w:tcPr>
          <w:p>
            <w:pPr>
              <w:pStyle w:val="TableContents"/>
              <w:bidi w:val="0"/>
              <w:spacing w:before="0" w:after="283"/>
              <w:jc w:val="right"/>
              <w:rPr/>
            </w:pPr>
            <w:r>
              <w:rPr/>
              <w:t>0.0</w:t>
            </w:r>
          </w:p>
        </w:tc>
        <w:tc>
          <w:tcPr>
            <w:tcW w:w="365" w:type="dxa"/>
            <w:tcBorders/>
            <w:shd w:fill="CCEEFF" w:val="clear"/>
            <w:vAlign w:val="center"/>
          </w:tcPr>
          <w:p>
            <w:pPr>
              <w:pStyle w:val="TableContents"/>
              <w:bidi w:val="0"/>
              <w:spacing w:before="0" w:after="283"/>
              <w:jc w:val="left"/>
              <w:rPr/>
            </w:pPr>
            <w:r>
              <w:rPr/>
              <w:t>%</w:t>
            </w:r>
          </w:p>
        </w:tc>
      </w:tr>
      <w:tr>
        <w:trPr/>
        <w:tc>
          <w:tcPr>
            <w:tcW w:w="3365" w:type="dxa"/>
            <w:tcBorders/>
            <w:vAlign w:val="center"/>
          </w:tcPr>
          <w:p>
            <w:pPr>
              <w:pStyle w:val="TableContents"/>
              <w:bidi w:val="0"/>
              <w:spacing w:before="0" w:after="0"/>
              <w:jc w:val="left"/>
              <w:rPr/>
            </w:pPr>
            <w:r>
              <w:rPr>
                <w:b/>
              </w:rPr>
              <w:t>Total Revenues</w:t>
            </w:r>
            <w:r>
              <w:rPr/>
              <w:t xml:space="preserve">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b/>
              </w:rPr>
            </w:pPr>
            <w:r>
              <w:rPr>
                <w:b/>
              </w:rPr>
              <w:t>$</w:t>
            </w:r>
          </w:p>
        </w:tc>
        <w:tc>
          <w:tcPr>
            <w:tcW w:w="830" w:type="dxa"/>
            <w:tcBorders>
              <w:bottom w:val="single" w:sz="6" w:space="0" w:color="000000"/>
            </w:tcBorders>
            <w:tcMar>
              <w:bottom w:w="28" w:type="dxa"/>
            </w:tcMar>
            <w:vAlign w:val="center"/>
          </w:tcPr>
          <w:p>
            <w:pPr>
              <w:pStyle w:val="TableContents"/>
              <w:bidi w:val="0"/>
              <w:spacing w:before="0" w:after="283"/>
              <w:jc w:val="right"/>
              <w:rPr>
                <w:b/>
              </w:rPr>
            </w:pPr>
            <w:r>
              <w:rPr>
                <w:b/>
              </w:rPr>
              <w:t>238,888</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b/>
              </w:rPr>
            </w:pPr>
            <w:r>
              <w:rPr>
                <w:b/>
              </w:rPr>
              <w:t>$</w:t>
            </w:r>
          </w:p>
        </w:tc>
        <w:tc>
          <w:tcPr>
            <w:tcW w:w="830" w:type="dxa"/>
            <w:tcBorders>
              <w:bottom w:val="single" w:sz="6" w:space="0" w:color="000000"/>
            </w:tcBorders>
            <w:tcMar>
              <w:bottom w:w="28" w:type="dxa"/>
            </w:tcMar>
            <w:vAlign w:val="center"/>
          </w:tcPr>
          <w:p>
            <w:pPr>
              <w:pStyle w:val="TableContents"/>
              <w:bidi w:val="0"/>
              <w:spacing w:before="0" w:after="283"/>
              <w:jc w:val="right"/>
              <w:rPr>
                <w:b/>
              </w:rPr>
            </w:pPr>
            <w:r>
              <w:rPr>
                <w:b/>
              </w:rPr>
              <w:t>236,786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b/>
              </w:rPr>
            </w:pPr>
            <w:r>
              <w:rPr>
                <w:b/>
              </w:rPr>
              <w:t>$</w:t>
            </w:r>
          </w:p>
        </w:tc>
        <w:tc>
          <w:tcPr>
            <w:tcW w:w="1175" w:type="dxa"/>
            <w:tcBorders>
              <w:bottom w:val="single" w:sz="6" w:space="0" w:color="000000"/>
            </w:tcBorders>
            <w:tcMar>
              <w:bottom w:w="28" w:type="dxa"/>
            </w:tcMar>
            <w:vAlign w:val="center"/>
          </w:tcPr>
          <w:p>
            <w:pPr>
              <w:pStyle w:val="TableContents"/>
              <w:bidi w:val="0"/>
              <w:spacing w:before="0" w:after="283"/>
              <w:jc w:val="right"/>
              <w:rPr>
                <w:b/>
              </w:rPr>
            </w:pPr>
            <w:r>
              <w:rPr>
                <w:b/>
              </w:rPr>
              <w:t>2,101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6" w:space="0" w:color="000000"/>
            </w:tcBorders>
            <w:tcMar>
              <w:bottom w:w="28" w:type="dxa"/>
            </w:tcMar>
            <w:vAlign w:val="center"/>
          </w:tcPr>
          <w:p>
            <w:pPr>
              <w:pStyle w:val="TableContents"/>
              <w:bidi w:val="0"/>
              <w:spacing w:before="0" w:after="283"/>
              <w:jc w:val="right"/>
              <w:rPr/>
            </w:pPr>
            <w:r>
              <w:rPr/>
              <w:t> </w:t>
            </w:r>
          </w:p>
        </w:tc>
        <w:tc>
          <w:tcPr>
            <w:tcW w:w="1475" w:type="dxa"/>
            <w:tcBorders>
              <w:bottom w:val="single" w:sz="6" w:space="0" w:color="000000"/>
            </w:tcBorders>
            <w:tcMar>
              <w:bottom w:w="28" w:type="dxa"/>
            </w:tcMar>
            <w:vAlign w:val="center"/>
          </w:tcPr>
          <w:p>
            <w:pPr>
              <w:pStyle w:val="TableContents"/>
              <w:bidi w:val="0"/>
              <w:spacing w:before="0" w:after="283"/>
              <w:jc w:val="right"/>
              <w:rPr>
                <w:b/>
              </w:rPr>
            </w:pPr>
            <w:r>
              <w:rPr>
                <w:b/>
              </w:rPr>
              <w:t>0.9</w:t>
            </w:r>
          </w:p>
        </w:tc>
        <w:tc>
          <w:tcPr>
            <w:tcW w:w="365" w:type="dxa"/>
            <w:tcBorders>
              <w:bottom w:val="single" w:sz="2" w:space="0" w:color="000000"/>
            </w:tcBorders>
            <w:tcMar>
              <w:bottom w:w="28" w:type="dxa"/>
            </w:tcMar>
            <w:vAlign w:val="center"/>
          </w:tcPr>
          <w:p>
            <w:pPr>
              <w:pStyle w:val="TableContents"/>
              <w:bidi w:val="0"/>
              <w:spacing w:before="0" w:after="283"/>
              <w:jc w:val="left"/>
              <w:rPr>
                <w:b/>
              </w:rPr>
            </w:pPr>
            <w:r>
              <w:rPr>
                <w:b/>
              </w:rPr>
              <w:t>%</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position w:val="7"/>
          <w:sz w:val="16"/>
          <w:sz w:val="20"/>
        </w:rPr>
        <w:t>(1)</w:t>
      </w:r>
      <w:r>
        <w:rPr>
          <w:rFonts w:ascii="Times New Roman" w:hAnsi="Times New Roman"/>
          <w:sz w:val="20"/>
        </w:rPr>
        <w:t xml:space="preserve"> Due to Nabi-HB historically representing less than 10% of the Company’s revenue within the ADMA BioManufacturing segment, it has been included under intermediates and other products. </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increase in total revenue was primarily driven by the $40.8 million increase in ASCENIV volume reflecting robust and continued market acceptance. This increase was offset by the $36.4 million decrease in the volume of BIVIGAM driven by the competitive pressures in the standard immune globulin industry.</w:t>
      </w:r>
    </w:p>
    <w:p>
      <w:pPr>
        <w:pStyle w:val="TextBody"/>
        <w:bidi w:val="0"/>
        <w:spacing w:before="0" w:after="0"/>
        <w:ind w:left="0" w:right="0" w:hanging="0"/>
        <w:jc w:val="left"/>
        <w:rPr/>
      </w:pPr>
      <w:r>
        <w:rPr/>
        <w:t>   </w:t>
      </w:r>
    </w:p>
    <w:p>
      <w:pPr>
        <w:pStyle w:val="TextBody"/>
        <w:bidi w:val="0"/>
        <w:spacing w:before="0" w:after="60"/>
        <w:ind w:left="0" w:right="0" w:hanging="0"/>
        <w:jc w:val="left"/>
        <w:rPr>
          <w:rFonts w:ascii="Times New Roman" w:hAnsi="Times New Roman"/>
          <w:b/>
          <w:i/>
          <w:sz w:val="20"/>
        </w:rPr>
      </w:pPr>
      <w:r>
        <w:rPr>
          <w:rFonts w:ascii="Times New Roman" w:hAnsi="Times New Roman"/>
          <w:b/>
          <w:i/>
          <w:sz w:val="20"/>
        </w:rPr>
        <w:t>Cost of Product Revenue and Gross Profit</w:t>
      </w:r>
    </w:p>
    <w:p>
      <w:pPr>
        <w:pStyle w:val="TextBody"/>
        <w:bidi w:val="0"/>
        <w:spacing w:before="0" w:after="0"/>
        <w:ind w:left="0" w:right="0" w:firstLine="720"/>
        <w:jc w:val="both"/>
        <w:rPr>
          <w:rFonts w:ascii="Times New Roman" w:hAnsi="Times New Roman"/>
          <w:i w:val="false"/>
          <w:caps w:val="false"/>
          <w:smallCaps w:val="false"/>
          <w:sz w:val="20"/>
        </w:rPr>
      </w:pPr>
      <w:r>
        <w:rPr>
          <w:rFonts w:ascii="Times New Roman" w:hAnsi="Times New Roman"/>
          <w:i w:val="false"/>
          <w:caps w:val="false"/>
          <w:smallCaps w:val="false"/>
          <w:sz w:val="20"/>
        </w:rPr>
        <w:t xml:space="preserve">Cost of product revenue was $71.9 million for the six months ended June 30, 2026, as compared to $108.5 million for the six months ended June 30, 2025. This decrease is primarily attributable to lower volume of BIVIGAM and lower product losses, partially offset by the increase in ASCENIV volume.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val="false"/>
          <w:caps w:val="false"/>
          <w:smallCaps w:val="false"/>
          <w:sz w:val="20"/>
        </w:rPr>
      </w:pPr>
      <w:r>
        <w:rPr>
          <w:rFonts w:ascii="Times New Roman" w:hAnsi="Times New Roman"/>
          <w:i w:val="false"/>
          <w:caps w:val="false"/>
          <w:smallCaps w:val="false"/>
          <w:sz w:val="20"/>
        </w:rPr>
        <w:t>For the six months ended June 30, 2026, we had gross profit of $167.0 million, as compared to $128.3 million for the same period of a year ago, which represents gross margin in the first half of 2026 of 69.9%, as compared to 54.2% in the first half of 2025. The improvement in gross margin is primarily driven by favorable product mix in 2026, along with the margin benefits of the yield enhancement manufacturing process optimizations.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60"/>
        <w:ind w:left="0" w:right="0" w:hanging="0"/>
        <w:jc w:val="left"/>
        <w:rPr>
          <w:rFonts w:ascii="Times New Roman" w:hAnsi="Times New Roman"/>
          <w:b/>
          <w:i/>
          <w:sz w:val="20"/>
        </w:rPr>
      </w:pPr>
      <w:r>
        <w:rPr>
          <w:rFonts w:ascii="Times New Roman" w:hAnsi="Times New Roman"/>
          <w:b/>
          <w:i/>
          <w:sz w:val="20"/>
        </w:rPr>
        <w:t>Research and Development Expenses</w:t>
      </w:r>
    </w:p>
    <w:p>
      <w:pPr>
        <w:pStyle w:val="TextBody"/>
        <w:bidi w:val="0"/>
        <w:spacing w:before="0" w:after="0"/>
        <w:ind w:left="0" w:right="0" w:firstLine="720"/>
        <w:jc w:val="both"/>
        <w:rPr>
          <w:rFonts w:ascii="Times New Roman" w:hAnsi="Times New Roman"/>
          <w:sz w:val="24"/>
        </w:rPr>
      </w:pPr>
      <w:r>
        <w:rPr>
          <w:rFonts w:ascii="Times New Roman" w:hAnsi="Times New Roman"/>
          <w:sz w:val="20"/>
        </w:rPr>
        <w:t>Research and development expenses totaled $8.6 million for the six months ended June 30, 2026, as compared to $1.9 million for the six months ended June 30, 2025. The increase is mainly due to the ramp-up of</w:t>
      </w:r>
      <w:r>
        <w:rPr>
          <w:rFonts w:ascii="Times New Roman" w:hAnsi="Times New Roman"/>
          <w:sz w:val="24"/>
        </w:rPr>
        <w:t xml:space="preserve"> </w:t>
      </w:r>
      <w:r>
        <w:rPr>
          <w:rFonts w:ascii="Times New Roman" w:hAnsi="Times New Roman"/>
          <w:sz w:val="20"/>
        </w:rPr>
        <w:t>clinical development and clinical trial activities related to our SG-001 development project.</w:t>
      </w:r>
    </w:p>
    <w:p>
      <w:pPr>
        <w:pStyle w:val="TextBody"/>
        <w:bidi w:val="0"/>
        <w:spacing w:before="0" w:after="0"/>
        <w:ind w:left="0" w:right="0" w:firstLine="720"/>
        <w:jc w:val="left"/>
        <w:rPr/>
      </w:pPr>
      <w:r>
        <w:rPr/>
        <w:t> </w:t>
      </w:r>
    </w:p>
    <w:p>
      <w:pPr>
        <w:pStyle w:val="TextBody"/>
        <w:bidi w:val="0"/>
        <w:spacing w:before="0" w:after="60"/>
        <w:ind w:left="0" w:right="0" w:hanging="0"/>
        <w:jc w:val="left"/>
        <w:rPr>
          <w:rFonts w:ascii="Times New Roman" w:hAnsi="Times New Roman"/>
          <w:b/>
          <w:i/>
          <w:sz w:val="20"/>
        </w:rPr>
      </w:pPr>
      <w:r>
        <w:rPr>
          <w:rFonts w:ascii="Times New Roman" w:hAnsi="Times New Roman"/>
          <w:b/>
          <w:i/>
          <w:sz w:val="20"/>
        </w:rPr>
        <w:t>Plasma Center Operating Expenses</w:t>
      </w:r>
    </w:p>
    <w:p>
      <w:pPr>
        <w:pStyle w:val="TextBody"/>
        <w:bidi w:val="0"/>
        <w:spacing w:before="0" w:after="0"/>
        <w:ind w:left="0" w:right="0" w:firstLine="720"/>
        <w:jc w:val="both"/>
        <w:rPr>
          <w:rFonts w:ascii="Times New Roman" w:hAnsi="Times New Roman"/>
          <w:sz w:val="20"/>
        </w:rPr>
      </w:pPr>
      <w:r>
        <w:rPr>
          <w:rFonts w:ascii="Times New Roman" w:hAnsi="Times New Roman"/>
          <w:sz w:val="20"/>
        </w:rPr>
        <w:t>Plasma center operating expenses, which primarily consist of compensation and benefits for plasma center management and administrative staff, decreased from $2.4 million for the six months ended June 30, 2025 to $2.1 million for the six months ended June 30, 2026. The decrease is primarily due to the sale of three plasma centers in the first quarter of 2026.</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b/>
          <w:i/>
          <w:sz w:val="20"/>
        </w:rPr>
        <w:t>Amortization of Intangibles</w:t>
      </w:r>
      <w:r>
        <w:rPr>
          <w:rFonts w:ascii="Times New Roman" w:hAnsi="Times New Roman"/>
          <w: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Amortization expense mainly pertains to internally developed software and was $0.1 million and less than $0.1 million for the six months ended June 30, 2026 and 2025, respectively. </w:t>
      </w:r>
    </w:p>
    <w:p>
      <w:pPr>
        <w:pStyle w:val="TextBody"/>
        <w:bidi w:val="0"/>
        <w:spacing w:before="0" w:after="0"/>
        <w:jc w:val="left"/>
        <w:rPr/>
      </w:pPr>
      <w:r>
        <w:rPr/>
        <w:t xml:space="preserve">  </w:t>
      </w:r>
    </w:p>
    <w:p>
      <w:pPr>
        <w:pStyle w:val="TextBody"/>
        <w:bidi w:val="0"/>
        <w:spacing w:before="0" w:after="0"/>
        <w:jc w:val="left"/>
        <w:rPr>
          <w:rFonts w:ascii="Times New Roman" w:hAnsi="Times New Roman"/>
          <w:i/>
          <w:sz w:val="20"/>
        </w:rPr>
      </w:pPr>
      <w:r>
        <w:rPr>
          <w:rFonts w:ascii="Times New Roman" w:hAnsi="Times New Roman"/>
          <w:b/>
          <w:i/>
          <w:sz w:val="20"/>
        </w:rPr>
        <w:t>Gain on sale of plasma centers</w:t>
      </w:r>
      <w:r>
        <w:rPr>
          <w:rFonts w:ascii="Times New Roman" w:hAnsi="Times New Roman"/>
          <w: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Gain on sale of plasma centers was $8.0 million for the six months ended June 30, 2026, as result of the sale of three of our plasma centers completed during the first quarter of 2026. </w:t>
      </w:r>
    </w:p>
    <w:p>
      <w:pPr>
        <w:pStyle w:val="TextBody"/>
        <w:bidi w:val="0"/>
        <w:spacing w:before="0" w:after="0"/>
        <w:jc w:val="both"/>
        <w:rPr/>
      </w:pPr>
      <w:r>
        <w:rPr/>
        <w:t xml:space="preserve">  </w:t>
      </w:r>
    </w:p>
    <w:p>
      <w:pPr>
        <w:pStyle w:val="TextBody"/>
        <w:bidi w:val="0"/>
        <w:spacing w:before="0" w:after="0"/>
        <w:jc w:val="left"/>
        <w:rPr>
          <w:rFonts w:ascii="Times New Roman" w:hAnsi="Times New Roman"/>
          <w:i/>
          <w:sz w:val="20"/>
        </w:rPr>
      </w:pPr>
      <w:r>
        <w:rPr>
          <w:rFonts w:ascii="Times New Roman" w:hAnsi="Times New Roman"/>
          <w:b/>
          <w:i/>
          <w:sz w:val="20"/>
        </w:rPr>
        <w:t>Selling, General and Administrative Expenses</w:t>
      </w:r>
      <w:r>
        <w:rPr>
          <w:rFonts w:ascii="Times New Roman" w:hAnsi="Times New Roman"/>
          <w: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4"/>
        </w:rPr>
      </w:pPr>
      <w:r>
        <w:rPr>
          <w:rFonts w:ascii="Times New Roman" w:hAnsi="Times New Roman"/>
          <w:sz w:val="20"/>
        </w:rPr>
        <w:t>SG&amp;A expenses were $53.5 million for the six months ended June 30,</w:t>
      </w:r>
      <w:r>
        <w:rPr>
          <w:rFonts w:ascii="Times New Roman" w:hAnsi="Times New Roman"/>
          <w:sz w:val="24"/>
        </w:rPr>
        <w:t xml:space="preserve"> </w:t>
      </w:r>
      <w:r>
        <w:rPr>
          <w:rFonts w:ascii="Times New Roman" w:hAnsi="Times New Roman"/>
          <w:sz w:val="20"/>
        </w:rPr>
        <w:t xml:space="preserve">2026, an increase of $7.2 million as compared to the six months ended June 30, 2025. The increase is primarily driven by the increase in personnel costs, including stock-based compensation, and an increase in professional and consulting fees associated with ongoing litigation and related matters and strategic initiatives supporting corporate growth. </w:t>
      </w:r>
    </w:p>
    <w:p>
      <w:pPr>
        <w:pStyle w:val="TextBody"/>
        <w:bidi w:val="0"/>
        <w:spacing w:before="0" w:after="0"/>
        <w:ind w:left="0" w:right="0" w:firstLine="72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i/>
          <w:sz w:val="20"/>
        </w:rPr>
      </w:pPr>
      <w:r>
        <w:rPr>
          <w:rFonts w:ascii="Times New Roman" w:hAnsi="Times New Roman"/>
          <w:b/>
          <w:i/>
          <w:sz w:val="20"/>
        </w:rPr>
        <w:t>Interest and Other Income</w:t>
      </w:r>
      <w:r>
        <w:rPr>
          <w:rFonts w:ascii="Times New Roman" w:hAnsi="Times New Roman"/>
          <w: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4"/>
        </w:rPr>
      </w:pPr>
      <w:r>
        <w:rPr>
          <w:rFonts w:ascii="Times New Roman" w:hAnsi="Times New Roman"/>
          <w:sz w:val="20"/>
        </w:rPr>
        <w:t>Interest and other income for the six months ended June 30, 2026 was $2.3 million, as compared to $1.0 million for the six</w:t>
      </w:r>
      <w:r>
        <w:rPr>
          <w:rFonts w:ascii="Times New Roman" w:hAnsi="Times New Roman"/>
          <w:sz w:val="24"/>
        </w:rPr>
        <w:t xml:space="preserve"> </w:t>
      </w:r>
      <w:r>
        <w:rPr>
          <w:rFonts w:ascii="Times New Roman" w:hAnsi="Times New Roman"/>
          <w:sz w:val="20"/>
        </w:rPr>
        <w:t>months ended June 30, 2025, driven by the higher average cash balances in 2026 and refinement of our cash investment strategy.</w:t>
      </w:r>
    </w:p>
    <w:p>
      <w:pPr>
        <w:pStyle w:val="TextBody"/>
        <w:bidi w:val="0"/>
        <w:spacing w:before="0" w:after="0"/>
        <w:ind w:left="0" w:right="0" w:firstLine="720"/>
        <w:jc w:val="both"/>
        <w:rPr/>
      </w:pPr>
      <w:r>
        <w:rPr/>
        <w:t> </w:t>
      </w:r>
    </w:p>
    <w:p>
      <w:pPr>
        <w:pStyle w:val="TextBody"/>
        <w:bidi w:val="0"/>
        <w:spacing w:before="0" w:after="0"/>
        <w:jc w:val="left"/>
        <w:rPr>
          <w:rFonts w:ascii="Times New Roman" w:hAnsi="Times New Roman"/>
          <w:i/>
          <w:sz w:val="20"/>
        </w:rPr>
      </w:pPr>
      <w:r>
        <w:rPr>
          <w:rFonts w:ascii="Times New Roman" w:hAnsi="Times New Roman"/>
          <w:b/>
          <w:i/>
          <w:sz w:val="20"/>
        </w:rPr>
        <w:t>Interest Expense</w:t>
      </w:r>
      <w:r>
        <w:rPr>
          <w:rFonts w:ascii="Times New Roman" w:hAnsi="Times New Roman"/>
          <w: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Interest expense for the six months ended June 30, 2026 was $5.5 million, as compared to $3.8 million for the six months ended June 30, 2025, driven by higher average outstanding debt balances under our senior secured credit facility. </w:t>
      </w:r>
    </w:p>
    <w:p>
      <w:pPr>
        <w:pStyle w:val="TextBody"/>
        <w:bidi w:val="0"/>
        <w:spacing w:before="0" w:after="0"/>
        <w:jc w:val="left"/>
        <w:rPr/>
      </w:pPr>
      <w:r>
        <w:rPr/>
        <w:t xml:space="preserve">  </w:t>
      </w:r>
    </w:p>
    <w:p>
      <w:pPr>
        <w:pStyle w:val="TextBody"/>
        <w:bidi w:val="0"/>
        <w:spacing w:before="0" w:after="0"/>
        <w:jc w:val="left"/>
        <w:rPr>
          <w:rFonts w:ascii="Times New Roman" w:hAnsi="Times New Roman"/>
          <w:i/>
          <w:sz w:val="20"/>
        </w:rPr>
      </w:pPr>
      <w:r>
        <w:rPr>
          <w:rFonts w:ascii="Times New Roman" w:hAnsi="Times New Roman"/>
          <w:b/>
          <w:i/>
          <w:sz w:val="20"/>
        </w:rPr>
        <w:t>Loss on Extinguishment of Debt</w:t>
      </w:r>
      <w:r>
        <w:rPr>
          <w:rFonts w:ascii="Times New Roman" w:hAnsi="Times New Roman"/>
          <w: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i/>
          <w:sz w:val="20"/>
        </w:rPr>
      </w:pPr>
      <w:r>
        <w:rPr>
          <w:rFonts w:ascii="Times New Roman" w:hAnsi="Times New Roman"/>
          <w:i w:val="false"/>
          <w:caps w:val="false"/>
          <w:smallCaps w:val="false"/>
          <w:sz w:val="20"/>
        </w:rPr>
        <w:t>We recognized no loss on extinguishment of debt during the six months ended June 30, 2026. Loss on extinguishment of debt of $1.2 million recognized during the six months ended June 30, 2025 was driven by the early partial paydown of debt outstanding under the Ares Credit Agreement.</w:t>
      </w:r>
      <w:r>
        <w:rPr>
          <w:rFonts w:ascii="Times New Roman" w:hAnsi="Times New Roman"/>
          <w:i/>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i/>
          <w:sz w:val="20"/>
        </w:rPr>
      </w:pPr>
      <w:r>
        <w:rPr>
          <w:rFonts w:ascii="Times New Roman" w:hAnsi="Times New Roman"/>
          <w:b/>
          <w:i/>
          <w:sz w:val="20"/>
        </w:rPr>
        <w:t>Other Expense</w:t>
      </w:r>
      <w:r>
        <w:rPr>
          <w:rFonts w:ascii="Times New Roman" w:hAnsi="Times New Roman"/>
          <w: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Other expense was $0.2 million for the six months ended June 30, 2025 and 2026.</w:t>
      </w:r>
    </w:p>
    <w:p>
      <w:pPr>
        <w:pStyle w:val="TextBody"/>
        <w:bidi w:val="0"/>
        <w:spacing w:before="0" w:after="0"/>
        <w:ind w:left="0" w:right="0" w:firstLine="720"/>
        <w:jc w:val="both"/>
        <w:rPr/>
      </w:pPr>
      <w:r>
        <w:rPr/>
        <w:t> </w:t>
      </w:r>
    </w:p>
    <w:p>
      <w:pPr>
        <w:pStyle w:val="TextBody"/>
        <w:bidi w:val="0"/>
        <w:spacing w:before="0" w:after="0"/>
        <w:jc w:val="left"/>
        <w:rPr>
          <w:rFonts w:ascii="Times New Roman" w:hAnsi="Times New Roman"/>
          <w:i/>
          <w:sz w:val="20"/>
        </w:rPr>
      </w:pPr>
      <w:r>
        <w:rPr>
          <w:rFonts w:ascii="Times New Roman" w:hAnsi="Times New Roman"/>
          <w:b/>
          <w:i/>
          <w:sz w:val="20"/>
        </w:rPr>
        <w:t>Income Tax Expense</w:t>
      </w:r>
      <w:r>
        <w:rPr>
          <w:rFonts w:ascii="Times New Roman" w:hAnsi="Times New Roman"/>
          <w:i/>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provision for income taxes of $24.2 million for the six months ended June 30, 2026 represented an effective tax rate of 22.6%, as compared to the provision of $12.4 million for the six months ended June 30, 2025, with an effective tax rate of 16.9%. The increase in income tax expense is driven by lower excess tax benefits on stock-based compensation.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Non-GAAP Financial Measures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Earnings Before Interest, Taxes, Depreciation and Amortization (“EBITDA”), Adjusted EBITDA and Adjusted Net Income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EBITDA, Adjusted EBITDA and Adjusted net income are important non-GAAP financial measures used by our management and our board of directors (our “Board”) to assess our operating performance. We use EBITDA, Adjusted EBITDA and Adjusted net income as key performance measures because we believe that they facilitate operating performance comparisons from period to period that exclude, in the case of Adjusted net income, items that are expected to be non-recurring, and in the case of EBITDA and Adjusted EBITDA, potential differences driven by the impact of variations of non-cash items such as depreciation and amortization, as well as, in the case of Adjusted EBITDA, stock-based compensation or certain one-time and non-recurring items. In addition, we believe that EBITDA, Adjusted EBITDA and Adjusted net income and similar measures are widely used by investors, securities analysts, ratings agencies and other parties in evaluating companies in our industry as a measure of financial performance and debt-service capabilities. See below for a reconciliation of our EBITDA, Adjusted EBITDA and Adjusted net income to net income, the most directly comparable financial measure calculated and presented in accordance with U.S. GAAP.</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Because EBITDA, Adjusted EBITDA and Adjusted net income are measures not deemed to be in accordance with U.S. GAAP and are susceptible to varying calculations, our EBITDA, Adjusted EBITDA and Adjusted net income may not be comparable to similarly titled measures of other companies, including companies in our industry, because other companies may calculate EBITDA, Adjusted EBITDA and Adjusted net income in a different manner than we calculate these measurements. Although we use Adjusted EBITDA as one of several financial measures to assess our operating performance, our use is limited as we exclude certain significant operating expenses. EBITDA, Adjusted EBITDA and Adjusted net income are not intended to represent cash flows for the periods presented, nor have they been presented as an alternative to operating income, net income or as an indicator of operating performance and should not be considered in isolation or as a substitute for measures of performance prepared in accordance with U.S. GAAP. The following table presents the reconciliation of net income to EBITDA and Adjusted EBITDA for the three and six months ended June 30, 2026 and 2025:</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tbl>
      <w:tblPr>
        <w:tblW w:w="10205" w:type="dxa"/>
        <w:jc w:val="left"/>
        <w:tblInd w:w="0" w:type="dxa"/>
        <w:tblLayout w:type="fixed"/>
        <w:tblCellMar>
          <w:top w:w="0" w:type="dxa"/>
          <w:left w:w="0" w:type="dxa"/>
          <w:bottom w:w="0" w:type="dxa"/>
          <w:right w:w="0" w:type="dxa"/>
        </w:tblCellMar>
      </w:tblPr>
      <w:tblGrid>
        <w:gridCol w:w="3926"/>
        <w:gridCol w:w="90"/>
        <w:gridCol w:w="170"/>
        <w:gridCol w:w="1144"/>
        <w:gridCol w:w="144"/>
        <w:gridCol w:w="144"/>
        <w:gridCol w:w="273"/>
        <w:gridCol w:w="1144"/>
        <w:gridCol w:w="90"/>
        <w:gridCol w:w="90"/>
        <w:gridCol w:w="170"/>
        <w:gridCol w:w="1121"/>
        <w:gridCol w:w="249"/>
        <w:gridCol w:w="121"/>
        <w:gridCol w:w="229"/>
        <w:gridCol w:w="959"/>
        <w:gridCol w:w="141"/>
      </w:tblGrid>
      <w:tr>
        <w:trPr/>
        <w:tc>
          <w:tcPr>
            <w:tcW w:w="39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r>
      <w:tr>
        <w:trPr/>
        <w:tc>
          <w:tcPr>
            <w:tcW w:w="39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2849" w:type="dxa"/>
            <w:gridSpan w:val="5"/>
            <w:tcBorders>
              <w:bottom w:val="single" w:sz="6" w:space="0" w:color="000000"/>
            </w:tcBorders>
            <w:tcMar>
              <w:bottom w:w="28" w:type="dxa"/>
            </w:tcMar>
            <w:vAlign w:val="center"/>
          </w:tcPr>
          <w:p>
            <w:pPr>
              <w:pStyle w:val="TableContents"/>
              <w:bidi w:val="0"/>
              <w:spacing w:before="0" w:after="283"/>
              <w:jc w:val="center"/>
              <w:rPr/>
            </w:pPr>
            <w:r>
              <w:rPr>
                <w:b/>
                <w:spacing w:val="0"/>
              </w:rPr>
              <w:t>Three Months Ended June 30,</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2679" w:type="dxa"/>
            <w:gridSpan w:val="5"/>
            <w:tcBorders>
              <w:bottom w:val="single" w:sz="6" w:space="0" w:color="000000"/>
            </w:tcBorders>
            <w:tcMar>
              <w:bottom w:w="28" w:type="dxa"/>
            </w:tcMar>
            <w:vAlign w:val="center"/>
          </w:tcPr>
          <w:p>
            <w:pPr>
              <w:pStyle w:val="TableContents"/>
              <w:bidi w:val="0"/>
              <w:spacing w:before="0" w:after="283"/>
              <w:jc w:val="center"/>
              <w:rPr/>
            </w:pPr>
            <w:r>
              <w:rPr>
                <w:b/>
                <w:spacing w:val="0"/>
              </w:rPr>
              <w:t>Six Months Ended June 30,</w:t>
            </w:r>
            <w:r>
              <w:rPr/>
              <w:t xml:space="preserve"> </w:t>
            </w:r>
          </w:p>
        </w:tc>
        <w:tc>
          <w:tcPr>
            <w:tcW w:w="141" w:type="dxa"/>
            <w:tcBorders/>
            <w:vAlign w:val="center"/>
          </w:tcPr>
          <w:p>
            <w:pPr>
              <w:pStyle w:val="TableContents"/>
              <w:bidi w:val="0"/>
              <w:spacing w:before="0" w:after="283"/>
              <w:jc w:val="center"/>
              <w:rPr/>
            </w:pPr>
            <w:r>
              <w:rPr/>
              <w:t> </w:t>
            </w:r>
          </w:p>
        </w:tc>
      </w:tr>
      <w:tr>
        <w:trPr/>
        <w:tc>
          <w:tcPr>
            <w:tcW w:w="39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44" w:type="dxa"/>
            <w:tcBorders>
              <w:bottom w:val="single" w:sz="6"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44" w:type="dxa"/>
            <w:tcBorders/>
            <w:vAlign w:val="center"/>
          </w:tcPr>
          <w:p>
            <w:pPr>
              <w:pStyle w:val="TableContents"/>
              <w:bidi w:val="0"/>
              <w:spacing w:before="0" w:after="283"/>
              <w:jc w:val="center"/>
              <w:rPr/>
            </w:pPr>
            <w:r>
              <w:rPr/>
              <w:t> </w:t>
            </w:r>
          </w:p>
        </w:tc>
        <w:tc>
          <w:tcPr>
            <w:tcW w:w="144" w:type="dxa"/>
            <w:tcBorders/>
            <w:vAlign w:val="center"/>
          </w:tcPr>
          <w:p>
            <w:pPr>
              <w:pStyle w:val="TableContents"/>
              <w:bidi w:val="0"/>
              <w:spacing w:before="0" w:after="283"/>
              <w:jc w:val="center"/>
              <w:rPr/>
            </w:pPr>
            <w:r>
              <w:rPr/>
              <w:t> </w:t>
            </w:r>
          </w:p>
        </w:tc>
        <w:tc>
          <w:tcPr>
            <w:tcW w:w="273"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44" w:type="dxa"/>
            <w:tcBorders>
              <w:bottom w:val="single" w:sz="6" w:space="0" w:color="000000"/>
            </w:tcBorders>
            <w:tcMar>
              <w:bottom w:w="28" w:type="dxa"/>
            </w:tcMar>
            <w:vAlign w:val="center"/>
          </w:tcPr>
          <w:p>
            <w:pPr>
              <w:pStyle w:val="TableContents"/>
              <w:bidi w:val="0"/>
              <w:spacing w:before="0" w:after="283"/>
              <w:jc w:val="center"/>
              <w:rPr/>
            </w:pPr>
            <w:r>
              <w:rPr>
                <w:b/>
              </w:rPr>
              <w:t>2025</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21" w:type="dxa"/>
            <w:tcBorders>
              <w:bottom w:val="single" w:sz="6" w:space="0" w:color="000000"/>
            </w:tcBorders>
            <w:tcMar>
              <w:bottom w:w="28" w:type="dxa"/>
            </w:tcMar>
            <w:vAlign w:val="center"/>
          </w:tcPr>
          <w:p>
            <w:pPr>
              <w:pStyle w:val="TableContents"/>
              <w:bidi w:val="0"/>
              <w:spacing w:before="0" w:after="283"/>
              <w:jc w:val="center"/>
              <w:rPr/>
            </w:pPr>
            <w:r>
              <w:rPr>
                <w:b/>
              </w:rPr>
              <w:t>2026</w:t>
            </w:r>
            <w:r>
              <w:rPr/>
              <w:t xml:space="preserve"> </w:t>
            </w:r>
          </w:p>
        </w:tc>
        <w:tc>
          <w:tcPr>
            <w:tcW w:w="249" w:type="dxa"/>
            <w:tcBorders/>
            <w:vAlign w:val="center"/>
          </w:tcPr>
          <w:p>
            <w:pPr>
              <w:pStyle w:val="TableContents"/>
              <w:bidi w:val="0"/>
              <w:spacing w:before="0" w:after="283"/>
              <w:jc w:val="center"/>
              <w:rPr/>
            </w:pPr>
            <w:r>
              <w:rPr/>
              <w:t> </w:t>
            </w:r>
          </w:p>
        </w:tc>
        <w:tc>
          <w:tcPr>
            <w:tcW w:w="121" w:type="dxa"/>
            <w:tcBorders/>
            <w:vAlign w:val="center"/>
          </w:tcPr>
          <w:p>
            <w:pPr>
              <w:pStyle w:val="TableContents"/>
              <w:bidi w:val="0"/>
              <w:spacing w:before="0" w:after="283"/>
              <w:jc w:val="center"/>
              <w:rPr/>
            </w:pPr>
            <w:r>
              <w:rPr/>
              <w:t> </w:t>
            </w:r>
          </w:p>
        </w:tc>
        <w:tc>
          <w:tcPr>
            <w:tcW w:w="229" w:type="dxa"/>
            <w:tcBorders>
              <w:bottom w:val="single" w:sz="6" w:space="0" w:color="000000"/>
            </w:tcBorders>
            <w:tcMar>
              <w:bottom w:w="28" w:type="dxa"/>
            </w:tcMar>
            <w:vAlign w:val="center"/>
          </w:tcPr>
          <w:p>
            <w:pPr>
              <w:pStyle w:val="TableContents"/>
              <w:bidi w:val="0"/>
              <w:spacing w:before="0" w:after="283"/>
              <w:jc w:val="center"/>
              <w:rPr/>
            </w:pPr>
            <w:r>
              <w:rPr/>
              <w:t> </w:t>
            </w:r>
          </w:p>
        </w:tc>
        <w:tc>
          <w:tcPr>
            <w:tcW w:w="959" w:type="dxa"/>
            <w:tcBorders>
              <w:bottom w:val="single" w:sz="6"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41" w:type="dxa"/>
            <w:tcBorders/>
            <w:vAlign w:val="center"/>
          </w:tcPr>
          <w:p>
            <w:pPr>
              <w:pStyle w:val="TableContents"/>
              <w:bidi w:val="0"/>
              <w:spacing w:before="0" w:after="283"/>
              <w:jc w:val="center"/>
              <w:rPr/>
            </w:pPr>
            <w:r>
              <w:rPr/>
              <w:t> </w:t>
            </w:r>
          </w:p>
        </w:tc>
      </w:tr>
      <w:tr>
        <w:trPr/>
        <w:tc>
          <w:tcPr>
            <w:tcW w:w="3926" w:type="dxa"/>
            <w:tcBorders/>
            <w:vAlign w:val="center"/>
          </w:tcPr>
          <w:p>
            <w:pPr>
              <w:pStyle w:val="TableContents"/>
              <w:bidi w:val="0"/>
              <w:spacing w:before="0" w:after="283"/>
              <w:jc w:val="left"/>
              <w:rPr>
                <w:i/>
                <w:spacing w:val="0"/>
              </w:rPr>
            </w:pPr>
            <w:r>
              <w:rPr>
                <w:i/>
                <w:spacing w:val="0"/>
              </w:rPr>
              <w:t>(In thousands)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r>
      <w:tr>
        <w:trPr/>
        <w:tc>
          <w:tcPr>
            <w:tcW w:w="3926" w:type="dxa"/>
            <w:tcBorders/>
            <w:shd w:fill="CCEEFF" w:val="clear"/>
            <w:vAlign w:val="center"/>
          </w:tcPr>
          <w:p>
            <w:pPr>
              <w:pStyle w:val="TableContents"/>
              <w:bidi w:val="0"/>
              <w:spacing w:before="0" w:after="0"/>
              <w:jc w:val="left"/>
              <w:rPr/>
            </w:pPr>
            <w:r>
              <w:rPr>
                <w:b/>
              </w:rPr>
              <w:t>Net income</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w:t>
            </w:r>
          </w:p>
        </w:tc>
        <w:tc>
          <w:tcPr>
            <w:tcW w:w="1144" w:type="dxa"/>
            <w:tcBorders/>
            <w:shd w:fill="CCEEFF" w:val="clear"/>
            <w:vAlign w:val="center"/>
          </w:tcPr>
          <w:p>
            <w:pPr>
              <w:pStyle w:val="TableContents"/>
              <w:bidi w:val="0"/>
              <w:spacing w:before="0" w:after="283"/>
              <w:jc w:val="right"/>
              <w:rPr/>
            </w:pPr>
            <w:r>
              <w:rPr/>
              <w:t>37,822</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right"/>
              <w:rPr/>
            </w:pPr>
            <w:r>
              <w:rPr/>
              <w:t> </w:t>
            </w:r>
          </w:p>
        </w:tc>
        <w:tc>
          <w:tcPr>
            <w:tcW w:w="273" w:type="dxa"/>
            <w:tcBorders/>
            <w:shd w:fill="CCEEFF" w:val="clear"/>
            <w:vAlign w:val="center"/>
          </w:tcPr>
          <w:p>
            <w:pPr>
              <w:pStyle w:val="TableContents"/>
              <w:bidi w:val="0"/>
              <w:spacing w:before="0" w:after="283"/>
              <w:jc w:val="right"/>
              <w:rPr/>
            </w:pPr>
            <w:r>
              <w:rPr/>
              <w:t>$</w:t>
            </w:r>
          </w:p>
        </w:tc>
        <w:tc>
          <w:tcPr>
            <w:tcW w:w="1144" w:type="dxa"/>
            <w:tcBorders/>
            <w:shd w:fill="CCEEFF" w:val="clear"/>
            <w:vAlign w:val="center"/>
          </w:tcPr>
          <w:p>
            <w:pPr>
              <w:pStyle w:val="TableContents"/>
              <w:bidi w:val="0"/>
              <w:spacing w:before="0" w:after="283"/>
              <w:jc w:val="right"/>
              <w:rPr/>
            </w:pPr>
            <w:r>
              <w:rPr/>
              <w:t>34,219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w:t>
            </w:r>
          </w:p>
        </w:tc>
        <w:tc>
          <w:tcPr>
            <w:tcW w:w="1121" w:type="dxa"/>
            <w:tcBorders/>
            <w:shd w:fill="CCEEFF" w:val="clear"/>
            <w:vAlign w:val="center"/>
          </w:tcPr>
          <w:p>
            <w:pPr>
              <w:pStyle w:val="TableContents"/>
              <w:bidi w:val="0"/>
              <w:spacing w:before="0" w:after="283"/>
              <w:jc w:val="right"/>
              <w:rPr/>
            </w:pPr>
            <w:r>
              <w:rPr/>
              <w:t>83,150</w:t>
            </w:r>
          </w:p>
        </w:tc>
        <w:tc>
          <w:tcPr>
            <w:tcW w:w="249"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right"/>
              <w:rPr/>
            </w:pPr>
            <w:r>
              <w:rPr/>
              <w:t> </w:t>
            </w:r>
          </w:p>
        </w:tc>
        <w:tc>
          <w:tcPr>
            <w:tcW w:w="229" w:type="dxa"/>
            <w:tcBorders/>
            <w:shd w:fill="CCEEFF" w:val="clear"/>
            <w:vAlign w:val="center"/>
          </w:tcPr>
          <w:p>
            <w:pPr>
              <w:pStyle w:val="TableContents"/>
              <w:bidi w:val="0"/>
              <w:spacing w:before="0" w:after="283"/>
              <w:jc w:val="right"/>
              <w:rPr/>
            </w:pPr>
            <w:r>
              <w:rPr/>
              <w:t>$</w:t>
            </w:r>
          </w:p>
        </w:tc>
        <w:tc>
          <w:tcPr>
            <w:tcW w:w="959" w:type="dxa"/>
            <w:tcBorders/>
            <w:shd w:fill="CCEEFF" w:val="clear"/>
            <w:vAlign w:val="center"/>
          </w:tcPr>
          <w:p>
            <w:pPr>
              <w:pStyle w:val="TableContents"/>
              <w:bidi w:val="0"/>
              <w:spacing w:before="0" w:after="283"/>
              <w:jc w:val="right"/>
              <w:rPr/>
            </w:pPr>
            <w:r>
              <w:rPr/>
              <w:t>61,122</w:t>
            </w:r>
          </w:p>
        </w:tc>
        <w:tc>
          <w:tcPr>
            <w:tcW w:w="141" w:type="dxa"/>
            <w:tcBorders/>
            <w:shd w:fill="CCEEFF" w:val="clear"/>
            <w:vAlign w:val="center"/>
          </w:tcPr>
          <w:p>
            <w:pPr>
              <w:pStyle w:val="TableContents"/>
              <w:bidi w:val="0"/>
              <w:spacing w:before="0" w:after="283"/>
              <w:jc w:val="left"/>
              <w:rPr/>
            </w:pPr>
            <w:r>
              <w:rPr/>
              <w:t> </w:t>
            </w:r>
          </w:p>
        </w:tc>
      </w:tr>
      <w:tr>
        <w:trPr/>
        <w:tc>
          <w:tcPr>
            <w:tcW w:w="3926" w:type="dxa"/>
            <w:tcBorders/>
            <w:vAlign w:val="center"/>
          </w:tcPr>
          <w:p>
            <w:pPr>
              <w:pStyle w:val="TableContents"/>
              <w:bidi w:val="0"/>
              <w:spacing w:before="0" w:after="0"/>
              <w:jc w:val="left"/>
              <w:rPr/>
            </w:pPr>
            <w:r>
              <w:rPr/>
              <w:t xml:space="preserve">Depreciation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44" w:type="dxa"/>
            <w:tcBorders/>
            <w:vAlign w:val="center"/>
          </w:tcPr>
          <w:p>
            <w:pPr>
              <w:pStyle w:val="TableContents"/>
              <w:bidi w:val="0"/>
              <w:spacing w:before="0" w:after="283"/>
              <w:jc w:val="right"/>
              <w:rPr/>
            </w:pPr>
            <w:r>
              <w:rPr/>
              <w:t>1,726</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right"/>
              <w:rPr/>
            </w:pPr>
            <w:r>
              <w:rPr/>
              <w:t> </w:t>
            </w:r>
          </w:p>
        </w:tc>
        <w:tc>
          <w:tcPr>
            <w:tcW w:w="273" w:type="dxa"/>
            <w:tcBorders/>
            <w:vAlign w:val="center"/>
          </w:tcPr>
          <w:p>
            <w:pPr>
              <w:pStyle w:val="TableContents"/>
              <w:bidi w:val="0"/>
              <w:spacing w:before="0" w:after="283"/>
              <w:jc w:val="right"/>
              <w:rPr/>
            </w:pPr>
            <w:r>
              <w:rPr/>
              <w:t> </w:t>
            </w:r>
          </w:p>
        </w:tc>
        <w:tc>
          <w:tcPr>
            <w:tcW w:w="1144" w:type="dxa"/>
            <w:tcBorders/>
            <w:vAlign w:val="center"/>
          </w:tcPr>
          <w:p>
            <w:pPr>
              <w:pStyle w:val="TableContents"/>
              <w:bidi w:val="0"/>
              <w:spacing w:before="0" w:after="283"/>
              <w:jc w:val="right"/>
              <w:rPr/>
            </w:pPr>
            <w:r>
              <w:rPr/>
              <w:t>2,027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21" w:type="dxa"/>
            <w:tcBorders/>
            <w:vAlign w:val="center"/>
          </w:tcPr>
          <w:p>
            <w:pPr>
              <w:pStyle w:val="TableContents"/>
              <w:bidi w:val="0"/>
              <w:spacing w:before="0" w:after="283"/>
              <w:jc w:val="right"/>
              <w:rPr/>
            </w:pPr>
            <w:r>
              <w:rPr/>
              <w:t>3,510</w:t>
            </w:r>
          </w:p>
        </w:tc>
        <w:tc>
          <w:tcPr>
            <w:tcW w:w="249"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59" w:type="dxa"/>
            <w:tcBorders/>
            <w:vAlign w:val="center"/>
          </w:tcPr>
          <w:p>
            <w:pPr>
              <w:pStyle w:val="TableContents"/>
              <w:bidi w:val="0"/>
              <w:spacing w:before="0" w:after="283"/>
              <w:jc w:val="right"/>
              <w:rPr/>
            </w:pPr>
            <w:r>
              <w:rPr/>
              <w:t>3,970</w:t>
            </w:r>
          </w:p>
        </w:tc>
        <w:tc>
          <w:tcPr>
            <w:tcW w:w="141" w:type="dxa"/>
            <w:tcBorders/>
            <w:vAlign w:val="center"/>
          </w:tcPr>
          <w:p>
            <w:pPr>
              <w:pStyle w:val="TableContents"/>
              <w:bidi w:val="0"/>
              <w:spacing w:before="0" w:after="283"/>
              <w:jc w:val="left"/>
              <w:rPr/>
            </w:pPr>
            <w:r>
              <w:rPr/>
              <w:t> </w:t>
            </w:r>
          </w:p>
        </w:tc>
      </w:tr>
      <w:tr>
        <w:trPr/>
        <w:tc>
          <w:tcPr>
            <w:tcW w:w="3926" w:type="dxa"/>
            <w:tcBorders/>
            <w:shd w:fill="CCEEFF" w:val="clear"/>
            <w:vAlign w:val="center"/>
          </w:tcPr>
          <w:p>
            <w:pPr>
              <w:pStyle w:val="TableContents"/>
              <w:bidi w:val="0"/>
              <w:spacing w:before="0" w:after="0"/>
              <w:jc w:val="left"/>
              <w:rPr/>
            </w:pPr>
            <w:r>
              <w:rPr/>
              <w:t xml:space="preserve">Amortization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44" w:type="dxa"/>
            <w:tcBorders/>
            <w:shd w:fill="CCEEFF" w:val="clear"/>
            <w:vAlign w:val="center"/>
          </w:tcPr>
          <w:p>
            <w:pPr>
              <w:pStyle w:val="TableContents"/>
              <w:bidi w:val="0"/>
              <w:spacing w:before="0" w:after="283"/>
              <w:jc w:val="right"/>
              <w:rPr/>
            </w:pPr>
            <w:r>
              <w:rPr/>
              <w:t>55</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right"/>
              <w:rPr/>
            </w:pPr>
            <w:r>
              <w:rPr/>
              <w:t> </w:t>
            </w:r>
          </w:p>
        </w:tc>
        <w:tc>
          <w:tcPr>
            <w:tcW w:w="273" w:type="dxa"/>
            <w:tcBorders/>
            <w:shd w:fill="CCEEFF" w:val="clear"/>
            <w:vAlign w:val="center"/>
          </w:tcPr>
          <w:p>
            <w:pPr>
              <w:pStyle w:val="TableContents"/>
              <w:bidi w:val="0"/>
              <w:spacing w:before="0" w:after="283"/>
              <w:jc w:val="right"/>
              <w:rPr/>
            </w:pPr>
            <w:r>
              <w:rPr/>
              <w:t> </w:t>
            </w:r>
          </w:p>
        </w:tc>
        <w:tc>
          <w:tcPr>
            <w:tcW w:w="1144" w:type="dxa"/>
            <w:tcBorders/>
            <w:shd w:fill="CCEEFF" w:val="clear"/>
            <w:vAlign w:val="center"/>
          </w:tcPr>
          <w:p>
            <w:pPr>
              <w:pStyle w:val="TableContents"/>
              <w:bidi w:val="0"/>
              <w:spacing w:before="0" w:after="283"/>
              <w:jc w:val="right"/>
              <w:rPr/>
            </w:pPr>
            <w:r>
              <w:rPr/>
              <w:t>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21" w:type="dxa"/>
            <w:tcBorders/>
            <w:shd w:fill="CCEEFF" w:val="clear"/>
            <w:vAlign w:val="center"/>
          </w:tcPr>
          <w:p>
            <w:pPr>
              <w:pStyle w:val="TableContents"/>
              <w:bidi w:val="0"/>
              <w:spacing w:before="0" w:after="283"/>
              <w:jc w:val="right"/>
              <w:rPr/>
            </w:pPr>
            <w:r>
              <w:rPr/>
              <w:t>110</w:t>
            </w:r>
          </w:p>
        </w:tc>
        <w:tc>
          <w:tcPr>
            <w:tcW w:w="249"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right"/>
              <w:rPr/>
            </w:pPr>
            <w:r>
              <w:rPr/>
              <w:t> </w:t>
            </w:r>
          </w:p>
        </w:tc>
        <w:tc>
          <w:tcPr>
            <w:tcW w:w="229" w:type="dxa"/>
            <w:tcBorders/>
            <w:shd w:fill="CCEEFF" w:val="clear"/>
            <w:vAlign w:val="center"/>
          </w:tcPr>
          <w:p>
            <w:pPr>
              <w:pStyle w:val="TableContents"/>
              <w:bidi w:val="0"/>
              <w:spacing w:before="0" w:after="283"/>
              <w:jc w:val="right"/>
              <w:rPr/>
            </w:pPr>
            <w:r>
              <w:rPr/>
              <w:t> </w:t>
            </w:r>
          </w:p>
        </w:tc>
        <w:tc>
          <w:tcPr>
            <w:tcW w:w="959" w:type="dxa"/>
            <w:tcBorders/>
            <w:shd w:fill="CCEEFF" w:val="clear"/>
            <w:vAlign w:val="center"/>
          </w:tcPr>
          <w:p>
            <w:pPr>
              <w:pStyle w:val="TableContents"/>
              <w:bidi w:val="0"/>
              <w:spacing w:before="0" w:after="283"/>
              <w:jc w:val="right"/>
              <w:rPr/>
            </w:pPr>
            <w:r>
              <w:rPr/>
              <w:t>57</w:t>
            </w:r>
          </w:p>
        </w:tc>
        <w:tc>
          <w:tcPr>
            <w:tcW w:w="141" w:type="dxa"/>
            <w:tcBorders/>
            <w:shd w:fill="CCEEFF" w:val="clear"/>
            <w:vAlign w:val="center"/>
          </w:tcPr>
          <w:p>
            <w:pPr>
              <w:pStyle w:val="TableContents"/>
              <w:bidi w:val="0"/>
              <w:spacing w:before="0" w:after="283"/>
              <w:jc w:val="left"/>
              <w:rPr/>
            </w:pPr>
            <w:r>
              <w:rPr/>
              <w:t> </w:t>
            </w:r>
          </w:p>
        </w:tc>
      </w:tr>
      <w:tr>
        <w:trPr/>
        <w:tc>
          <w:tcPr>
            <w:tcW w:w="3926" w:type="dxa"/>
            <w:tcBorders/>
            <w:vAlign w:val="center"/>
          </w:tcPr>
          <w:p>
            <w:pPr>
              <w:pStyle w:val="TableContents"/>
              <w:bidi w:val="0"/>
              <w:spacing w:before="0" w:after="0"/>
              <w:jc w:val="left"/>
              <w:rPr/>
            </w:pPr>
            <w:r>
              <w:rPr/>
              <w:t xml:space="preserve">Income taxes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44" w:type="dxa"/>
            <w:tcBorders/>
            <w:vAlign w:val="center"/>
          </w:tcPr>
          <w:p>
            <w:pPr>
              <w:pStyle w:val="TableContents"/>
              <w:bidi w:val="0"/>
              <w:spacing w:before="0" w:after="283"/>
              <w:jc w:val="right"/>
              <w:rPr/>
            </w:pPr>
            <w:r>
              <w:rPr/>
              <w:t>12,415</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right"/>
              <w:rPr/>
            </w:pPr>
            <w:r>
              <w:rPr/>
              <w:t> </w:t>
            </w:r>
          </w:p>
        </w:tc>
        <w:tc>
          <w:tcPr>
            <w:tcW w:w="273" w:type="dxa"/>
            <w:tcBorders/>
            <w:vAlign w:val="center"/>
          </w:tcPr>
          <w:p>
            <w:pPr>
              <w:pStyle w:val="TableContents"/>
              <w:bidi w:val="0"/>
              <w:spacing w:before="0" w:after="283"/>
              <w:jc w:val="right"/>
              <w:rPr/>
            </w:pPr>
            <w:r>
              <w:rPr/>
              <w:t> </w:t>
            </w:r>
          </w:p>
        </w:tc>
        <w:tc>
          <w:tcPr>
            <w:tcW w:w="1144" w:type="dxa"/>
            <w:tcBorders/>
            <w:vAlign w:val="center"/>
          </w:tcPr>
          <w:p>
            <w:pPr>
              <w:pStyle w:val="TableContents"/>
              <w:bidi w:val="0"/>
              <w:spacing w:before="0" w:after="283"/>
              <w:jc w:val="right"/>
              <w:rPr/>
            </w:pPr>
            <w:r>
              <w:rPr/>
              <w:t>5,878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21" w:type="dxa"/>
            <w:tcBorders/>
            <w:vAlign w:val="center"/>
          </w:tcPr>
          <w:p>
            <w:pPr>
              <w:pStyle w:val="TableContents"/>
              <w:bidi w:val="0"/>
              <w:spacing w:before="0" w:after="283"/>
              <w:jc w:val="right"/>
              <w:rPr/>
            </w:pPr>
            <w:r>
              <w:rPr/>
              <w:t>24,215</w:t>
            </w:r>
          </w:p>
        </w:tc>
        <w:tc>
          <w:tcPr>
            <w:tcW w:w="249"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59" w:type="dxa"/>
            <w:tcBorders/>
            <w:vAlign w:val="center"/>
          </w:tcPr>
          <w:p>
            <w:pPr>
              <w:pStyle w:val="TableContents"/>
              <w:bidi w:val="0"/>
              <w:spacing w:before="0" w:after="283"/>
              <w:jc w:val="right"/>
              <w:rPr/>
            </w:pPr>
            <w:r>
              <w:rPr/>
              <w:t>12,424</w:t>
            </w:r>
          </w:p>
        </w:tc>
        <w:tc>
          <w:tcPr>
            <w:tcW w:w="141" w:type="dxa"/>
            <w:tcBorders/>
            <w:vAlign w:val="center"/>
          </w:tcPr>
          <w:p>
            <w:pPr>
              <w:pStyle w:val="TableContents"/>
              <w:bidi w:val="0"/>
              <w:spacing w:before="0" w:after="283"/>
              <w:jc w:val="left"/>
              <w:rPr/>
            </w:pPr>
            <w:r>
              <w:rPr/>
              <w:t> </w:t>
            </w:r>
          </w:p>
        </w:tc>
      </w:tr>
      <w:tr>
        <w:trPr/>
        <w:tc>
          <w:tcPr>
            <w:tcW w:w="3926" w:type="dxa"/>
            <w:tcBorders/>
            <w:shd w:fill="CCEEFF" w:val="clear"/>
            <w:vAlign w:val="center"/>
          </w:tcPr>
          <w:p>
            <w:pPr>
              <w:pStyle w:val="TableContents"/>
              <w:bidi w:val="0"/>
              <w:spacing w:before="0" w:after="0"/>
              <w:jc w:val="left"/>
              <w:rPr/>
            </w:pPr>
            <w:r>
              <w:rPr/>
              <w:t xml:space="preserve">Interest expense, net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144" w:type="dxa"/>
            <w:tcBorders>
              <w:bottom w:val="single" w:sz="6" w:space="0" w:color="000000"/>
            </w:tcBorders>
            <w:shd w:fill="CCEEFF" w:val="clear"/>
            <w:tcMar>
              <w:bottom w:w="28" w:type="dxa"/>
            </w:tcMar>
            <w:vAlign w:val="center"/>
          </w:tcPr>
          <w:p>
            <w:pPr>
              <w:pStyle w:val="TableContents"/>
              <w:bidi w:val="0"/>
              <w:spacing w:before="0" w:after="283"/>
              <w:jc w:val="right"/>
              <w:rPr/>
            </w:pPr>
            <w:r>
              <w:rPr/>
              <w:t>2,186</w:t>
            </w:r>
          </w:p>
        </w:tc>
        <w:tc>
          <w:tcPr>
            <w:tcW w:w="14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right"/>
              <w:rPr/>
            </w:pPr>
            <w:r>
              <w:rPr/>
              <w:t> </w:t>
            </w:r>
          </w:p>
        </w:tc>
        <w:tc>
          <w:tcPr>
            <w:tcW w:w="273"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144" w:type="dxa"/>
            <w:tcBorders>
              <w:bottom w:val="single" w:sz="6" w:space="0" w:color="000000"/>
            </w:tcBorders>
            <w:shd w:fill="CCEEFF" w:val="clear"/>
            <w:tcMar>
              <w:bottom w:w="28" w:type="dxa"/>
            </w:tcMar>
            <w:vAlign w:val="center"/>
          </w:tcPr>
          <w:p>
            <w:pPr>
              <w:pStyle w:val="TableContents"/>
              <w:bidi w:val="0"/>
              <w:spacing w:before="0" w:after="283"/>
              <w:jc w:val="right"/>
              <w:rPr/>
            </w:pPr>
            <w:r>
              <w:rPr/>
              <w:t>1,834</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121" w:type="dxa"/>
            <w:tcBorders>
              <w:bottom w:val="single" w:sz="6" w:space="0" w:color="000000"/>
            </w:tcBorders>
            <w:shd w:fill="CCEEFF" w:val="clear"/>
            <w:tcMar>
              <w:bottom w:w="28" w:type="dxa"/>
            </w:tcMar>
            <w:vAlign w:val="center"/>
          </w:tcPr>
          <w:p>
            <w:pPr>
              <w:pStyle w:val="TableContents"/>
              <w:bidi w:val="0"/>
              <w:spacing w:before="0" w:after="283"/>
              <w:jc w:val="right"/>
              <w:rPr/>
            </w:pPr>
            <w:r>
              <w:rPr/>
              <w:t>3,169</w:t>
            </w:r>
          </w:p>
        </w:tc>
        <w:tc>
          <w:tcPr>
            <w:tcW w:w="24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right"/>
              <w:rPr/>
            </w:pPr>
            <w:r>
              <w:rPr/>
              <w:t> </w:t>
            </w:r>
          </w:p>
        </w:tc>
        <w:tc>
          <w:tcPr>
            <w:tcW w:w="229"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959" w:type="dxa"/>
            <w:tcBorders>
              <w:bottom w:val="single" w:sz="6" w:space="0" w:color="000000"/>
            </w:tcBorders>
            <w:shd w:fill="CCEEFF" w:val="clear"/>
            <w:tcMar>
              <w:bottom w:w="28" w:type="dxa"/>
            </w:tcMar>
            <w:vAlign w:val="center"/>
          </w:tcPr>
          <w:p>
            <w:pPr>
              <w:pStyle w:val="TableContents"/>
              <w:bidi w:val="0"/>
              <w:spacing w:before="0" w:after="283"/>
              <w:jc w:val="right"/>
              <w:rPr/>
            </w:pPr>
            <w:r>
              <w:rPr/>
              <w:t>3,809</w:t>
            </w:r>
          </w:p>
        </w:tc>
        <w:tc>
          <w:tcPr>
            <w:tcW w:w="14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26" w:type="dxa"/>
            <w:tcBorders/>
            <w:vAlign w:val="center"/>
          </w:tcPr>
          <w:p>
            <w:pPr>
              <w:pStyle w:val="TableContents"/>
              <w:bidi w:val="0"/>
              <w:spacing w:before="0" w:after="0"/>
              <w:jc w:val="left"/>
              <w:rPr/>
            </w:pPr>
            <w:r>
              <w:rPr>
                <w:b/>
              </w:rPr>
              <w:t>EBITDA</w:t>
            </w:r>
            <w:r>
              <w:rPr/>
              <w:t xml:space="preserv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44" w:type="dxa"/>
            <w:tcBorders/>
            <w:vAlign w:val="center"/>
          </w:tcPr>
          <w:p>
            <w:pPr>
              <w:pStyle w:val="TableContents"/>
              <w:bidi w:val="0"/>
              <w:spacing w:before="0" w:after="283"/>
              <w:jc w:val="right"/>
              <w:rPr/>
            </w:pPr>
            <w:r>
              <w:rPr/>
              <w:t>54,204</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right"/>
              <w:rPr/>
            </w:pPr>
            <w:r>
              <w:rPr/>
              <w:t> </w:t>
            </w:r>
          </w:p>
        </w:tc>
        <w:tc>
          <w:tcPr>
            <w:tcW w:w="273" w:type="dxa"/>
            <w:tcBorders/>
            <w:vAlign w:val="center"/>
          </w:tcPr>
          <w:p>
            <w:pPr>
              <w:pStyle w:val="TableContents"/>
              <w:bidi w:val="0"/>
              <w:spacing w:before="0" w:after="283"/>
              <w:jc w:val="right"/>
              <w:rPr/>
            </w:pPr>
            <w:r>
              <w:rPr/>
              <w:t> </w:t>
            </w:r>
          </w:p>
        </w:tc>
        <w:tc>
          <w:tcPr>
            <w:tcW w:w="1144" w:type="dxa"/>
            <w:tcBorders/>
            <w:vAlign w:val="center"/>
          </w:tcPr>
          <w:p>
            <w:pPr>
              <w:pStyle w:val="TableContents"/>
              <w:bidi w:val="0"/>
              <w:spacing w:before="0" w:after="283"/>
              <w:jc w:val="right"/>
              <w:rPr/>
            </w:pPr>
            <w:r>
              <w:rPr/>
              <w:t>43,990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21" w:type="dxa"/>
            <w:tcBorders/>
            <w:vAlign w:val="center"/>
          </w:tcPr>
          <w:p>
            <w:pPr>
              <w:pStyle w:val="TableContents"/>
              <w:bidi w:val="0"/>
              <w:spacing w:before="0" w:after="283"/>
              <w:jc w:val="right"/>
              <w:rPr/>
            </w:pPr>
            <w:r>
              <w:rPr/>
              <w:t>114,154</w:t>
            </w:r>
          </w:p>
        </w:tc>
        <w:tc>
          <w:tcPr>
            <w:tcW w:w="249"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59" w:type="dxa"/>
            <w:tcBorders/>
            <w:vAlign w:val="center"/>
          </w:tcPr>
          <w:p>
            <w:pPr>
              <w:pStyle w:val="TableContents"/>
              <w:bidi w:val="0"/>
              <w:spacing w:before="0" w:after="283"/>
              <w:jc w:val="right"/>
              <w:rPr/>
            </w:pPr>
            <w:r>
              <w:rPr/>
              <w:t>81,382</w:t>
            </w:r>
          </w:p>
        </w:tc>
        <w:tc>
          <w:tcPr>
            <w:tcW w:w="141" w:type="dxa"/>
            <w:tcBorders/>
            <w:vAlign w:val="center"/>
          </w:tcPr>
          <w:p>
            <w:pPr>
              <w:pStyle w:val="TableContents"/>
              <w:bidi w:val="0"/>
              <w:spacing w:before="0" w:after="283"/>
              <w:jc w:val="left"/>
              <w:rPr/>
            </w:pPr>
            <w:r>
              <w:rPr/>
              <w:t> </w:t>
            </w:r>
          </w:p>
        </w:tc>
      </w:tr>
      <w:tr>
        <w:trPr/>
        <w:tc>
          <w:tcPr>
            <w:tcW w:w="3926" w:type="dxa"/>
            <w:tcBorders/>
            <w:shd w:fill="CCEEFF" w:val="clear"/>
            <w:vAlign w:val="center"/>
          </w:tcPr>
          <w:p>
            <w:pPr>
              <w:pStyle w:val="TableContents"/>
              <w:bidi w:val="0"/>
              <w:spacing w:before="0" w:after="0"/>
              <w:jc w:val="left"/>
              <w:rPr/>
            </w:pPr>
            <w:r>
              <w:rPr/>
              <w:t xml:space="preserve">Stock-based compensation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44" w:type="dxa"/>
            <w:tcBorders/>
            <w:shd w:fill="CCEEFF" w:val="clear"/>
            <w:vAlign w:val="center"/>
          </w:tcPr>
          <w:p>
            <w:pPr>
              <w:pStyle w:val="TableContents"/>
              <w:bidi w:val="0"/>
              <w:spacing w:before="0" w:after="283"/>
              <w:jc w:val="right"/>
              <w:rPr/>
            </w:pPr>
            <w:r>
              <w:rPr/>
              <w:t>6,135</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right"/>
              <w:rPr/>
            </w:pPr>
            <w:r>
              <w:rPr/>
              <w:t> </w:t>
            </w:r>
          </w:p>
        </w:tc>
        <w:tc>
          <w:tcPr>
            <w:tcW w:w="273" w:type="dxa"/>
            <w:tcBorders/>
            <w:shd w:fill="CCEEFF" w:val="clear"/>
            <w:vAlign w:val="center"/>
          </w:tcPr>
          <w:p>
            <w:pPr>
              <w:pStyle w:val="TableContents"/>
              <w:bidi w:val="0"/>
              <w:spacing w:before="0" w:after="283"/>
              <w:jc w:val="right"/>
              <w:rPr/>
            </w:pPr>
            <w:r>
              <w:rPr/>
              <w:t> </w:t>
            </w:r>
          </w:p>
        </w:tc>
        <w:tc>
          <w:tcPr>
            <w:tcW w:w="1144" w:type="dxa"/>
            <w:tcBorders/>
            <w:shd w:fill="CCEEFF" w:val="clear"/>
            <w:vAlign w:val="center"/>
          </w:tcPr>
          <w:p>
            <w:pPr>
              <w:pStyle w:val="TableContents"/>
              <w:bidi w:val="0"/>
              <w:spacing w:before="0" w:after="283"/>
              <w:jc w:val="right"/>
              <w:rPr/>
            </w:pPr>
            <w:r>
              <w:rPr/>
              <w:t>4,963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21" w:type="dxa"/>
            <w:tcBorders/>
            <w:shd w:fill="CCEEFF" w:val="clear"/>
            <w:vAlign w:val="center"/>
          </w:tcPr>
          <w:p>
            <w:pPr>
              <w:pStyle w:val="TableContents"/>
              <w:bidi w:val="0"/>
              <w:spacing w:before="0" w:after="283"/>
              <w:jc w:val="right"/>
              <w:rPr/>
            </w:pPr>
            <w:r>
              <w:rPr/>
              <w:t>12,464</w:t>
            </w:r>
          </w:p>
        </w:tc>
        <w:tc>
          <w:tcPr>
            <w:tcW w:w="249"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right"/>
              <w:rPr/>
            </w:pPr>
            <w:r>
              <w:rPr/>
              <w:t> </w:t>
            </w:r>
          </w:p>
        </w:tc>
        <w:tc>
          <w:tcPr>
            <w:tcW w:w="229" w:type="dxa"/>
            <w:tcBorders/>
            <w:shd w:fill="CCEEFF" w:val="clear"/>
            <w:vAlign w:val="center"/>
          </w:tcPr>
          <w:p>
            <w:pPr>
              <w:pStyle w:val="TableContents"/>
              <w:bidi w:val="0"/>
              <w:spacing w:before="0" w:after="283"/>
              <w:jc w:val="right"/>
              <w:rPr/>
            </w:pPr>
            <w:r>
              <w:rPr/>
              <w:t> </w:t>
            </w:r>
          </w:p>
        </w:tc>
        <w:tc>
          <w:tcPr>
            <w:tcW w:w="959" w:type="dxa"/>
            <w:tcBorders/>
            <w:shd w:fill="CCEEFF" w:val="clear"/>
            <w:vAlign w:val="center"/>
          </w:tcPr>
          <w:p>
            <w:pPr>
              <w:pStyle w:val="TableContents"/>
              <w:bidi w:val="0"/>
              <w:spacing w:before="0" w:after="283"/>
              <w:jc w:val="right"/>
              <w:rPr/>
            </w:pPr>
            <w:r>
              <w:rPr/>
              <w:t>9,587</w:t>
            </w:r>
          </w:p>
        </w:tc>
        <w:tc>
          <w:tcPr>
            <w:tcW w:w="141" w:type="dxa"/>
            <w:tcBorders/>
            <w:shd w:fill="CCEEFF" w:val="clear"/>
            <w:vAlign w:val="center"/>
          </w:tcPr>
          <w:p>
            <w:pPr>
              <w:pStyle w:val="TableContents"/>
              <w:bidi w:val="0"/>
              <w:spacing w:before="0" w:after="283"/>
              <w:jc w:val="left"/>
              <w:rPr/>
            </w:pPr>
            <w:r>
              <w:rPr/>
              <w:t> </w:t>
            </w:r>
          </w:p>
        </w:tc>
      </w:tr>
      <w:tr>
        <w:trPr/>
        <w:tc>
          <w:tcPr>
            <w:tcW w:w="3926" w:type="dxa"/>
            <w:tcBorders/>
            <w:vAlign w:val="center"/>
          </w:tcPr>
          <w:p>
            <w:pPr>
              <w:pStyle w:val="TableContents"/>
              <w:bidi w:val="0"/>
              <w:spacing w:before="0" w:after="0"/>
              <w:jc w:val="left"/>
              <w:rPr/>
            </w:pPr>
            <w:r>
              <w:rPr/>
              <w:t xml:space="preserve">Voluntary Withdrawal and product replacements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44" w:type="dxa"/>
            <w:tcBorders/>
            <w:vAlign w:val="center"/>
          </w:tcPr>
          <w:p>
            <w:pPr>
              <w:pStyle w:val="TableContents"/>
              <w:bidi w:val="0"/>
              <w:spacing w:before="0" w:after="283"/>
              <w:jc w:val="right"/>
              <w:rPr/>
            </w:pPr>
            <w:r>
              <w:rPr/>
              <w:t xml:space="preserve">- </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right"/>
              <w:rPr/>
            </w:pPr>
            <w:r>
              <w:rPr/>
              <w:t> </w:t>
            </w:r>
          </w:p>
        </w:tc>
        <w:tc>
          <w:tcPr>
            <w:tcW w:w="273" w:type="dxa"/>
            <w:tcBorders/>
            <w:vAlign w:val="center"/>
          </w:tcPr>
          <w:p>
            <w:pPr>
              <w:pStyle w:val="TableContents"/>
              <w:bidi w:val="0"/>
              <w:spacing w:before="0" w:after="283"/>
              <w:jc w:val="right"/>
              <w:rPr/>
            </w:pPr>
            <w:r>
              <w:rPr/>
              <w:t> </w:t>
            </w:r>
          </w:p>
        </w:tc>
        <w:tc>
          <w:tcPr>
            <w:tcW w:w="1144" w:type="dxa"/>
            <w:tcBorders/>
            <w:vAlign w:val="center"/>
          </w:tcPr>
          <w:p>
            <w:pPr>
              <w:pStyle w:val="TableContents"/>
              <w:bidi w:val="0"/>
              <w:spacing w:before="0" w:after="283"/>
              <w:jc w:val="right"/>
              <w:rPr/>
            </w:pPr>
            <w:r>
              <w:rPr/>
              <w:t>164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21" w:type="dxa"/>
            <w:tcBorders/>
            <w:vAlign w:val="center"/>
          </w:tcPr>
          <w:p>
            <w:pPr>
              <w:pStyle w:val="TableContents"/>
              <w:bidi w:val="0"/>
              <w:spacing w:before="0" w:after="283"/>
              <w:jc w:val="right"/>
              <w:rPr/>
            </w:pPr>
            <w:r>
              <w:rPr/>
              <w:t xml:space="preserve">- </w:t>
            </w:r>
          </w:p>
        </w:tc>
        <w:tc>
          <w:tcPr>
            <w:tcW w:w="249"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59" w:type="dxa"/>
            <w:tcBorders/>
            <w:vAlign w:val="center"/>
          </w:tcPr>
          <w:p>
            <w:pPr>
              <w:pStyle w:val="TableContents"/>
              <w:bidi w:val="0"/>
              <w:spacing w:before="0" w:after="283"/>
              <w:jc w:val="right"/>
              <w:rPr/>
            </w:pPr>
            <w:r>
              <w:rPr/>
              <w:t>4,001</w:t>
            </w:r>
          </w:p>
        </w:tc>
        <w:tc>
          <w:tcPr>
            <w:tcW w:w="141" w:type="dxa"/>
            <w:tcBorders/>
            <w:vAlign w:val="center"/>
          </w:tcPr>
          <w:p>
            <w:pPr>
              <w:pStyle w:val="TableContents"/>
              <w:bidi w:val="0"/>
              <w:spacing w:before="0" w:after="283"/>
              <w:jc w:val="left"/>
              <w:rPr/>
            </w:pPr>
            <w:r>
              <w:rPr/>
              <w:t> </w:t>
            </w:r>
          </w:p>
        </w:tc>
      </w:tr>
      <w:tr>
        <w:trPr/>
        <w:tc>
          <w:tcPr>
            <w:tcW w:w="3926" w:type="dxa"/>
            <w:tcBorders/>
            <w:shd w:fill="CCEEFF" w:val="clear"/>
            <w:vAlign w:val="center"/>
          </w:tcPr>
          <w:p>
            <w:pPr>
              <w:pStyle w:val="TableContents"/>
              <w:bidi w:val="0"/>
              <w:spacing w:before="0" w:after="0"/>
              <w:jc w:val="left"/>
              <w:rPr/>
            </w:pPr>
            <w:r>
              <w:rPr/>
              <w:t xml:space="preserve">Yield enhancement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44" w:type="dxa"/>
            <w:tcBorders/>
            <w:shd w:fill="CCEEFF" w:val="clear"/>
            <w:vAlign w:val="center"/>
          </w:tcPr>
          <w:p>
            <w:pPr>
              <w:pStyle w:val="TableContents"/>
              <w:bidi w:val="0"/>
              <w:spacing w:before="0" w:after="283"/>
              <w:jc w:val="right"/>
              <w:rPr/>
            </w:pPr>
            <w:r>
              <w:rPr/>
              <w:t>429</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right"/>
              <w:rPr/>
            </w:pPr>
            <w:r>
              <w:rPr/>
              <w:t> </w:t>
            </w:r>
          </w:p>
        </w:tc>
        <w:tc>
          <w:tcPr>
            <w:tcW w:w="273" w:type="dxa"/>
            <w:tcBorders/>
            <w:shd w:fill="CCEEFF" w:val="clear"/>
            <w:vAlign w:val="center"/>
          </w:tcPr>
          <w:p>
            <w:pPr>
              <w:pStyle w:val="TableContents"/>
              <w:bidi w:val="0"/>
              <w:spacing w:before="0" w:after="283"/>
              <w:jc w:val="right"/>
              <w:rPr/>
            </w:pPr>
            <w:r>
              <w:rPr/>
              <w:t> </w:t>
            </w:r>
          </w:p>
        </w:tc>
        <w:tc>
          <w:tcPr>
            <w:tcW w:w="1144" w:type="dxa"/>
            <w:tcBorders/>
            <w:shd w:fill="CCEEFF" w:val="clear"/>
            <w:vAlign w:val="center"/>
          </w:tcPr>
          <w:p>
            <w:pPr>
              <w:pStyle w:val="TableContents"/>
              <w:bidi w:val="0"/>
              <w:spacing w:before="0" w:after="283"/>
              <w:jc w:val="right"/>
              <w:rPr/>
            </w:pPr>
            <w:r>
              <w:rPr/>
              <w:t>493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21" w:type="dxa"/>
            <w:tcBorders/>
            <w:shd w:fill="CCEEFF" w:val="clear"/>
            <w:vAlign w:val="center"/>
          </w:tcPr>
          <w:p>
            <w:pPr>
              <w:pStyle w:val="TableContents"/>
              <w:bidi w:val="0"/>
              <w:spacing w:before="0" w:after="283"/>
              <w:jc w:val="right"/>
              <w:rPr/>
            </w:pPr>
            <w:r>
              <w:rPr/>
              <w:t>841</w:t>
            </w:r>
          </w:p>
        </w:tc>
        <w:tc>
          <w:tcPr>
            <w:tcW w:w="249"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right"/>
              <w:rPr/>
            </w:pPr>
            <w:r>
              <w:rPr/>
              <w:t> </w:t>
            </w:r>
          </w:p>
        </w:tc>
        <w:tc>
          <w:tcPr>
            <w:tcW w:w="229" w:type="dxa"/>
            <w:tcBorders/>
            <w:shd w:fill="CCEEFF" w:val="clear"/>
            <w:vAlign w:val="center"/>
          </w:tcPr>
          <w:p>
            <w:pPr>
              <w:pStyle w:val="TableContents"/>
              <w:bidi w:val="0"/>
              <w:spacing w:before="0" w:after="283"/>
              <w:jc w:val="right"/>
              <w:rPr/>
            </w:pPr>
            <w:r>
              <w:rPr/>
              <w:t> </w:t>
            </w:r>
          </w:p>
        </w:tc>
        <w:tc>
          <w:tcPr>
            <w:tcW w:w="959" w:type="dxa"/>
            <w:tcBorders/>
            <w:shd w:fill="CCEEFF" w:val="clear"/>
            <w:vAlign w:val="center"/>
          </w:tcPr>
          <w:p>
            <w:pPr>
              <w:pStyle w:val="TableContents"/>
              <w:bidi w:val="0"/>
              <w:spacing w:before="0" w:after="283"/>
              <w:jc w:val="right"/>
              <w:rPr/>
            </w:pPr>
            <w:r>
              <w:rPr/>
              <w:t>1,395</w:t>
            </w:r>
          </w:p>
        </w:tc>
        <w:tc>
          <w:tcPr>
            <w:tcW w:w="141" w:type="dxa"/>
            <w:tcBorders/>
            <w:shd w:fill="CCEEFF" w:val="clear"/>
            <w:vAlign w:val="center"/>
          </w:tcPr>
          <w:p>
            <w:pPr>
              <w:pStyle w:val="TableContents"/>
              <w:bidi w:val="0"/>
              <w:spacing w:before="0" w:after="283"/>
              <w:jc w:val="left"/>
              <w:rPr/>
            </w:pPr>
            <w:r>
              <w:rPr/>
              <w:t> </w:t>
            </w:r>
          </w:p>
        </w:tc>
      </w:tr>
      <w:tr>
        <w:trPr/>
        <w:tc>
          <w:tcPr>
            <w:tcW w:w="3926" w:type="dxa"/>
            <w:tcBorders/>
            <w:vAlign w:val="center"/>
          </w:tcPr>
          <w:p>
            <w:pPr>
              <w:pStyle w:val="TableContents"/>
              <w:bidi w:val="0"/>
              <w:spacing w:before="0" w:after="0"/>
              <w:jc w:val="left"/>
              <w:rPr/>
            </w:pPr>
            <w:r>
              <w:rPr/>
              <w:t xml:space="preserve">Gain on sale of plasma centers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44" w:type="dxa"/>
            <w:tcBorders/>
            <w:vAlign w:val="center"/>
          </w:tcPr>
          <w:p>
            <w:pPr>
              <w:pStyle w:val="TableContents"/>
              <w:bidi w:val="0"/>
              <w:spacing w:before="0" w:after="283"/>
              <w:jc w:val="right"/>
              <w:rPr/>
            </w:pPr>
            <w:r>
              <w:rPr/>
              <w:t xml:space="preserve">- </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right"/>
              <w:rPr/>
            </w:pPr>
            <w:r>
              <w:rPr/>
              <w:t> </w:t>
            </w:r>
          </w:p>
        </w:tc>
        <w:tc>
          <w:tcPr>
            <w:tcW w:w="273" w:type="dxa"/>
            <w:tcBorders/>
            <w:vAlign w:val="center"/>
          </w:tcPr>
          <w:p>
            <w:pPr>
              <w:pStyle w:val="TableContents"/>
              <w:bidi w:val="0"/>
              <w:spacing w:before="0" w:after="283"/>
              <w:jc w:val="right"/>
              <w:rPr/>
            </w:pPr>
            <w:r>
              <w:rPr/>
              <w:t> </w:t>
            </w:r>
          </w:p>
        </w:tc>
        <w:tc>
          <w:tcPr>
            <w:tcW w:w="1144"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21" w:type="dxa"/>
            <w:tcBorders/>
            <w:vAlign w:val="center"/>
          </w:tcPr>
          <w:p>
            <w:pPr>
              <w:pStyle w:val="TableContents"/>
              <w:bidi w:val="0"/>
              <w:spacing w:before="0" w:after="283"/>
              <w:jc w:val="right"/>
              <w:rPr/>
            </w:pPr>
            <w:r>
              <w:rPr/>
              <w:t>(7,980</w:t>
            </w:r>
          </w:p>
        </w:tc>
        <w:tc>
          <w:tcPr>
            <w:tcW w:w="249"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59" w:type="dxa"/>
            <w:tcBorders/>
            <w:vAlign w:val="center"/>
          </w:tcPr>
          <w:p>
            <w:pPr>
              <w:pStyle w:val="TableContents"/>
              <w:bidi w:val="0"/>
              <w:spacing w:before="0" w:after="283"/>
              <w:jc w:val="right"/>
              <w:rPr/>
            </w:pPr>
            <w:r>
              <w:rPr/>
              <w:t xml:space="preserve">- </w:t>
            </w:r>
          </w:p>
        </w:tc>
        <w:tc>
          <w:tcPr>
            <w:tcW w:w="141" w:type="dxa"/>
            <w:tcBorders/>
            <w:vAlign w:val="center"/>
          </w:tcPr>
          <w:p>
            <w:pPr>
              <w:pStyle w:val="TableContents"/>
              <w:bidi w:val="0"/>
              <w:spacing w:before="0" w:after="283"/>
              <w:jc w:val="left"/>
              <w:rPr/>
            </w:pPr>
            <w:r>
              <w:rPr/>
              <w:t> </w:t>
            </w:r>
          </w:p>
        </w:tc>
      </w:tr>
      <w:tr>
        <w:trPr/>
        <w:tc>
          <w:tcPr>
            <w:tcW w:w="3926" w:type="dxa"/>
            <w:tcBorders/>
            <w:shd w:fill="CCEEFF" w:val="clear"/>
            <w:vAlign w:val="center"/>
          </w:tcPr>
          <w:p>
            <w:pPr>
              <w:pStyle w:val="TableContents"/>
              <w:bidi w:val="0"/>
              <w:spacing w:before="0" w:after="0"/>
              <w:jc w:val="left"/>
              <w:rPr/>
            </w:pPr>
            <w:r>
              <w:rPr/>
              <w:t xml:space="preserve">Loss on extinguishment of debt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44" w:type="dxa"/>
            <w:tcBorders/>
            <w:shd w:fill="CCEEFF" w:val="clear"/>
            <w:vAlign w:val="center"/>
          </w:tcPr>
          <w:p>
            <w:pPr>
              <w:pStyle w:val="TableContents"/>
              <w:bidi w:val="0"/>
              <w:spacing w:before="0" w:after="283"/>
              <w:jc w:val="right"/>
              <w:rPr/>
            </w:pPr>
            <w:r>
              <w:rPr/>
              <w:t xml:space="preserve">- </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right"/>
              <w:rPr/>
            </w:pPr>
            <w:r>
              <w:rPr/>
              <w:t> </w:t>
            </w:r>
          </w:p>
        </w:tc>
        <w:tc>
          <w:tcPr>
            <w:tcW w:w="273" w:type="dxa"/>
            <w:tcBorders/>
            <w:shd w:fill="CCEEFF" w:val="clear"/>
            <w:vAlign w:val="center"/>
          </w:tcPr>
          <w:p>
            <w:pPr>
              <w:pStyle w:val="TableContents"/>
              <w:bidi w:val="0"/>
              <w:spacing w:before="0" w:after="283"/>
              <w:jc w:val="right"/>
              <w:rPr/>
            </w:pPr>
            <w:r>
              <w:rPr/>
              <w:t> </w:t>
            </w:r>
          </w:p>
        </w:tc>
        <w:tc>
          <w:tcPr>
            <w:tcW w:w="1144" w:type="dxa"/>
            <w:tcBorders/>
            <w:shd w:fill="CCEEFF" w:val="clear"/>
            <w:vAlign w:val="center"/>
          </w:tcPr>
          <w:p>
            <w:pPr>
              <w:pStyle w:val="TableContents"/>
              <w:bidi w:val="0"/>
              <w:spacing w:before="0" w:after="283"/>
              <w:jc w:val="right"/>
              <w:rPr/>
            </w:pPr>
            <w:r>
              <w:rPr/>
              <w:t>1,159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21" w:type="dxa"/>
            <w:tcBorders/>
            <w:shd w:fill="CCEEFF" w:val="clear"/>
            <w:vAlign w:val="center"/>
          </w:tcPr>
          <w:p>
            <w:pPr>
              <w:pStyle w:val="TableContents"/>
              <w:bidi w:val="0"/>
              <w:spacing w:before="0" w:after="283"/>
              <w:jc w:val="right"/>
              <w:rPr/>
            </w:pPr>
            <w:r>
              <w:rPr/>
              <w:t xml:space="preserve">- </w:t>
            </w:r>
          </w:p>
        </w:tc>
        <w:tc>
          <w:tcPr>
            <w:tcW w:w="249"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right"/>
              <w:rPr/>
            </w:pPr>
            <w:r>
              <w:rPr/>
              <w:t> </w:t>
            </w:r>
          </w:p>
        </w:tc>
        <w:tc>
          <w:tcPr>
            <w:tcW w:w="229" w:type="dxa"/>
            <w:tcBorders/>
            <w:shd w:fill="CCEEFF" w:val="clear"/>
            <w:vAlign w:val="center"/>
          </w:tcPr>
          <w:p>
            <w:pPr>
              <w:pStyle w:val="TableContents"/>
              <w:bidi w:val="0"/>
              <w:spacing w:before="0" w:after="283"/>
              <w:jc w:val="right"/>
              <w:rPr/>
            </w:pPr>
            <w:r>
              <w:rPr/>
              <w:t> </w:t>
            </w:r>
          </w:p>
        </w:tc>
        <w:tc>
          <w:tcPr>
            <w:tcW w:w="959" w:type="dxa"/>
            <w:tcBorders/>
            <w:shd w:fill="CCEEFF" w:val="clear"/>
            <w:vAlign w:val="center"/>
          </w:tcPr>
          <w:p>
            <w:pPr>
              <w:pStyle w:val="TableContents"/>
              <w:bidi w:val="0"/>
              <w:spacing w:before="0" w:after="283"/>
              <w:jc w:val="right"/>
              <w:rPr/>
            </w:pPr>
            <w:r>
              <w:rPr/>
              <w:t>1,159</w:t>
            </w:r>
          </w:p>
        </w:tc>
        <w:tc>
          <w:tcPr>
            <w:tcW w:w="141" w:type="dxa"/>
            <w:tcBorders/>
            <w:shd w:fill="CCEEFF" w:val="clear"/>
            <w:vAlign w:val="center"/>
          </w:tcPr>
          <w:p>
            <w:pPr>
              <w:pStyle w:val="TableContents"/>
              <w:bidi w:val="0"/>
              <w:spacing w:before="0" w:after="283"/>
              <w:jc w:val="left"/>
              <w:rPr/>
            </w:pPr>
            <w:r>
              <w:rPr/>
              <w:t> </w:t>
            </w:r>
          </w:p>
        </w:tc>
      </w:tr>
      <w:tr>
        <w:trPr/>
        <w:tc>
          <w:tcPr>
            <w:tcW w:w="3926" w:type="dxa"/>
            <w:tcBorders/>
            <w:vAlign w:val="center"/>
          </w:tcPr>
          <w:p>
            <w:pPr>
              <w:pStyle w:val="TableContents"/>
              <w:bidi w:val="0"/>
              <w:spacing w:before="0" w:after="0"/>
              <w:jc w:val="left"/>
              <w:rPr/>
            </w:pPr>
            <w:r>
              <w:rPr/>
              <w:t xml:space="preserve">Non-recurring professional fees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144" w:type="dxa"/>
            <w:tcBorders>
              <w:bottom w:val="single" w:sz="6" w:space="0" w:color="000000"/>
            </w:tcBorders>
            <w:tcMar>
              <w:bottom w:w="28" w:type="dxa"/>
            </w:tcMar>
            <w:vAlign w:val="center"/>
          </w:tcPr>
          <w:p>
            <w:pPr>
              <w:pStyle w:val="TableContents"/>
              <w:bidi w:val="0"/>
              <w:spacing w:before="0" w:after="283"/>
              <w:jc w:val="right"/>
              <w:rPr/>
            </w:pPr>
            <w:r>
              <w:rPr/>
              <w:t>1,078</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right"/>
              <w:rPr/>
            </w:pPr>
            <w:r>
              <w:rPr/>
              <w:t> </w:t>
            </w:r>
          </w:p>
        </w:tc>
        <w:tc>
          <w:tcPr>
            <w:tcW w:w="273" w:type="dxa"/>
            <w:tcBorders>
              <w:bottom w:val="single" w:sz="6" w:space="0" w:color="000000"/>
            </w:tcBorders>
            <w:tcMar>
              <w:bottom w:w="28" w:type="dxa"/>
            </w:tcMar>
            <w:vAlign w:val="center"/>
          </w:tcPr>
          <w:p>
            <w:pPr>
              <w:pStyle w:val="TableContents"/>
              <w:bidi w:val="0"/>
              <w:spacing w:before="0" w:after="283"/>
              <w:jc w:val="right"/>
              <w:rPr/>
            </w:pPr>
            <w:r>
              <w:rPr/>
              <w:t> </w:t>
            </w:r>
          </w:p>
        </w:tc>
        <w:tc>
          <w:tcPr>
            <w:tcW w:w="1144"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121" w:type="dxa"/>
            <w:tcBorders>
              <w:bottom w:val="single" w:sz="6" w:space="0" w:color="000000"/>
            </w:tcBorders>
            <w:tcMar>
              <w:bottom w:w="28" w:type="dxa"/>
            </w:tcMar>
            <w:vAlign w:val="center"/>
          </w:tcPr>
          <w:p>
            <w:pPr>
              <w:pStyle w:val="TableContents"/>
              <w:bidi w:val="0"/>
              <w:spacing w:before="0" w:after="283"/>
              <w:jc w:val="right"/>
              <w:rPr/>
            </w:pPr>
            <w:r>
              <w:rPr/>
              <w:t>2,020</w:t>
            </w:r>
          </w:p>
        </w:tc>
        <w:tc>
          <w:tcPr>
            <w:tcW w:w="249"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right"/>
              <w:rPr/>
            </w:pPr>
            <w:r>
              <w:rPr/>
              <w:t> </w:t>
            </w:r>
          </w:p>
        </w:tc>
        <w:tc>
          <w:tcPr>
            <w:tcW w:w="229" w:type="dxa"/>
            <w:tcBorders>
              <w:bottom w:val="single" w:sz="6" w:space="0" w:color="000000"/>
            </w:tcBorders>
            <w:tcMar>
              <w:bottom w:w="28" w:type="dxa"/>
            </w:tcMar>
            <w:vAlign w:val="center"/>
          </w:tcPr>
          <w:p>
            <w:pPr>
              <w:pStyle w:val="TableContents"/>
              <w:bidi w:val="0"/>
              <w:spacing w:before="0" w:after="283"/>
              <w:jc w:val="right"/>
              <w:rPr/>
            </w:pPr>
            <w:r>
              <w:rPr/>
              <w:t> </w:t>
            </w:r>
          </w:p>
        </w:tc>
        <w:tc>
          <w:tcPr>
            <w:tcW w:w="959" w:type="dxa"/>
            <w:tcBorders>
              <w:bottom w:val="single" w:sz="2" w:space="0" w:color="000000"/>
            </w:tcBorders>
            <w:tcMar>
              <w:bottom w:w="28" w:type="dxa"/>
            </w:tcMar>
            <w:vAlign w:val="center"/>
          </w:tcPr>
          <w:p>
            <w:pPr>
              <w:pStyle w:val="TableContents"/>
              <w:bidi w:val="0"/>
              <w:spacing w:before="0" w:after="283"/>
              <w:jc w:val="right"/>
              <w:rPr/>
            </w:pPr>
            <w:r>
              <w:rPr/>
              <w:t>1,182</w:t>
            </w:r>
          </w:p>
        </w:tc>
        <w:tc>
          <w:tcPr>
            <w:tcW w:w="141" w:type="dxa"/>
            <w:tcBorders/>
            <w:vAlign w:val="center"/>
          </w:tcPr>
          <w:p>
            <w:pPr>
              <w:pStyle w:val="TableContents"/>
              <w:bidi w:val="0"/>
              <w:spacing w:before="0" w:after="283"/>
              <w:jc w:val="left"/>
              <w:rPr/>
            </w:pPr>
            <w:r>
              <w:rPr/>
              <w:t> </w:t>
            </w:r>
          </w:p>
        </w:tc>
      </w:tr>
      <w:tr>
        <w:trPr/>
        <w:tc>
          <w:tcPr>
            <w:tcW w:w="3926" w:type="dxa"/>
            <w:tcBorders/>
            <w:shd w:fill="CCEEFF" w:val="clear"/>
            <w:vAlign w:val="center"/>
          </w:tcPr>
          <w:p>
            <w:pPr>
              <w:pStyle w:val="TableContents"/>
              <w:bidi w:val="0"/>
              <w:spacing w:before="0" w:after="0"/>
              <w:jc w:val="left"/>
              <w:rPr/>
            </w:pPr>
            <w:r>
              <w:rPr>
                <w:b/>
              </w:rPr>
              <w:t>Adjusted EBITDA</w:t>
            </w:r>
            <w:r>
              <w:rPr/>
              <w:t xml:space="preserv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61,846</w:t>
            </w:r>
          </w:p>
        </w:tc>
        <w:tc>
          <w:tcPr>
            <w:tcW w:w="14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right"/>
              <w:rPr/>
            </w:pPr>
            <w:r>
              <w:rPr/>
              <w:t> </w:t>
            </w:r>
          </w:p>
        </w:tc>
        <w:tc>
          <w:tcPr>
            <w:tcW w:w="27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50,769</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pPr>
            <w:r>
              <w:rPr/>
              <w:t>121,499</w:t>
            </w:r>
          </w:p>
        </w:tc>
        <w:tc>
          <w:tcPr>
            <w:tcW w:w="24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righ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rPr/>
            </w:pPr>
            <w:r>
              <w:rPr/>
              <w:t>98,706</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Adjusted EBITDA increased for the three and six months ended June 30, 2026, as compared to the same period of a year ago, by $11.1 million and $22.8 million, respectively. The improvement is primarily due to the increase in operating income.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following table presents the reconciliation of Net income to Adjusted net income for the three and six months ended June 30, 2026 and 2025: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3820"/>
        <w:gridCol w:w="90"/>
        <w:gridCol w:w="170"/>
        <w:gridCol w:w="1211"/>
        <w:gridCol w:w="90"/>
        <w:gridCol w:w="90"/>
        <w:gridCol w:w="170"/>
        <w:gridCol w:w="1211"/>
        <w:gridCol w:w="90"/>
        <w:gridCol w:w="90"/>
        <w:gridCol w:w="170"/>
        <w:gridCol w:w="1211"/>
        <w:gridCol w:w="185"/>
        <w:gridCol w:w="90"/>
        <w:gridCol w:w="170"/>
        <w:gridCol w:w="1211"/>
        <w:gridCol w:w="136"/>
      </w:tblGrid>
      <w:tr>
        <w:trPr/>
        <w:tc>
          <w:tcPr>
            <w:tcW w:w="3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3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2772" w:type="dxa"/>
            <w:gridSpan w:val="5"/>
            <w:tcBorders>
              <w:bottom w:val="single" w:sz="2" w:space="0" w:color="000000"/>
            </w:tcBorders>
            <w:tcMar>
              <w:bottom w:w="28" w:type="dxa"/>
            </w:tcMar>
            <w:vAlign w:val="center"/>
          </w:tcPr>
          <w:p>
            <w:pPr>
              <w:pStyle w:val="TableContents"/>
              <w:bidi w:val="0"/>
              <w:spacing w:before="0" w:after="283"/>
              <w:jc w:val="center"/>
              <w:rPr/>
            </w:pPr>
            <w:r>
              <w:rPr>
                <w:b/>
                <w:spacing w:val="0"/>
              </w:rPr>
              <w:t>Three Months Ended</w:t>
            </w:r>
            <w:r>
              <w:rPr/>
              <w:t xml:space="preserv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2867" w:type="dxa"/>
            <w:gridSpan w:val="5"/>
            <w:tcBorders>
              <w:bottom w:val="single" w:sz="2" w:space="0" w:color="000000"/>
            </w:tcBorders>
            <w:tcMar>
              <w:bottom w:w="28" w:type="dxa"/>
            </w:tcMar>
            <w:vAlign w:val="center"/>
          </w:tcPr>
          <w:p>
            <w:pPr>
              <w:pStyle w:val="TableContents"/>
              <w:bidi w:val="0"/>
              <w:spacing w:before="0" w:after="283"/>
              <w:jc w:val="center"/>
              <w:rPr/>
            </w:pPr>
            <w:r>
              <w:rPr>
                <w:b/>
                <w:spacing w:val="0"/>
              </w:rPr>
              <w:t>Six Months Ended</w:t>
            </w:r>
            <w:r>
              <w:rPr/>
              <w:t xml:space="preserve"> </w:t>
            </w:r>
          </w:p>
        </w:tc>
        <w:tc>
          <w:tcPr>
            <w:tcW w:w="136"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3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11" w:type="dxa"/>
            <w:tcBorders>
              <w:bottom w:val="single" w:sz="2" w:space="0" w:color="000000"/>
            </w:tcBorders>
            <w:tcMar>
              <w:bottom w:w="28" w:type="dxa"/>
            </w:tcMar>
            <w:vAlign w:val="center"/>
          </w:tcPr>
          <w:p>
            <w:pPr>
              <w:pStyle w:val="TableContents"/>
              <w:bidi w:val="0"/>
              <w:spacing w:before="0" w:after="283"/>
              <w:jc w:val="center"/>
              <w:rPr/>
            </w:pPr>
            <w:r>
              <w:rPr>
                <w:b/>
              </w:rPr>
              <w:t>June 30, 2026</w:t>
            </w:r>
            <w:r>
              <w:rPr/>
              <w:t xml:space="preserv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211" w:type="dxa"/>
            <w:tcBorders>
              <w:bottom w:val="single" w:sz="2" w:space="0" w:color="000000"/>
            </w:tcBorders>
            <w:tcMar>
              <w:bottom w:w="28" w:type="dxa"/>
            </w:tcMar>
            <w:vAlign w:val="center"/>
          </w:tcPr>
          <w:p>
            <w:pPr>
              <w:pStyle w:val="TableContents"/>
              <w:bidi w:val="0"/>
              <w:spacing w:before="0" w:after="283"/>
              <w:jc w:val="center"/>
              <w:rPr/>
            </w:pPr>
            <w:r>
              <w:rPr>
                <w:b/>
              </w:rPr>
              <w:t>June 30, 2025</w:t>
            </w:r>
            <w:r>
              <w:rPr/>
              <w:t xml:space="preserv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11" w:type="dxa"/>
            <w:tcBorders>
              <w:bottom w:val="single" w:sz="2" w:space="0" w:color="000000"/>
            </w:tcBorders>
            <w:tcMar>
              <w:bottom w:w="28" w:type="dxa"/>
            </w:tcMar>
            <w:vAlign w:val="center"/>
          </w:tcPr>
          <w:p>
            <w:pPr>
              <w:pStyle w:val="TableContents"/>
              <w:bidi w:val="0"/>
              <w:spacing w:before="0" w:after="283"/>
              <w:jc w:val="center"/>
              <w:rPr/>
            </w:pPr>
            <w:r>
              <w:rPr>
                <w:b/>
              </w:rPr>
              <w:t>June 30, 2026</w:t>
            </w:r>
            <w:r>
              <w:rPr/>
              <w:t xml:space="preserve"> </w:t>
            </w:r>
          </w:p>
        </w:tc>
        <w:tc>
          <w:tcPr>
            <w:tcW w:w="185"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211" w:type="dxa"/>
            <w:tcBorders>
              <w:bottom w:val="single" w:sz="2" w:space="0" w:color="000000"/>
            </w:tcBorders>
            <w:tcMar>
              <w:bottom w:w="28" w:type="dxa"/>
            </w:tcMar>
            <w:vAlign w:val="center"/>
          </w:tcPr>
          <w:p>
            <w:pPr>
              <w:pStyle w:val="TableContents"/>
              <w:bidi w:val="0"/>
              <w:spacing w:before="0" w:after="283"/>
              <w:jc w:val="center"/>
              <w:rPr/>
            </w:pPr>
            <w:r>
              <w:rPr>
                <w:b/>
              </w:rPr>
              <w:t>June 30, 2025</w:t>
            </w:r>
            <w:r>
              <w:rPr/>
              <w:t xml:space="preserve"> </w:t>
            </w:r>
          </w:p>
        </w:tc>
        <w:tc>
          <w:tcPr>
            <w:tcW w:w="136"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3820" w:type="dxa"/>
            <w:tcBorders/>
            <w:vAlign w:val="center"/>
          </w:tcPr>
          <w:p>
            <w:pPr>
              <w:pStyle w:val="TableContents"/>
              <w:bidi w:val="0"/>
              <w:spacing w:before="0" w:after="0"/>
              <w:jc w:val="left"/>
              <w:rPr/>
            </w:pPr>
            <w:r>
              <w:rPr>
                <w:i/>
              </w:rPr>
              <w:t>(In thousands)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3820" w:type="dxa"/>
            <w:tcBorders/>
            <w:shd w:fill="CCEEFF" w:val="clear"/>
            <w:vAlign w:val="center"/>
          </w:tcPr>
          <w:p>
            <w:pPr>
              <w:pStyle w:val="TableContents"/>
              <w:bidi w:val="0"/>
              <w:spacing w:before="0" w:after="0"/>
              <w:jc w:val="left"/>
              <w:rPr/>
            </w:pPr>
            <w:r>
              <w:rPr>
                <w:b/>
              </w:rPr>
              <w:t>Net income</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37,822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34,219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83,150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61,122</w:t>
            </w:r>
          </w:p>
        </w:tc>
        <w:tc>
          <w:tcPr>
            <w:tcW w:w="136" w:type="dxa"/>
            <w:tcBorders/>
            <w:shd w:fill="CCEEFF" w:val="clear"/>
            <w:vAlign w:val="center"/>
          </w:tcPr>
          <w:p>
            <w:pPr>
              <w:pStyle w:val="TableContents"/>
              <w:bidi w:val="0"/>
              <w:spacing w:before="0" w:after="283"/>
              <w:jc w:val="left"/>
              <w:rPr/>
            </w:pPr>
            <w:r>
              <w:rPr/>
              <w:t> </w:t>
            </w:r>
          </w:p>
        </w:tc>
      </w:tr>
      <w:tr>
        <w:trPr/>
        <w:tc>
          <w:tcPr>
            <w:tcW w:w="3820" w:type="dxa"/>
            <w:tcBorders/>
            <w:vAlign w:val="center"/>
          </w:tcPr>
          <w:p>
            <w:pPr>
              <w:pStyle w:val="TableContents"/>
              <w:bidi w:val="0"/>
              <w:spacing w:before="0" w:after="0"/>
              <w:jc w:val="left"/>
              <w:rPr/>
            </w:pPr>
            <w:r>
              <w:rPr/>
              <w:t xml:space="preserve">Stock-based compensation modifications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609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474</w:t>
            </w:r>
          </w:p>
        </w:tc>
        <w:tc>
          <w:tcPr>
            <w:tcW w:w="136" w:type="dxa"/>
            <w:tcBorders/>
            <w:vAlign w:val="center"/>
          </w:tcPr>
          <w:p>
            <w:pPr>
              <w:pStyle w:val="TableContents"/>
              <w:bidi w:val="0"/>
              <w:spacing w:before="0" w:after="283"/>
              <w:jc w:val="left"/>
              <w:rPr/>
            </w:pPr>
            <w:r>
              <w:rPr/>
              <w:t> </w:t>
            </w:r>
          </w:p>
        </w:tc>
      </w:tr>
      <w:tr>
        <w:trPr/>
        <w:tc>
          <w:tcPr>
            <w:tcW w:w="3820" w:type="dxa"/>
            <w:tcBorders/>
            <w:shd w:fill="CCEEFF" w:val="clear"/>
            <w:vAlign w:val="center"/>
          </w:tcPr>
          <w:p>
            <w:pPr>
              <w:pStyle w:val="TableContents"/>
              <w:bidi w:val="0"/>
              <w:spacing w:before="0" w:after="0"/>
              <w:jc w:val="left"/>
              <w:rPr/>
            </w:pPr>
            <w:r>
              <w:rPr/>
              <w:t xml:space="preserve">Customer credits related to the Voluntary Withdrawal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4,001</w:t>
            </w:r>
          </w:p>
        </w:tc>
        <w:tc>
          <w:tcPr>
            <w:tcW w:w="136" w:type="dxa"/>
            <w:tcBorders/>
            <w:shd w:fill="CCEEFF" w:val="clear"/>
            <w:vAlign w:val="center"/>
          </w:tcPr>
          <w:p>
            <w:pPr>
              <w:pStyle w:val="TableContents"/>
              <w:bidi w:val="0"/>
              <w:spacing w:before="0" w:after="283"/>
              <w:jc w:val="left"/>
              <w:rPr/>
            </w:pPr>
            <w:r>
              <w:rPr/>
              <w:t> </w:t>
            </w:r>
          </w:p>
        </w:tc>
      </w:tr>
      <w:tr>
        <w:trPr/>
        <w:tc>
          <w:tcPr>
            <w:tcW w:w="3820" w:type="dxa"/>
            <w:tcBorders/>
            <w:vAlign w:val="center"/>
          </w:tcPr>
          <w:p>
            <w:pPr>
              <w:pStyle w:val="TableContents"/>
              <w:bidi w:val="0"/>
              <w:spacing w:before="0" w:after="0"/>
              <w:jc w:val="left"/>
              <w:rPr/>
            </w:pPr>
            <w:r>
              <w:rPr/>
              <w:t xml:space="preserve">Loss on extinguishment of debt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1,159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1,159</w:t>
            </w:r>
          </w:p>
        </w:tc>
        <w:tc>
          <w:tcPr>
            <w:tcW w:w="136" w:type="dxa"/>
            <w:tcBorders/>
            <w:vAlign w:val="center"/>
          </w:tcPr>
          <w:p>
            <w:pPr>
              <w:pStyle w:val="TableContents"/>
              <w:bidi w:val="0"/>
              <w:spacing w:before="0" w:after="283"/>
              <w:jc w:val="left"/>
              <w:rPr/>
            </w:pPr>
            <w:r>
              <w:rPr/>
              <w:t> </w:t>
            </w:r>
          </w:p>
        </w:tc>
      </w:tr>
      <w:tr>
        <w:trPr/>
        <w:tc>
          <w:tcPr>
            <w:tcW w:w="3820" w:type="dxa"/>
            <w:tcBorders/>
            <w:shd w:fill="CCEEFF" w:val="clear"/>
            <w:vAlign w:val="center"/>
          </w:tcPr>
          <w:p>
            <w:pPr>
              <w:pStyle w:val="TableContents"/>
              <w:bidi w:val="0"/>
              <w:spacing w:before="0" w:after="0"/>
              <w:jc w:val="left"/>
              <w:rPr/>
            </w:pPr>
            <w:r>
              <w:rPr/>
              <w:t xml:space="preserve">Yield Enhancement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323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493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650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1,395</w:t>
            </w:r>
          </w:p>
        </w:tc>
        <w:tc>
          <w:tcPr>
            <w:tcW w:w="136" w:type="dxa"/>
            <w:tcBorders/>
            <w:shd w:fill="CCEEFF" w:val="clear"/>
            <w:vAlign w:val="center"/>
          </w:tcPr>
          <w:p>
            <w:pPr>
              <w:pStyle w:val="TableContents"/>
              <w:bidi w:val="0"/>
              <w:spacing w:before="0" w:after="283"/>
              <w:jc w:val="left"/>
              <w:rPr/>
            </w:pPr>
            <w:r>
              <w:rPr/>
              <w:t> </w:t>
            </w:r>
          </w:p>
        </w:tc>
      </w:tr>
      <w:tr>
        <w:trPr/>
        <w:tc>
          <w:tcPr>
            <w:tcW w:w="3820" w:type="dxa"/>
            <w:tcBorders/>
            <w:vAlign w:val="center"/>
          </w:tcPr>
          <w:p>
            <w:pPr>
              <w:pStyle w:val="TableContents"/>
              <w:bidi w:val="0"/>
              <w:spacing w:before="0" w:after="0"/>
              <w:jc w:val="left"/>
              <w:rPr/>
            </w:pPr>
            <w:r>
              <w:rPr/>
              <w:t xml:space="preserve">Gain on sale of plasma centers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(6,332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xml:space="preserve">- </w:t>
            </w:r>
          </w:p>
        </w:tc>
        <w:tc>
          <w:tcPr>
            <w:tcW w:w="136" w:type="dxa"/>
            <w:tcBorders/>
            <w:vAlign w:val="center"/>
          </w:tcPr>
          <w:p>
            <w:pPr>
              <w:pStyle w:val="TableContents"/>
              <w:bidi w:val="0"/>
              <w:spacing w:before="0" w:after="283"/>
              <w:jc w:val="left"/>
              <w:rPr/>
            </w:pPr>
            <w:r>
              <w:rPr/>
              <w:t> </w:t>
            </w:r>
          </w:p>
        </w:tc>
      </w:tr>
      <w:tr>
        <w:trPr/>
        <w:tc>
          <w:tcPr>
            <w:tcW w:w="3820" w:type="dxa"/>
            <w:tcBorders/>
            <w:shd w:fill="CCEEFF" w:val="clear"/>
            <w:vAlign w:val="center"/>
          </w:tcPr>
          <w:p>
            <w:pPr>
              <w:pStyle w:val="TableContents"/>
              <w:bidi w:val="0"/>
              <w:spacing w:before="0" w:after="0"/>
              <w:jc w:val="left"/>
              <w:rPr/>
            </w:pPr>
            <w:r>
              <w:rPr/>
              <w:t xml:space="preserve">Non-recurring professional fees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2" w:space="0" w:color="000000"/>
            </w:tcBorders>
            <w:shd w:fill="CCEEFF" w:val="clear"/>
            <w:tcMar>
              <w:bottom w:w="28" w:type="dxa"/>
            </w:tcMar>
            <w:vAlign w:val="center"/>
          </w:tcPr>
          <w:p>
            <w:pPr>
              <w:pStyle w:val="TableContents"/>
              <w:bidi w:val="0"/>
              <w:spacing w:before="0" w:after="283"/>
              <w:jc w:val="right"/>
              <w:rPr/>
            </w:pPr>
            <w:r>
              <w:rPr/>
              <w:t>812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2" w:space="0" w:color="000000"/>
            </w:tcBorders>
            <w:shd w:fill="CCEEFF" w:val="clear"/>
            <w:tcMar>
              <w:bottom w:w="28" w:type="dxa"/>
            </w:tcMar>
            <w:vAlign w:val="center"/>
          </w:tcPr>
          <w:p>
            <w:pPr>
              <w:pStyle w:val="TableContents"/>
              <w:bidi w:val="0"/>
              <w:spacing w:before="0" w:after="283"/>
              <w:jc w:val="right"/>
              <w:rPr/>
            </w:pPr>
            <w:r>
              <w:rPr/>
              <w:t>1,559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2" w:space="0" w:color="000000"/>
            </w:tcBorders>
            <w:shd w:fill="CCEEFF" w:val="clear"/>
            <w:tcMar>
              <w:bottom w:w="28" w:type="dxa"/>
            </w:tcMar>
            <w:vAlign w:val="center"/>
          </w:tcPr>
          <w:p>
            <w:pPr>
              <w:pStyle w:val="TableContents"/>
              <w:bidi w:val="0"/>
              <w:spacing w:before="0" w:after="283"/>
              <w:jc w:val="right"/>
              <w:rPr/>
            </w:pPr>
            <w:r>
              <w:rPr/>
              <w:t>1,182</w:t>
            </w:r>
          </w:p>
        </w:tc>
        <w:tc>
          <w:tcPr>
            <w:tcW w:w="136" w:type="dxa"/>
            <w:tcBorders/>
            <w:shd w:fill="CCEEFF" w:val="clear"/>
            <w:vAlign w:val="center"/>
          </w:tcPr>
          <w:p>
            <w:pPr>
              <w:pStyle w:val="TableContents"/>
              <w:bidi w:val="0"/>
              <w:spacing w:before="0" w:after="283"/>
              <w:jc w:val="left"/>
              <w:rPr/>
            </w:pPr>
            <w:r>
              <w:rPr/>
              <w:t> </w:t>
            </w:r>
          </w:p>
        </w:tc>
      </w:tr>
      <w:tr>
        <w:trPr/>
        <w:tc>
          <w:tcPr>
            <w:tcW w:w="3820" w:type="dxa"/>
            <w:tcBorders/>
            <w:vAlign w:val="center"/>
          </w:tcPr>
          <w:p>
            <w:pPr>
              <w:pStyle w:val="TableContents"/>
              <w:bidi w:val="0"/>
              <w:spacing w:before="0" w:after="0"/>
              <w:jc w:val="left"/>
              <w:rPr/>
            </w:pPr>
            <w:r>
              <w:rPr>
                <w:b/>
              </w:rPr>
              <w:t>Adjusted net income (a)</w:t>
            </w:r>
            <w:r>
              <w:rPr/>
              <w:t xml:space="preserve">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211" w:type="dxa"/>
            <w:tcBorders>
              <w:bottom w:val="single" w:sz="12" w:space="0" w:color="000000"/>
            </w:tcBorders>
            <w:tcMar>
              <w:bottom w:w="28" w:type="dxa"/>
            </w:tcMar>
            <w:vAlign w:val="center"/>
          </w:tcPr>
          <w:p>
            <w:pPr>
              <w:pStyle w:val="TableContents"/>
              <w:bidi w:val="0"/>
              <w:spacing w:before="0" w:after="283"/>
              <w:jc w:val="right"/>
              <w:rPr/>
            </w:pPr>
            <w:r>
              <w:rPr/>
              <w:t>38,957</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211" w:type="dxa"/>
            <w:tcBorders>
              <w:bottom w:val="single" w:sz="12" w:space="0" w:color="000000"/>
            </w:tcBorders>
            <w:tcMar>
              <w:bottom w:w="28" w:type="dxa"/>
            </w:tcMar>
            <w:vAlign w:val="center"/>
          </w:tcPr>
          <w:p>
            <w:pPr>
              <w:pStyle w:val="TableContents"/>
              <w:bidi w:val="0"/>
              <w:spacing w:before="0" w:after="283"/>
              <w:jc w:val="right"/>
              <w:rPr/>
            </w:pPr>
            <w:r>
              <w:rPr/>
              <w:t>36,035</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211" w:type="dxa"/>
            <w:tcBorders>
              <w:bottom w:val="single" w:sz="12" w:space="0" w:color="000000"/>
            </w:tcBorders>
            <w:tcMar>
              <w:bottom w:w="28" w:type="dxa"/>
            </w:tcMar>
            <w:vAlign w:val="center"/>
          </w:tcPr>
          <w:p>
            <w:pPr>
              <w:pStyle w:val="TableContents"/>
              <w:bidi w:val="0"/>
              <w:spacing w:before="0" w:after="283"/>
              <w:jc w:val="right"/>
              <w:rPr/>
            </w:pPr>
            <w:r>
              <w:rPr/>
              <w:t>79,636</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211" w:type="dxa"/>
            <w:tcBorders>
              <w:bottom w:val="single" w:sz="12" w:space="0" w:color="000000"/>
            </w:tcBorders>
            <w:tcMar>
              <w:bottom w:w="28" w:type="dxa"/>
            </w:tcMar>
            <w:vAlign w:val="center"/>
          </w:tcPr>
          <w:p>
            <w:pPr>
              <w:pStyle w:val="TableContents"/>
              <w:bidi w:val="0"/>
              <w:spacing w:before="0" w:after="283"/>
              <w:jc w:val="right"/>
              <w:rPr/>
            </w:pPr>
            <w:r>
              <w:rPr/>
              <w:t>69,333</w:t>
            </w:r>
          </w:p>
        </w:tc>
        <w:tc>
          <w:tcPr>
            <w:tcW w:w="136"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position w:val="7"/>
          <w:sz w:val="16"/>
          <w:sz w:val="20"/>
        </w:rPr>
        <w:t>(a) Add-backs reflected during the three and six months ended June 30, 2025 exclude estimated tax effect of $0.3 million and $1.4 million, respectively. Add-backs reflected during the three months and six months ended June 30, 2026 were tax affected using the respective effective tax rates.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center"/>
        <w:rPr>
          <w:rFonts w:ascii="Times New Roman" w:hAnsi="Times New Roman"/>
          <w:b/>
          <w:sz w:val="20"/>
        </w:rPr>
      </w:pPr>
      <w:r>
        <w:rPr>
          <w:rFonts w:ascii="Times New Roman" w:hAnsi="Times New Roman"/>
          <w:b/>
          <w:sz w:val="20"/>
          <w:u w:val="single"/>
        </w:rPr>
        <w:t>LIQUIDITY AND CAPITAL RESOURCES</w:t>
      </w:r>
      <w:r>
        <w:rPr>
          <w:rFonts w:ascii="Times New Roman" w:hAnsi="Times New Roman"/>
          <w:b/>
          <w:sz w:val="20"/>
        </w:rPr>
        <w:t xml:space="preserve"> </w:t>
      </w:r>
    </w:p>
    <w:p>
      <w:pPr>
        <w:pStyle w:val="TextBody"/>
        <w:bidi w:val="0"/>
        <w:spacing w:before="0" w:after="0"/>
        <w:jc w:val="center"/>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At June 30, 2026, we had working capital of $452.4 million, primarily consisting of $239.3 million of inventory, cash and cash equivalents of $136.0 million and $138.2 million of accounts receivable, partially offset by current liabilities of $75.8 million, as compared to working capital at December 31, 2025 of $397.0 million, primarily consisting of $206.5 million of inventory, cash and cash equivalents of $87.6 million and accounts receivable of $158.4 million, partially offset by current liabilities of $69.5 million. Our material cash requirements are primarily comprised of: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The collection and procurement of raw material source plasma, which includes plasma donor fees and plasma center supplies, and other raw materials necessary to maintain and scale up our manufacturing operations;</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228600" cy="175260"/>
                <wp:effectExtent l="0" t="0" r="0" b="0"/>
                <wp:wrapSquare wrapText="right"/>
                <wp:docPr id="56" name="Frame5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spacing w:val="0"/>
        </w:rPr>
        <w:t xml:space="preserve">● </w:t>
      </w:r>
      <w:r>
        <w:rPr>
          <w:caps w:val="false"/>
          <w:smallCaps w:val="false"/>
          <w:spacing w:val="0"/>
        </w:rPr>
        <w:t>     </w:t>
      </w:r>
      <w:r>
        <w:rPr>
          <w:rFonts w:ascii="Times New Roman" w:hAnsi="Times New Roman"/>
          <w:spacing w:val="0"/>
          <w:sz w:val="20"/>
        </w:rPr>
        <w:t>The purchase of RSV plasma under our purchase agreements with third parties;</w:t>
      </w:r>
    </w:p>
    <w:p>
      <w:pPr>
        <w:pStyle w:val="TextBody"/>
        <w:bidi w:val="0"/>
        <w:spacing w:before="0" w:after="0"/>
        <w:ind w:left="0" w:right="0" w:hanging="360"/>
        <w:jc w:val="both"/>
        <w:rPr/>
      </w:pPr>
      <w:r>
        <w:rPr>
          <w:spacing w:val="0"/>
        </w:rPr>
        <w:t>●</w:t>
      </w:r>
      <w:r>
        <w:rPr>
          <w:caps w:val="false"/>
          <w:smallCaps w:val="false"/>
          <w:spacing w:val="0"/>
        </w:rPr>
        <w:t>      </w:t>
      </w:r>
      <w:r>
        <w:rPr>
          <w:rFonts w:ascii="Times New Roman" w:hAnsi="Times New Roman"/>
          <w:spacing w:val="0"/>
          <w:sz w:val="20"/>
        </w:rPr>
        <w:t>The purchase of our common stock pursuant to our Board-approved share repurchase program;</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Employee compensation and benefits; </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228600" cy="175260"/>
                <wp:effectExtent l="0" t="0" r="0" b="0"/>
                <wp:wrapSquare wrapText="right"/>
                <wp:docPr id="57" name="Frame5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Capital expenditures for equipment upgrades and capacity expansion at the Boca Facility and to maintain our plasma collection facilities; </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228600" cy="175260"/>
                <wp:effectExtent l="0" t="0" r="0" b="0"/>
                <wp:wrapSquare wrapText="right"/>
                <wp:docPr id="58" name="Frame5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Interest on our debt; </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228600" cy="175260"/>
                <wp:effectExtent l="0" t="0" r="0" b="0"/>
                <wp:wrapSquare wrapText="right"/>
                <wp:docPr id="59" name="Frame5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Marketing programs, medical education and continued commercialization efforts; </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228600" cy="175260"/>
                <wp:effectExtent l="0" t="0" r="0" b="0"/>
                <wp:wrapSquare wrapText="right"/>
                <wp:docPr id="60" name="Frame6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Boca Facility maintenance, improvements, repairs and supplies; </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228600" cy="175260"/>
                <wp:effectExtent l="0" t="0" r="0" b="0"/>
                <wp:wrapSquare wrapText="right"/>
                <wp:docPr id="61" name="Frame6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Research and development, including studies and development activities relating to SG-001; </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228600" cy="175260"/>
                <wp:effectExtent l="0" t="0" r="0" b="0"/>
                <wp:wrapSquare wrapText="right"/>
                <wp:docPr id="62" name="Frame6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Expansion and renovation-related improvements for the real estate acquired in July 2025 in Boca Raton, Florida, as further described below; and </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228600" cy="175260"/>
                <wp:effectExtent l="0" t="0" r="0" b="0"/>
                <wp:wrapSquare wrapText="right"/>
                <wp:docPr id="63" name="Frame6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Ongoing improvements and updates to our IT infrastructure, laboratory equipment and assays, and facilities and engineering equipment. </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228600" cy="175260"/>
                <wp:effectExtent l="0" t="0" r="0" b="0"/>
                <wp:wrapSquare wrapText="right"/>
                <wp:docPr id="64" name="Frame6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July 2025, we completed the acquisition of real estate in Boca Raton, Florida for a total purchase price of $12.6 million. This real estate purchase is intended to allow us to expand our production operations and related activities as well as provide for certain redundancies for ambient and cold-chain storage of raw materials, work in process and finished goods inventory. Our end-to-end production cycle time from procurement of raw materials to commercial release of finished product can take between seven and 12 months or potentially longer, requiring substantial inventories of raw material plasma and other manufacturing and laboratory testing materials and single use disposables.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currently anticipate, based upon our projected revenue and expenditures, that our current cash, cash equivalents and accounts receivable, along with our projected future operating cash flow, will be sufficient to fund our operations, as currently conducted, for the next twelve months and foreseeable future. Based on current operations and assuming continued market acceptance and utilization of our finished drug products, we do not anticipate the need to raise additional capital at this time. However, should the market for our products or political, economic or inflationary conditions change, we may need to seek additional capital which may not be available due to a variety of potential factors beyond our control (see “Risk Factors” appearing elsewhere in this report).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xml:space="preserve">  </w:t>
      </w:r>
      <w:r>
        <w:rPr>
          <w:rFonts w:ascii="Times New Roman" w:hAnsi="Times New Roman"/>
          <w:sz w:val="20"/>
        </w:rPr>
        <w:t xml:space="preserve">We continue to evaluate a variety of strategic alternatives, and the exploration of value-creating opportunities remains a top corporate priority. </w:t>
      </w:r>
    </w:p>
    <w:p>
      <w:pPr>
        <w:pStyle w:val="TextBody"/>
        <w:bidi w:val="0"/>
        <w:spacing w:before="0" w:after="0"/>
        <w:ind w:left="0" w:right="0" w:firstLine="720"/>
        <w:jc w:val="both"/>
        <w:rPr/>
      </w:pPr>
      <w:r>
        <w:rPr/>
        <w:t> </w:t>
      </w:r>
    </w:p>
    <w:p>
      <w:pPr>
        <w:pStyle w:val="TextBody"/>
        <w:bidi w:val="0"/>
        <w:spacing w:before="0" w:after="0"/>
        <w:jc w:val="both"/>
        <w:rPr>
          <w:rFonts w:ascii="Times New Roman" w:hAnsi="Times New Roman"/>
          <w:sz w:val="20"/>
        </w:rPr>
      </w:pPr>
      <w:r>
        <w:rPr>
          <w:rFonts w:ascii="Times New Roman" w:hAnsi="Times New Roman"/>
          <w:i/>
          <w:sz w:val="20"/>
        </w:rPr>
        <w:t>JPM Credit Agreement</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August 5, 2025 (the “JPM Closing Date”), we entered into a Credit Agreement (the “JPM Credit Agreement”) with the lenders party thereto and JPMorgan Chase Bank, N.A., as administrative agent. The JPM Credit Agreement provides for $300 million of senior secured credit facilities, consisting of (a) a term loan in the aggregate principal amount of $75 million (the “JPM Term Loan Facility”), which was drawn in full on the JPM Closing Date, and (b) a revolving credit facility in the aggregate principal amount of $225 million (the “JPM Revolving Facility”). We may also request, subject to customary conditions, additional incremental revolving commitments or term loans in an aggregate principal amount not to exceed $100 million (together with the JPM Term Loan Facility and the JPM Revolving Facility, the “JPM Credit Facilities”). The JPM Term Loan Facility has a maturity date of August 5, 2028 (the “JPM Term Maturity Date”), and the JPM Revolving Facility has a maturity date of August 5, 2028 or any earlier date on which the commitments under the JPM Revolving Facility are reduced to zero or otherwise terminated pursuant to the terms of the JPM Credit Agreement.</w:t>
      </w:r>
    </w:p>
    <w:p>
      <w:pPr>
        <w:pStyle w:val="TextBody"/>
        <w:bidi w:val="0"/>
        <w:spacing w:before="0" w:after="0"/>
        <w:jc w:val="both"/>
        <w:rPr/>
      </w:pPr>
      <w:r>
        <w:rPr/>
        <w:t>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On March 2, 2026, we borrowed $125.0 million under the JPM Revolving Facility, used to fund the ASR Agreement. See Note 8 in our unaudited condensed consolidated financial statements for further details.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Interest on borrowings under the JPM Credit Facilities accrues at an applicable rate equal to (i) an alternate base rate plus an applicable spread (each such borrowing, an “ABR Borrowing”) or (ii) Term Secured Overnight Financing Rate (“SOFR”) plus an applicable spread (each such borrowing, a “Term Benchmark Borrowing”), in each case based on the lower of the applicable rates set forth in the JPM Credit Agreement, which are based on the Company’s total leverage ratio. These applicable spreads range from 150 basis points to 200 basis points over the alternate base rate and 250 basis points to 300 basis points over Term SOFR, in each case, as determined in accordance with the provisions of the JPM Credit Agreement. We have agreed to pay a commitment fee at specified rates set forth in the JPM Credit Agreement, which, based on our total leverage ratio, ranges from 30 basis points to 35 basis points on the daily amount of the undrawn portion of the aggregate commitments of the lenders under the JPM Revolving Facility. At our request, each borrowing initially shall be either an ABR Borrowing or a Term Benchmark Borrowing, and we may thereafter elect to convert any such borrowing to a different type. During the occurrence and continuance of an Event of Default (as defined in the JPM Credit Agreement), all borrowings shall accrue interest at a rate per annum equal to 2% plus the applicable rate. As of June 30, 2026, the interest rate on the JPM Term Loan Facility and the JPM Revolving Facility was approximately 6.12%. </w:t>
      </w:r>
    </w:p>
    <w:p>
      <w:pPr>
        <w:pStyle w:val="TextBody"/>
        <w:bidi w:val="0"/>
        <w:spacing w:before="0" w:after="0"/>
        <w:ind w:left="0" w:right="0" w:firstLine="72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On the JPM Revolving Facility Maturity Date, we will repay the unpaid principal amount outstanding under the JPM Revolving Facility. Under the JPM Term Loan Facility, we will make principal payments in accordance with and on the dates specified in the amortization schedule set forth in the JPM Credit Agreement, with the remaining unpaid principal amount to be paid in full on the JPM Term Maturity Date. We may prepay at any time and from time to time any borrowing in whole or in part, without premium or penalty (other than, if applicable, any break funding expenses), subject to customary notice requirements.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All of our obligations under the JPM Credit Agreement are secured by a first-priority lien and security interest in substantially all of our tangible and intangible assets, including intellectual property and equity interests.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JPM Credit Agreement contains certain representations and warranties, affirmative covenants, negative covenants and conditions that are customarily required for similar debt financings. The negative covenants include certain financial covenants, including a maximum total leverage ratio of 2.50 to 1.00 and a minimum fixed charge coverage ratio of 1.20 to 1.00. The negative covenants also restrict or limit our ability to, among other things and subject to certain exceptions contained in the JPM Credit Agreement, incur new indebtedness; create liens on assets; engage in certain fundamental corporate changes; make certain investments; dispose of certain assets; engage in sale and leaseback transactions or swap agreements; make dividend payments and other certain Restricted Payments (as defined in the JPM Credit Agreement); engage in certain affiliate transactions; enter into any other agreements that have the impact of restricting our ability to make loan repayments under the JPM Credit Agreement; or amend certain material documents.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of June 30, 2026, we were in compliance with all of our debt covenants in the JPM Credit Agreement. </w:t>
      </w:r>
    </w:p>
    <w:p>
      <w:pPr>
        <w:pStyle w:val="TextBody"/>
        <w:bidi w:val="0"/>
        <w:spacing w:before="0" w:after="0"/>
        <w:jc w:val="left"/>
        <w:rPr/>
      </w:pPr>
      <w:r>
        <w:rPr/>
        <w:t> </w:t>
      </w:r>
    </w:p>
    <w:p>
      <w:pPr>
        <w:pStyle w:val="TextBody"/>
        <w:bidi w:val="0"/>
        <w:spacing w:before="0" w:after="0"/>
        <w:ind w:left="0" w:right="0" w:hanging="0"/>
        <w:jc w:val="both"/>
        <w:rPr>
          <w:rFonts w:ascii="Times New Roman" w:hAnsi="Times New Roman"/>
          <w:i/>
          <w:sz w:val="20"/>
        </w:rPr>
      </w:pPr>
      <w:r>
        <w:rPr>
          <w:rFonts w:ascii="Times New Roman" w:hAnsi="Times New Roman"/>
          <w:i/>
          <w:sz w:val="20"/>
        </w:rPr>
        <w:t>Repurchase Program</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xml:space="preserve">                </w:t>
      </w:r>
      <w:r>
        <w:rPr>
          <w:rFonts w:ascii="Times New Roman" w:hAnsi="Times New Roman"/>
          <w:sz w:val="20"/>
        </w:rPr>
        <w:t>In May 2025, the Board authorized a share repurchase program of up to $500.0 million of our outstanding shares of common stock (the “Repurchase Program”). The Repurchase Program does not obligate us to acquire any particular amount of our common stock, and may be modified, suspended, or terminated at any time. The Repurchase Program has no expiration date.  As of June 30, 2026, a total of $187.2 million of common stock had been repurchased over the lifetime of the Repurchase Program.</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xml:space="preserve">                </w:t>
      </w:r>
      <w:r>
        <w:rPr>
          <w:rFonts w:ascii="Times New Roman" w:hAnsi="Times New Roman"/>
          <w:sz w:val="20"/>
        </w:rPr>
        <w:t xml:space="preserve">On March 2, 2026, we entered into the ASR Agreement with JPMorgan to repurchase $125.0 million of shares of our common stock under the Repurchase Program. During the three and six months ended June 30, 2026, we received 4,337,879 and 10,760,487 shares of common stock, respectively, pursuant to the terms of the ASR Agreement.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During the three and six months ended June 30, 2026, in addition to the shares repurchased under the ASR Agreement, we repurchased 2,723,659 and 3,055,207 shares of common stock under the Repurchase Program at a total cost of $25.1 million and $30.2 million, respectively.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remain active with share repurchases under the Repurchase Program and are on track to complete our previously stated $200 million or more 2026 share repurchase target.</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Cash Flows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b/>
          <w:sz w:val="20"/>
        </w:rPr>
      </w:pPr>
      <w:r>
        <w:rPr>
          <w:rFonts w:ascii="Times New Roman" w:hAnsi="Times New Roman"/>
          <w:b w:val="false"/>
          <w:sz w:val="20"/>
        </w:rPr>
        <w:t>The following table sets forth a summary of our cash flows for the periods indicated:</w:t>
      </w:r>
      <w:r>
        <w:rPr>
          <w:rFonts w:ascii="Times New Roman" w:hAnsi="Times New Roman"/>
          <w:b/>
          <w:sz w:val="20"/>
        </w:rPr>
        <w:t xml:space="preserve"> </w:t>
      </w:r>
    </w:p>
    <w:p>
      <w:pPr>
        <w:pStyle w:val="TextBody"/>
        <w:bidi w:val="0"/>
        <w:spacing w:before="0" w:after="0"/>
        <w:jc w:val="left"/>
        <w:rPr/>
      </w:pPr>
      <w:r>
        <w:rPr/>
        <w:t xml:space="preserve">  </w:t>
      </w:r>
    </w:p>
    <w:tbl>
      <w:tblPr>
        <w:tblW w:w="8238" w:type="dxa"/>
        <w:jc w:val="left"/>
        <w:tblInd w:w="0" w:type="dxa"/>
        <w:tblLayout w:type="fixed"/>
        <w:tblCellMar>
          <w:top w:w="0" w:type="dxa"/>
          <w:left w:w="0" w:type="dxa"/>
          <w:bottom w:w="0" w:type="dxa"/>
          <w:right w:w="0" w:type="dxa"/>
        </w:tblCellMar>
      </w:tblPr>
      <w:tblGrid>
        <w:gridCol w:w="4835"/>
        <w:gridCol w:w="90"/>
        <w:gridCol w:w="170"/>
        <w:gridCol w:w="1149"/>
        <w:gridCol w:w="256"/>
        <w:gridCol w:w="124"/>
        <w:gridCol w:w="235"/>
        <w:gridCol w:w="1149"/>
        <w:gridCol w:w="230"/>
      </w:tblGrid>
      <w:tr>
        <w:trPr/>
        <w:tc>
          <w:tcPr>
            <w:tcW w:w="4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2913" w:type="dxa"/>
            <w:gridSpan w:val="5"/>
            <w:tcBorders>
              <w:bottom w:val="single" w:sz="6" w:space="0" w:color="000000"/>
            </w:tcBorders>
            <w:tcMar>
              <w:bottom w:w="28" w:type="dxa"/>
            </w:tcMar>
            <w:vAlign w:val="center"/>
          </w:tcPr>
          <w:p>
            <w:pPr>
              <w:pStyle w:val="TableContents"/>
              <w:bidi w:val="0"/>
              <w:spacing w:before="0" w:after="283"/>
              <w:jc w:val="center"/>
              <w:rPr/>
            </w:pPr>
            <w:r>
              <w:rPr>
                <w:b/>
                <w:spacing w:val="0"/>
              </w:rPr>
              <w:t>Six Months Ended June 30,</w:t>
            </w:r>
            <w:r>
              <w:rPr/>
              <w:t xml:space="preserve"> </w:t>
            </w:r>
          </w:p>
        </w:tc>
        <w:tc>
          <w:tcPr>
            <w:tcW w:w="230" w:type="dxa"/>
            <w:tcBorders/>
            <w:vAlign w:val="center"/>
          </w:tcPr>
          <w:p>
            <w:pPr>
              <w:pStyle w:val="TableContents"/>
              <w:bidi w:val="0"/>
              <w:spacing w:before="0" w:after="283"/>
              <w:jc w:val="center"/>
              <w:rPr/>
            </w:pPr>
            <w:r>
              <w:rPr/>
              <w:t> </w:t>
            </w:r>
          </w:p>
        </w:tc>
      </w:tr>
      <w:tr>
        <w:trPr/>
        <w:tc>
          <w:tcPr>
            <w:tcW w:w="4835" w:type="dxa"/>
            <w:tcBorders/>
            <w:vAlign w:val="center"/>
          </w:tcPr>
          <w:p>
            <w:pPr>
              <w:pStyle w:val="TableContents"/>
              <w:bidi w:val="0"/>
              <w:spacing w:before="0" w:after="283"/>
              <w:jc w:val="left"/>
              <w:rPr>
                <w:i/>
                <w:spacing w:val="0"/>
              </w:rPr>
            </w:pPr>
            <w:r>
              <w:rPr>
                <w:i/>
                <w:spacing w:val="0"/>
              </w:rPr>
              <w:t>(in thousands)</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149" w:type="dxa"/>
            <w:tcBorders>
              <w:bottom w:val="single" w:sz="6" w:space="0" w:color="000000"/>
            </w:tcBorders>
            <w:tcMar>
              <w:bottom w:w="28" w:type="dxa"/>
            </w:tcMar>
            <w:vAlign w:val="center"/>
          </w:tcPr>
          <w:p>
            <w:pPr>
              <w:pStyle w:val="TableContents"/>
              <w:bidi w:val="0"/>
              <w:spacing w:before="0" w:after="283"/>
              <w:jc w:val="center"/>
              <w:rPr>
                <w:b/>
                <w:spacing w:val="0"/>
              </w:rPr>
            </w:pPr>
            <w:r>
              <w:rPr>
                <w:b/>
                <w:spacing w:val="0"/>
              </w:rPr>
              <w:t>2026</w:t>
            </w:r>
          </w:p>
        </w:tc>
        <w:tc>
          <w:tcPr>
            <w:tcW w:w="256"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right"/>
              <w:rPr/>
            </w:pPr>
            <w:r>
              <w:rPr/>
              <w:t> </w:t>
            </w:r>
          </w:p>
        </w:tc>
        <w:tc>
          <w:tcPr>
            <w:tcW w:w="235" w:type="dxa"/>
            <w:tcBorders>
              <w:bottom w:val="single" w:sz="6" w:space="0" w:color="000000"/>
            </w:tcBorders>
            <w:tcMar>
              <w:bottom w:w="28" w:type="dxa"/>
            </w:tcMar>
            <w:vAlign w:val="center"/>
          </w:tcPr>
          <w:p>
            <w:pPr>
              <w:pStyle w:val="TableContents"/>
              <w:bidi w:val="0"/>
              <w:spacing w:before="0" w:after="283"/>
              <w:jc w:val="right"/>
              <w:rPr/>
            </w:pPr>
            <w:r>
              <w:rPr/>
              <w:t> </w:t>
            </w:r>
          </w:p>
        </w:tc>
        <w:tc>
          <w:tcPr>
            <w:tcW w:w="1149" w:type="dxa"/>
            <w:tcBorders>
              <w:bottom w:val="single" w:sz="6" w:space="0" w:color="000000"/>
            </w:tcBorders>
            <w:tcMar>
              <w:bottom w:w="28" w:type="dxa"/>
            </w:tcMar>
            <w:vAlign w:val="center"/>
          </w:tcPr>
          <w:p>
            <w:pPr>
              <w:pStyle w:val="TableContents"/>
              <w:bidi w:val="0"/>
              <w:spacing w:before="0" w:after="283"/>
              <w:jc w:val="center"/>
              <w:rPr>
                <w:b/>
                <w:spacing w:val="0"/>
              </w:rPr>
            </w:pPr>
            <w:r>
              <w:rPr>
                <w:b/>
                <w:spacing w:val="0"/>
              </w:rPr>
              <w:t>2025</w:t>
            </w:r>
          </w:p>
        </w:tc>
        <w:tc>
          <w:tcPr>
            <w:tcW w:w="230"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jc w:val="left"/>
              <w:rPr/>
            </w:pPr>
            <w:r>
              <w:rPr/>
              <w:t xml:space="preserve">Net cash provided by operating activities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w:t>
            </w:r>
          </w:p>
        </w:tc>
        <w:tc>
          <w:tcPr>
            <w:tcW w:w="1149" w:type="dxa"/>
            <w:tcBorders/>
            <w:shd w:fill="CCEEFF" w:val="clear"/>
            <w:vAlign w:val="center"/>
          </w:tcPr>
          <w:p>
            <w:pPr>
              <w:pStyle w:val="TableContents"/>
              <w:bidi w:val="0"/>
              <w:spacing w:before="0" w:after="283"/>
              <w:jc w:val="right"/>
              <w:rPr/>
            </w:pPr>
            <w:r>
              <w:rPr/>
              <w:t>87,788</w:t>
            </w:r>
          </w:p>
        </w:tc>
        <w:tc>
          <w:tcPr>
            <w:tcW w:w="25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right"/>
              <w:rPr/>
            </w:pPr>
            <w:r>
              <w:rPr/>
              <w:t>$</w:t>
            </w:r>
          </w:p>
        </w:tc>
        <w:tc>
          <w:tcPr>
            <w:tcW w:w="1149" w:type="dxa"/>
            <w:tcBorders/>
            <w:shd w:fill="CCEEFF" w:val="clear"/>
            <w:vAlign w:val="center"/>
          </w:tcPr>
          <w:p>
            <w:pPr>
              <w:pStyle w:val="TableContents"/>
              <w:bidi w:val="0"/>
              <w:spacing w:before="0" w:after="283"/>
              <w:jc w:val="right"/>
              <w:rPr/>
            </w:pPr>
            <w:r>
              <w:rPr/>
              <w:t>1,464</w:t>
            </w:r>
          </w:p>
        </w:tc>
        <w:tc>
          <w:tcPr>
            <w:tcW w:w="230"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0"/>
              <w:jc w:val="left"/>
              <w:rPr/>
            </w:pPr>
            <w:r>
              <w:rPr/>
              <w:t xml:space="preserve">Net cash provided by (used in) investing activities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49" w:type="dxa"/>
            <w:tcBorders/>
            <w:vAlign w:val="center"/>
          </w:tcPr>
          <w:p>
            <w:pPr>
              <w:pStyle w:val="TableContents"/>
              <w:bidi w:val="0"/>
              <w:spacing w:before="0" w:after="283"/>
              <w:jc w:val="right"/>
              <w:rPr/>
            </w:pPr>
            <w:r>
              <w:rPr/>
              <w:t>148</w:t>
            </w:r>
          </w:p>
        </w:tc>
        <w:tc>
          <w:tcPr>
            <w:tcW w:w="256"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c>
          <w:tcPr>
            <w:tcW w:w="1149" w:type="dxa"/>
            <w:tcBorders/>
            <w:vAlign w:val="center"/>
          </w:tcPr>
          <w:p>
            <w:pPr>
              <w:pStyle w:val="TableContents"/>
              <w:bidi w:val="0"/>
              <w:spacing w:before="0" w:after="283"/>
              <w:jc w:val="right"/>
              <w:rPr/>
            </w:pPr>
            <w:r>
              <w:rPr/>
              <w:t>(7,247</w:t>
            </w:r>
          </w:p>
        </w:tc>
        <w:tc>
          <w:tcPr>
            <w:tcW w:w="230"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jc w:val="left"/>
              <w:rPr/>
            </w:pPr>
            <w:r>
              <w:rPr/>
              <w:t xml:space="preserve">Net cash used in financing activities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149" w:type="dxa"/>
            <w:tcBorders>
              <w:bottom w:val="single" w:sz="6" w:space="0" w:color="000000"/>
            </w:tcBorders>
            <w:shd w:fill="CCEEFF" w:val="clear"/>
            <w:tcMar>
              <w:bottom w:w="28" w:type="dxa"/>
            </w:tcMar>
            <w:vAlign w:val="center"/>
          </w:tcPr>
          <w:p>
            <w:pPr>
              <w:pStyle w:val="TableContents"/>
              <w:bidi w:val="0"/>
              <w:spacing w:before="0" w:after="283"/>
              <w:jc w:val="right"/>
              <w:rPr/>
            </w:pPr>
            <w:r>
              <w:rPr/>
              <w:t>(39,546</w:t>
            </w:r>
          </w:p>
        </w:tc>
        <w:tc>
          <w:tcPr>
            <w:tcW w:w="25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right"/>
              <w:rPr/>
            </w:pPr>
            <w:r>
              <w:rPr/>
              <w:t> </w:t>
            </w:r>
          </w:p>
        </w:tc>
        <w:tc>
          <w:tcPr>
            <w:tcW w:w="235"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149" w:type="dxa"/>
            <w:tcBorders>
              <w:bottom w:val="single" w:sz="6" w:space="0" w:color="000000"/>
            </w:tcBorders>
            <w:shd w:fill="CCEEFF" w:val="clear"/>
            <w:tcMar>
              <w:bottom w:w="28" w:type="dxa"/>
            </w:tcMar>
            <w:vAlign w:val="center"/>
          </w:tcPr>
          <w:p>
            <w:pPr>
              <w:pStyle w:val="TableContents"/>
              <w:bidi w:val="0"/>
              <w:spacing w:before="0" w:after="283"/>
              <w:jc w:val="right"/>
              <w:rPr/>
            </w:pPr>
            <w:r>
              <w:rPr/>
              <w:t>(7,079</w:t>
            </w:r>
          </w:p>
        </w:tc>
        <w:tc>
          <w:tcPr>
            <w:tcW w:w="230"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0"/>
              <w:jc w:val="left"/>
              <w:rPr/>
            </w:pPr>
            <w:r>
              <w:rPr/>
              <w:t xml:space="preserve">Net change in cash and cash equivalents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49" w:type="dxa"/>
            <w:tcBorders/>
            <w:vAlign w:val="center"/>
          </w:tcPr>
          <w:p>
            <w:pPr>
              <w:pStyle w:val="TableContents"/>
              <w:bidi w:val="0"/>
              <w:spacing w:before="0" w:after="283"/>
              <w:jc w:val="right"/>
              <w:rPr/>
            </w:pPr>
            <w:r>
              <w:rPr/>
              <w:t>48,390</w:t>
            </w:r>
          </w:p>
        </w:tc>
        <w:tc>
          <w:tcPr>
            <w:tcW w:w="256"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c>
          <w:tcPr>
            <w:tcW w:w="1149" w:type="dxa"/>
            <w:tcBorders/>
            <w:vAlign w:val="center"/>
          </w:tcPr>
          <w:p>
            <w:pPr>
              <w:pStyle w:val="TableContents"/>
              <w:bidi w:val="0"/>
              <w:spacing w:before="0" w:after="283"/>
              <w:jc w:val="right"/>
              <w:rPr/>
            </w:pPr>
            <w:r>
              <w:rPr/>
              <w:t>(12,862</w:t>
            </w:r>
          </w:p>
        </w:tc>
        <w:tc>
          <w:tcPr>
            <w:tcW w:w="230"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0"/>
              <w:jc w:val="left"/>
              <w:rPr/>
            </w:pPr>
            <w:r>
              <w:rPr/>
              <w:t xml:space="preserve">Cash and cash equivalents - beginning of period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149" w:type="dxa"/>
            <w:tcBorders>
              <w:bottom w:val="single" w:sz="6" w:space="0" w:color="000000"/>
            </w:tcBorders>
            <w:tcMar>
              <w:bottom w:w="28" w:type="dxa"/>
            </w:tcMar>
            <w:vAlign w:val="center"/>
          </w:tcPr>
          <w:p>
            <w:pPr>
              <w:pStyle w:val="TableContents"/>
              <w:bidi w:val="0"/>
              <w:spacing w:before="0" w:after="283"/>
              <w:jc w:val="right"/>
              <w:rPr/>
            </w:pPr>
            <w:r>
              <w:rPr/>
              <w:t>87,630</w:t>
            </w:r>
          </w:p>
        </w:tc>
        <w:tc>
          <w:tcPr>
            <w:tcW w:w="256"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right"/>
              <w:rPr/>
            </w:pPr>
            <w:r>
              <w:rPr/>
              <w:t> </w:t>
            </w:r>
          </w:p>
        </w:tc>
        <w:tc>
          <w:tcPr>
            <w:tcW w:w="235" w:type="dxa"/>
            <w:tcBorders>
              <w:bottom w:val="single" w:sz="6" w:space="0" w:color="000000"/>
            </w:tcBorders>
            <w:tcMar>
              <w:bottom w:w="28" w:type="dxa"/>
            </w:tcMar>
            <w:vAlign w:val="center"/>
          </w:tcPr>
          <w:p>
            <w:pPr>
              <w:pStyle w:val="TableContents"/>
              <w:bidi w:val="0"/>
              <w:spacing w:before="0" w:after="283"/>
              <w:jc w:val="right"/>
              <w:rPr/>
            </w:pPr>
            <w:r>
              <w:rPr/>
              <w:t> </w:t>
            </w:r>
          </w:p>
        </w:tc>
        <w:tc>
          <w:tcPr>
            <w:tcW w:w="1149" w:type="dxa"/>
            <w:tcBorders>
              <w:bottom w:val="single" w:sz="6" w:space="0" w:color="000000"/>
            </w:tcBorders>
            <w:tcMar>
              <w:bottom w:w="28" w:type="dxa"/>
            </w:tcMar>
            <w:vAlign w:val="center"/>
          </w:tcPr>
          <w:p>
            <w:pPr>
              <w:pStyle w:val="TableContents"/>
              <w:bidi w:val="0"/>
              <w:spacing w:before="0" w:after="283"/>
              <w:jc w:val="right"/>
              <w:rPr/>
            </w:pPr>
            <w:r>
              <w:rPr/>
              <w:t>103,147</w:t>
            </w:r>
          </w:p>
        </w:tc>
        <w:tc>
          <w:tcPr>
            <w:tcW w:w="230"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jc w:val="left"/>
              <w:rPr/>
            </w:pPr>
            <w:r>
              <w:rPr/>
              <w:t xml:space="preserve">Cash and cash equivalents - end of period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1149" w:type="dxa"/>
            <w:tcBorders>
              <w:bottom w:val="single" w:sz="6" w:space="0" w:color="000000"/>
            </w:tcBorders>
            <w:shd w:fill="CCEEFF" w:val="clear"/>
            <w:tcMar>
              <w:bottom w:w="28" w:type="dxa"/>
            </w:tcMar>
            <w:vAlign w:val="center"/>
          </w:tcPr>
          <w:p>
            <w:pPr>
              <w:pStyle w:val="TableContents"/>
              <w:bidi w:val="0"/>
              <w:spacing w:before="0" w:after="283"/>
              <w:jc w:val="right"/>
              <w:rPr/>
            </w:pPr>
            <w:r>
              <w:rPr/>
              <w:t>136,020</w:t>
            </w:r>
          </w:p>
        </w:tc>
        <w:tc>
          <w:tcPr>
            <w:tcW w:w="25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right"/>
              <w:rPr/>
            </w:pPr>
            <w:r>
              <w:rPr/>
              <w:t> </w:t>
            </w:r>
          </w:p>
        </w:tc>
        <w:tc>
          <w:tcPr>
            <w:tcW w:w="235"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1149" w:type="dxa"/>
            <w:tcBorders>
              <w:bottom w:val="single" w:sz="6" w:space="0" w:color="000000"/>
            </w:tcBorders>
            <w:shd w:fill="CCEEFF" w:val="clear"/>
            <w:tcMar>
              <w:bottom w:w="28" w:type="dxa"/>
            </w:tcMar>
            <w:vAlign w:val="center"/>
          </w:tcPr>
          <w:p>
            <w:pPr>
              <w:pStyle w:val="TableContents"/>
              <w:bidi w:val="0"/>
              <w:spacing w:before="0" w:after="283"/>
              <w:jc w:val="right"/>
              <w:rPr/>
            </w:pPr>
            <w:r>
              <w:rPr/>
              <w:t>90,285</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xml:space="preserve">  </w:t>
      </w:r>
    </w:p>
    <w:p>
      <w:pPr>
        <w:pStyle w:val="TextBody"/>
        <w:bidi w:val="0"/>
        <w:spacing w:before="0" w:after="0"/>
        <w:jc w:val="left"/>
        <w:rPr>
          <w:rFonts w:ascii="Times New Roman" w:hAnsi="Times New Roman"/>
          <w:b/>
          <w:sz w:val="20"/>
        </w:rPr>
      </w:pPr>
      <w:r>
        <w:rPr>
          <w:rFonts w:ascii="Times New Roman" w:hAnsi="Times New Roman"/>
          <w:b/>
          <w:i/>
          <w:sz w:val="20"/>
        </w:rPr>
        <w:t>Net Cash Provided by Operating Activities</w:t>
      </w:r>
      <w:r>
        <w:rPr>
          <w:rFonts w:ascii="Times New Roman" w:hAnsi="Times New Roman"/>
          <w:b/>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b/>
          <w:sz w:val="20"/>
        </w:rPr>
      </w:pPr>
      <w:r>
        <w:rPr>
          <w:rFonts w:ascii="Times New Roman" w:hAnsi="Times New Roman"/>
          <w:b w:val="false"/>
          <w:sz w:val="20"/>
        </w:rPr>
        <w:t>Cash provided in operations for the six months ended June 30, 2026 was $87.8 million, an increase of $86.3 million from the same period of a year ago, primarily driven by growth in net income and favorable timing of cash collections from accounts receivable. The following table illustrates the primary components of our cash flows from operations:</w:t>
      </w:r>
      <w:r>
        <w:rPr>
          <w:rFonts w:ascii="Times New Roman" w:hAnsi="Times New Roman"/>
          <w:b/>
          <w:sz w:val="20"/>
        </w:rPr>
        <w:t xml:space="preserve">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tbl>
      <w:tblPr>
        <w:tblW w:w="8447" w:type="dxa"/>
        <w:jc w:val="left"/>
        <w:tblInd w:w="0" w:type="dxa"/>
        <w:tblLayout w:type="fixed"/>
        <w:tblCellMar>
          <w:top w:w="0" w:type="dxa"/>
          <w:left w:w="0" w:type="dxa"/>
          <w:bottom w:w="0" w:type="dxa"/>
          <w:right w:w="0" w:type="dxa"/>
        </w:tblCellMar>
      </w:tblPr>
      <w:tblGrid>
        <w:gridCol w:w="5045"/>
        <w:gridCol w:w="90"/>
        <w:gridCol w:w="170"/>
        <w:gridCol w:w="1135"/>
        <w:gridCol w:w="267"/>
        <w:gridCol w:w="130"/>
        <w:gridCol w:w="245"/>
        <w:gridCol w:w="1135"/>
        <w:gridCol w:w="230"/>
      </w:tblGrid>
      <w:tr>
        <w:trPr/>
        <w:tc>
          <w:tcPr>
            <w:tcW w:w="50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2912" w:type="dxa"/>
            <w:gridSpan w:val="5"/>
            <w:tcBorders>
              <w:bottom w:val="single" w:sz="6" w:space="0" w:color="000000"/>
            </w:tcBorders>
            <w:tcMar>
              <w:bottom w:w="28" w:type="dxa"/>
            </w:tcMar>
            <w:vAlign w:val="center"/>
          </w:tcPr>
          <w:p>
            <w:pPr>
              <w:pStyle w:val="TableContents"/>
              <w:bidi w:val="0"/>
              <w:spacing w:before="0" w:after="283"/>
              <w:jc w:val="center"/>
              <w:rPr/>
            </w:pPr>
            <w:r>
              <w:rPr>
                <w:b/>
                <w:spacing w:val="0"/>
              </w:rPr>
              <w:t>Six Months Ended June 30,</w:t>
            </w:r>
            <w:r>
              <w:rPr/>
              <w:t xml:space="preserve"> </w:t>
            </w:r>
          </w:p>
        </w:tc>
        <w:tc>
          <w:tcPr>
            <w:tcW w:w="230" w:type="dxa"/>
            <w:tcBorders/>
            <w:vAlign w:val="center"/>
          </w:tcPr>
          <w:p>
            <w:pPr>
              <w:pStyle w:val="TableContents"/>
              <w:bidi w:val="0"/>
              <w:spacing w:before="0" w:after="283"/>
              <w:jc w:val="center"/>
              <w:rPr/>
            </w:pPr>
            <w:r>
              <w:rPr/>
              <w:t> </w:t>
            </w:r>
          </w:p>
        </w:tc>
      </w:tr>
      <w:tr>
        <w:trPr/>
        <w:tc>
          <w:tcPr>
            <w:tcW w:w="5045" w:type="dxa"/>
            <w:tcBorders/>
            <w:vAlign w:val="center"/>
          </w:tcPr>
          <w:p>
            <w:pPr>
              <w:pStyle w:val="TableContents"/>
              <w:bidi w:val="0"/>
              <w:spacing w:before="0" w:after="0"/>
              <w:jc w:val="left"/>
              <w:rPr/>
            </w:pPr>
            <w:r>
              <w:rPr>
                <w:i/>
              </w:rPr>
              <w:t>(in thousands)</w:t>
            </w:r>
            <w:r>
              <w:rPr/>
              <w:t xml:space="preserve">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35" w:type="dxa"/>
            <w:tcBorders>
              <w:bottom w:val="single" w:sz="6" w:space="0" w:color="000000"/>
            </w:tcBorders>
            <w:tcMar>
              <w:bottom w:w="28" w:type="dxa"/>
            </w:tcMar>
            <w:vAlign w:val="center"/>
          </w:tcPr>
          <w:p>
            <w:pPr>
              <w:pStyle w:val="TableContents"/>
              <w:bidi w:val="0"/>
              <w:spacing w:before="0" w:after="283"/>
              <w:jc w:val="center"/>
              <w:rPr/>
            </w:pPr>
            <w:r>
              <w:rPr>
                <w:b/>
              </w:rPr>
              <w:t>2026</w:t>
            </w:r>
            <w:r>
              <w:rPr/>
              <w:t xml:space="preserve"> </w:t>
            </w:r>
          </w:p>
        </w:tc>
        <w:tc>
          <w:tcPr>
            <w:tcW w:w="267" w:type="dxa"/>
            <w:tcBorders/>
            <w:vAlign w:val="center"/>
          </w:tcPr>
          <w:p>
            <w:pPr>
              <w:pStyle w:val="TableContents"/>
              <w:bidi w:val="0"/>
              <w:spacing w:before="0" w:after="283"/>
              <w:jc w:val="center"/>
              <w:rPr/>
            </w:pPr>
            <w:r>
              <w:rPr/>
              <w:t> </w:t>
            </w:r>
          </w:p>
        </w:tc>
        <w:tc>
          <w:tcPr>
            <w:tcW w:w="130" w:type="dxa"/>
            <w:tcBorders/>
            <w:vAlign w:val="center"/>
          </w:tcPr>
          <w:p>
            <w:pPr>
              <w:pStyle w:val="TableContents"/>
              <w:bidi w:val="0"/>
              <w:spacing w:before="0" w:after="283"/>
              <w:jc w:val="center"/>
              <w:rPr/>
            </w:pPr>
            <w:r>
              <w:rPr/>
              <w:t> </w:t>
            </w:r>
          </w:p>
        </w:tc>
        <w:tc>
          <w:tcPr>
            <w:tcW w:w="245"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35" w:type="dxa"/>
            <w:tcBorders>
              <w:bottom w:val="single" w:sz="6"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30" w:type="dxa"/>
            <w:tcBorders/>
            <w:vAlign w:val="center"/>
          </w:tcPr>
          <w:p>
            <w:pPr>
              <w:pStyle w:val="TableContents"/>
              <w:bidi w:val="0"/>
              <w:spacing w:before="0" w:after="283"/>
              <w:jc w:val="center"/>
              <w:rPr/>
            </w:pPr>
            <w:r>
              <w:rPr/>
              <w:t> </w:t>
            </w:r>
          </w:p>
        </w:tc>
      </w:tr>
      <w:tr>
        <w:trPr/>
        <w:tc>
          <w:tcPr>
            <w:tcW w:w="5045" w:type="dxa"/>
            <w:tcBorders/>
            <w:shd w:fill="CCEEFF" w:val="clear"/>
            <w:vAlign w:val="center"/>
          </w:tcPr>
          <w:p>
            <w:pPr>
              <w:pStyle w:val="TableContents"/>
              <w:bidi w:val="0"/>
              <w:spacing w:before="0" w:after="0"/>
              <w:jc w:val="left"/>
              <w:rPr/>
            </w:pPr>
            <w:r>
              <w:rPr/>
              <w:t xml:space="preserve">Net income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w:t>
            </w:r>
          </w:p>
        </w:tc>
        <w:tc>
          <w:tcPr>
            <w:tcW w:w="1135" w:type="dxa"/>
            <w:tcBorders/>
            <w:shd w:fill="CCEEFF" w:val="clear"/>
            <w:vAlign w:val="center"/>
          </w:tcPr>
          <w:p>
            <w:pPr>
              <w:pStyle w:val="TableContents"/>
              <w:bidi w:val="0"/>
              <w:spacing w:before="0" w:after="283"/>
              <w:jc w:val="right"/>
              <w:rPr/>
            </w:pPr>
            <w:r>
              <w:rPr/>
              <w:t>83,150</w:t>
            </w:r>
          </w:p>
        </w:tc>
        <w:tc>
          <w:tcPr>
            <w:tcW w:w="267"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right"/>
              <w:rPr/>
            </w:pPr>
            <w:r>
              <w:rPr/>
              <w:t>$</w:t>
            </w:r>
          </w:p>
        </w:tc>
        <w:tc>
          <w:tcPr>
            <w:tcW w:w="1135" w:type="dxa"/>
            <w:tcBorders/>
            <w:shd w:fill="CCEEFF" w:val="clear"/>
            <w:vAlign w:val="center"/>
          </w:tcPr>
          <w:p>
            <w:pPr>
              <w:pStyle w:val="TableContents"/>
              <w:bidi w:val="0"/>
              <w:spacing w:before="0" w:after="283"/>
              <w:jc w:val="right"/>
              <w:rPr/>
            </w:pPr>
            <w:r>
              <w:rPr/>
              <w:t>61,122</w:t>
            </w:r>
          </w:p>
        </w:tc>
        <w:tc>
          <w:tcPr>
            <w:tcW w:w="230"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0"/>
              <w:jc w:val="left"/>
              <w:rPr/>
            </w:pPr>
            <w:r>
              <w:rPr/>
              <w:t xml:space="preserve">Non-cash expenses, gains and losses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35" w:type="dxa"/>
            <w:tcBorders/>
            <w:vAlign w:val="center"/>
          </w:tcPr>
          <w:p>
            <w:pPr>
              <w:pStyle w:val="TableContents"/>
              <w:bidi w:val="0"/>
              <w:spacing w:before="0" w:after="283"/>
              <w:jc w:val="right"/>
              <w:rPr/>
            </w:pPr>
            <w:r>
              <w:rPr/>
              <w:t>11,752</w:t>
            </w:r>
          </w:p>
        </w:tc>
        <w:tc>
          <w:tcPr>
            <w:tcW w:w="267"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1135" w:type="dxa"/>
            <w:tcBorders/>
            <w:vAlign w:val="center"/>
          </w:tcPr>
          <w:p>
            <w:pPr>
              <w:pStyle w:val="TableContents"/>
              <w:bidi w:val="0"/>
              <w:spacing w:before="0" w:after="283"/>
              <w:jc w:val="right"/>
              <w:rPr/>
            </w:pPr>
            <w:r>
              <w:rPr/>
              <w:t>20,097</w:t>
            </w:r>
          </w:p>
        </w:tc>
        <w:tc>
          <w:tcPr>
            <w:tcW w:w="230"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jc w:val="left"/>
              <w:rPr/>
            </w:pPr>
            <w:r>
              <w:rPr/>
              <w:t xml:space="preserve">Changes in accounts receivable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35" w:type="dxa"/>
            <w:tcBorders/>
            <w:shd w:fill="CCEEFF" w:val="clear"/>
            <w:vAlign w:val="center"/>
          </w:tcPr>
          <w:p>
            <w:pPr>
              <w:pStyle w:val="TableContents"/>
              <w:bidi w:val="0"/>
              <w:spacing w:before="0" w:after="283"/>
              <w:jc w:val="right"/>
              <w:rPr/>
            </w:pPr>
            <w:r>
              <w:rPr/>
              <w:t>20,198</w:t>
            </w:r>
          </w:p>
        </w:tc>
        <w:tc>
          <w:tcPr>
            <w:tcW w:w="267"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right"/>
              <w:rPr/>
            </w:pPr>
            <w:r>
              <w:rPr/>
              <w:t> </w:t>
            </w:r>
          </w:p>
        </w:tc>
        <w:tc>
          <w:tcPr>
            <w:tcW w:w="1135" w:type="dxa"/>
            <w:tcBorders/>
            <w:shd w:fill="CCEEFF" w:val="clear"/>
            <w:vAlign w:val="center"/>
          </w:tcPr>
          <w:p>
            <w:pPr>
              <w:pStyle w:val="TableContents"/>
              <w:bidi w:val="0"/>
              <w:spacing w:before="0" w:after="283"/>
              <w:jc w:val="right"/>
              <w:rPr/>
            </w:pPr>
            <w:r>
              <w:rPr/>
              <w:t>(59,726</w:t>
            </w:r>
          </w:p>
        </w:tc>
        <w:tc>
          <w:tcPr>
            <w:tcW w:w="230"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0"/>
              <w:jc w:val="left"/>
              <w:rPr/>
            </w:pPr>
            <w:r>
              <w:rPr/>
              <w:t xml:space="preserve">Changes in inventories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35" w:type="dxa"/>
            <w:tcBorders/>
            <w:vAlign w:val="center"/>
          </w:tcPr>
          <w:p>
            <w:pPr>
              <w:pStyle w:val="TableContents"/>
              <w:bidi w:val="0"/>
              <w:spacing w:before="0" w:after="283"/>
              <w:jc w:val="right"/>
              <w:rPr/>
            </w:pPr>
            <w:r>
              <w:rPr/>
              <w:t>(32,848</w:t>
            </w:r>
          </w:p>
        </w:tc>
        <w:tc>
          <w:tcPr>
            <w:tcW w:w="267"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1135" w:type="dxa"/>
            <w:tcBorders/>
            <w:vAlign w:val="center"/>
          </w:tcPr>
          <w:p>
            <w:pPr>
              <w:pStyle w:val="TableContents"/>
              <w:bidi w:val="0"/>
              <w:spacing w:before="0" w:after="283"/>
              <w:jc w:val="right"/>
              <w:rPr/>
            </w:pPr>
            <w:r>
              <w:rPr/>
              <w:t>(21,229</w:t>
            </w:r>
          </w:p>
        </w:tc>
        <w:tc>
          <w:tcPr>
            <w:tcW w:w="230"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jc w:val="left"/>
              <w:rPr/>
            </w:pPr>
            <w:r>
              <w:rPr/>
              <w:t xml:space="preserve">Change in prepaid expenses and other current assets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35" w:type="dxa"/>
            <w:tcBorders/>
            <w:shd w:fill="CCEEFF" w:val="clear"/>
            <w:vAlign w:val="center"/>
          </w:tcPr>
          <w:p>
            <w:pPr>
              <w:pStyle w:val="TableContents"/>
              <w:bidi w:val="0"/>
              <w:spacing w:before="0" w:after="283"/>
              <w:jc w:val="right"/>
              <w:rPr/>
            </w:pPr>
            <w:r>
              <w:rPr/>
              <w:t>(1,181</w:t>
            </w:r>
          </w:p>
        </w:tc>
        <w:tc>
          <w:tcPr>
            <w:tcW w:w="267"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right"/>
              <w:rPr/>
            </w:pPr>
            <w:r>
              <w:rPr/>
              <w:t> </w:t>
            </w:r>
          </w:p>
        </w:tc>
        <w:tc>
          <w:tcPr>
            <w:tcW w:w="1135" w:type="dxa"/>
            <w:tcBorders/>
            <w:shd w:fill="CCEEFF" w:val="clear"/>
            <w:vAlign w:val="center"/>
          </w:tcPr>
          <w:p>
            <w:pPr>
              <w:pStyle w:val="TableContents"/>
              <w:bidi w:val="0"/>
              <w:spacing w:before="0" w:after="283"/>
              <w:jc w:val="right"/>
              <w:rPr/>
            </w:pPr>
            <w:r>
              <w:rPr/>
              <w:t xml:space="preserve">- </w:t>
            </w:r>
          </w:p>
        </w:tc>
        <w:tc>
          <w:tcPr>
            <w:tcW w:w="230"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0"/>
              <w:jc w:val="left"/>
              <w:rPr/>
            </w:pPr>
            <w:r>
              <w:rPr/>
              <w:t xml:space="preserve">Changes in accounts payable and accrued expenses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35" w:type="dxa"/>
            <w:tcBorders/>
            <w:vAlign w:val="center"/>
          </w:tcPr>
          <w:p>
            <w:pPr>
              <w:pStyle w:val="TableContents"/>
              <w:bidi w:val="0"/>
              <w:spacing w:before="0" w:after="283"/>
              <w:jc w:val="right"/>
              <w:rPr/>
            </w:pPr>
            <w:r>
              <w:rPr/>
              <w:t>7,369</w:t>
            </w:r>
          </w:p>
        </w:tc>
        <w:tc>
          <w:tcPr>
            <w:tcW w:w="267"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1135" w:type="dxa"/>
            <w:tcBorders/>
            <w:vAlign w:val="center"/>
          </w:tcPr>
          <w:p>
            <w:pPr>
              <w:pStyle w:val="TableContents"/>
              <w:bidi w:val="0"/>
              <w:spacing w:before="0" w:after="283"/>
              <w:jc w:val="right"/>
              <w:rPr/>
            </w:pPr>
            <w:r>
              <w:rPr/>
              <w:t>4,203</w:t>
            </w:r>
          </w:p>
        </w:tc>
        <w:tc>
          <w:tcPr>
            <w:tcW w:w="230"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jc w:val="left"/>
              <w:rPr/>
            </w:pPr>
            <w:r>
              <w:rPr/>
              <w:t xml:space="preserve">Other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135" w:type="dxa"/>
            <w:tcBorders>
              <w:bottom w:val="single" w:sz="6" w:space="0" w:color="000000"/>
            </w:tcBorders>
            <w:shd w:fill="CCEEFF" w:val="clear"/>
            <w:tcMar>
              <w:bottom w:w="28" w:type="dxa"/>
            </w:tcMar>
            <w:vAlign w:val="center"/>
          </w:tcPr>
          <w:p>
            <w:pPr>
              <w:pStyle w:val="TableContents"/>
              <w:bidi w:val="0"/>
              <w:spacing w:before="0" w:after="283"/>
              <w:jc w:val="right"/>
              <w:rPr/>
            </w:pPr>
            <w:r>
              <w:rPr/>
              <w:t>(652</w:t>
            </w:r>
          </w:p>
        </w:tc>
        <w:tc>
          <w:tcPr>
            <w:tcW w:w="267"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right"/>
              <w:rPr/>
            </w:pPr>
            <w:r>
              <w:rPr/>
              <w:t> </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135" w:type="dxa"/>
            <w:tcBorders>
              <w:bottom w:val="single" w:sz="6" w:space="0" w:color="000000"/>
            </w:tcBorders>
            <w:shd w:fill="CCEEFF" w:val="clear"/>
            <w:tcMar>
              <w:bottom w:w="28" w:type="dxa"/>
            </w:tcMar>
            <w:vAlign w:val="center"/>
          </w:tcPr>
          <w:p>
            <w:pPr>
              <w:pStyle w:val="TableContents"/>
              <w:bidi w:val="0"/>
              <w:spacing w:before="0" w:after="283"/>
              <w:jc w:val="right"/>
              <w:rPr/>
            </w:pPr>
            <w:r>
              <w:rPr/>
              <w:t>(3,003</w:t>
            </w:r>
          </w:p>
        </w:tc>
        <w:tc>
          <w:tcPr>
            <w:tcW w:w="230" w:type="dxa"/>
            <w:tcBorders/>
            <w:shd w:fill="CCEE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0"/>
              <w:jc w:val="left"/>
              <w:rPr/>
            </w:pPr>
            <w:r>
              <w:rPr/>
              <w:t xml:space="preserve">Net cash provided by operating activities </w:t>
            </w:r>
          </w:p>
        </w:tc>
        <w:tc>
          <w:tcPr>
            <w:tcW w:w="90" w:type="dxa"/>
            <w:tcBorders/>
            <w:vAlign w:val="center"/>
          </w:tcPr>
          <w:p>
            <w:pPr>
              <w:pStyle w:val="TableContents"/>
              <w:bidi w:val="0"/>
              <w:spacing w:before="0" w:after="283"/>
              <w:jc w:val="righ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w:t>
            </w:r>
          </w:p>
        </w:tc>
        <w:tc>
          <w:tcPr>
            <w:tcW w:w="1135" w:type="dxa"/>
            <w:tcBorders>
              <w:bottom w:val="single" w:sz="6" w:space="0" w:color="000000"/>
            </w:tcBorders>
            <w:tcMar>
              <w:bottom w:w="28" w:type="dxa"/>
            </w:tcMar>
            <w:vAlign w:val="center"/>
          </w:tcPr>
          <w:p>
            <w:pPr>
              <w:pStyle w:val="TableContents"/>
              <w:bidi w:val="0"/>
              <w:spacing w:before="0" w:after="283"/>
              <w:jc w:val="right"/>
              <w:rPr/>
            </w:pPr>
            <w:r>
              <w:rPr/>
              <w:t>87,788</w:t>
            </w:r>
          </w:p>
        </w:tc>
        <w:tc>
          <w:tcPr>
            <w:tcW w:w="267" w:type="dxa"/>
            <w:tcBorders>
              <w:bottom w:val="single" w:sz="2" w:space="0" w:color="000000"/>
            </w:tcBorders>
            <w:tcMar>
              <w:bottom w:w="28" w:type="dxa"/>
            </w:tcMar>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right"/>
              <w:rPr/>
            </w:pPr>
            <w:r>
              <w:rPr/>
              <w:t> </w:t>
            </w:r>
          </w:p>
        </w:tc>
        <w:tc>
          <w:tcPr>
            <w:tcW w:w="245" w:type="dxa"/>
            <w:tcBorders>
              <w:bottom w:val="single" w:sz="6" w:space="0" w:color="000000"/>
            </w:tcBorders>
            <w:tcMar>
              <w:bottom w:w="28" w:type="dxa"/>
            </w:tcMar>
            <w:vAlign w:val="center"/>
          </w:tcPr>
          <w:p>
            <w:pPr>
              <w:pStyle w:val="TableContents"/>
              <w:bidi w:val="0"/>
              <w:spacing w:before="0" w:after="283"/>
              <w:jc w:val="right"/>
              <w:rPr/>
            </w:pPr>
            <w:r>
              <w:rPr/>
              <w:t>$</w:t>
            </w:r>
          </w:p>
        </w:tc>
        <w:tc>
          <w:tcPr>
            <w:tcW w:w="1135" w:type="dxa"/>
            <w:tcBorders>
              <w:bottom w:val="single" w:sz="6" w:space="0" w:color="000000"/>
            </w:tcBorders>
            <w:tcMar>
              <w:bottom w:w="28" w:type="dxa"/>
            </w:tcMar>
            <w:vAlign w:val="center"/>
          </w:tcPr>
          <w:p>
            <w:pPr>
              <w:pStyle w:val="TableContents"/>
              <w:bidi w:val="0"/>
              <w:spacing w:before="0" w:after="283"/>
              <w:jc w:val="right"/>
              <w:rPr/>
            </w:pPr>
            <w:r>
              <w:rPr/>
              <w:t>1,464</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Net Cash Provided by (Used in) Investing Activities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Net cash used in investing activities for the six months ended June 30, 2026 decreased by $7.4 million from the same period of a year ago. The decrease is primarily due to the proceeds received from the sale of the three of our plasma centers during the first quarter of 2026 and reduction in capital expenditures. </w:t>
      </w:r>
    </w:p>
    <w:p>
      <w:pPr>
        <w:pStyle w:val="TextBody"/>
        <w:bidi w:val="0"/>
        <w:spacing w:before="0" w:after="0"/>
        <w:jc w:val="left"/>
        <w:rPr/>
      </w:pPr>
      <w:r>
        <w:rPr/>
        <w:t xml:space="preserve">  </w:t>
      </w:r>
    </w:p>
    <w:p>
      <w:pPr>
        <w:pStyle w:val="TextBody"/>
        <w:bidi w:val="0"/>
        <w:spacing w:before="0" w:after="0"/>
        <w:jc w:val="left"/>
        <w:rPr>
          <w:rFonts w:ascii="Times New Roman" w:hAnsi="Times New Roman"/>
          <w:b/>
          <w:sz w:val="20"/>
        </w:rPr>
      </w:pPr>
      <w:r>
        <w:rPr>
          <w:rFonts w:ascii="Times New Roman" w:hAnsi="Times New Roman"/>
          <w:b/>
          <w:i/>
          <w:sz w:val="20"/>
        </w:rPr>
        <w:t>Net Cash Used in Financing Activities</w:t>
      </w:r>
      <w:r>
        <w:rPr>
          <w:rFonts w:ascii="Times New Roman" w:hAnsi="Times New Roman"/>
          <w:b/>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Net cash used in financing activities was $39.5 million and $7.1 million for the six months ended June 30, 2026 and 2025, respectively. The increase is primarily driven by the share repurchases made during the six months ended June 30, 2026.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Effect of Inflation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Inflation impacted a number of facets of our business during the six months ended June 30, 2026 and 2025 at each of our business segments. Disruptions in the global economy have impeded global supply chains, resulted in longer lead times and delays in procuring certain raw materials, and resulted in inflationary cost increases in certain raw materials, labor and transportation. We also experienced price increases for, among other items, consumable supplies, services for repairs and maintenance of our facilities, utilities, shipping and freight charges, fuel surcharges and labor costs, among other expenses. Based upon the macroeconomic environment, publicly available information and reports from the U.S. government, we expect this trend to continue in the second half of 2026. Although we cannot predict the extent to which future domestic and global economic conditions, including, but not limited to, supply chain constraints, tariffs or trade wars, changes in federal regulatory policies or priorities, general economic and geopolitical conditions, or the continuing conflicts in Europe, the Middle East and surrounding areas will impact us, such factors could have a significant impact on our future results of operations. In addition, some of our third-party inventory purchase agreements provide for scheduled price increases that are tied to various consumer price indices, which have resulted in higher than historical percentage price increases and could result in higher source plasma and other raw material and supplies costs throughout the second half of 2026 and beyond. Also, in a higher inflationary environment, we may not be able to raise the prices of our products to maintain the rate of inflation and this may affect our product margins.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Off-Balance Sheet Arrangements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None. </w:t>
      </w:r>
    </w:p>
    <w:p>
      <w:pPr>
        <w:pStyle w:val="TextBody"/>
        <w:bidi w:val="0"/>
        <w:spacing w:before="0" w:after="0"/>
        <w:ind w:left="1440" w:right="0" w:hanging="0"/>
        <w:jc w:val="left"/>
        <w:rPr/>
      </w:pPr>
      <w:r>
        <w:rPr/>
        <w:t xml:space="preserve">  </w:t>
      </w:r>
    </w:p>
    <w:p>
      <w:pPr>
        <w:pStyle w:val="TextBody"/>
        <w:bidi w:val="0"/>
        <w:spacing w:before="0" w:after="0"/>
        <w:ind w:left="0" w:right="0" w:hanging="1440"/>
        <w:jc w:val="left"/>
        <w:rPr>
          <w:rFonts w:ascii="Times New Roman" w:hAnsi="Times New Roman"/>
          <w:b/>
          <w:sz w:val="20"/>
        </w:rPr>
      </w:pPr>
      <w:r>
        <w:rPr>
          <w:rFonts w:ascii="Times New Roman" w:hAnsi="Times New Roman"/>
          <w:b/>
          <w:sz w:val="20"/>
        </w:rPr>
        <w:t xml:space="preserve">Quantitative and Qualitative Disclosures About Market Risk. </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914400" cy="175260"/>
                <wp:effectExtent l="0" t="0" r="0" b="0"/>
                <wp:wrapSquare wrapText="right"/>
                <wp:docPr id="65" name="Frame65"/>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bookmarkStart w:id="13" w:name="Item_3"/>
                            <w:bookmarkEnd w:id="13"/>
                            <w:r>
                              <w:rPr/>
                              <w:t xml:space="preserve">Item 3.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14" w:name="Item_3"/>
                      <w:bookmarkEnd w:id="14"/>
                      <w:r>
                        <w:rPr/>
                        <w:t xml:space="preserve">Item 3.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are exposed to market risk as the result of changes in interest rates. The JPM Credit Agreement requires monthly payments of interest based on the adjusted Term SOFR plus the applicable margin. We currently do not utilize any derivative financial instruments, such as interest rate swaps or caps, to mitigate this risk. As of June 30, 2026, we had $198.1 million outstanding under our JPM Credit Agreement that was subject to a variable interest rate. The effect of a hypothetical, instantaneous and unfavorable change of 100 basis points in the interest rate would have an approximate $2.0 million annualized negative impact on our earnings and cash flows.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1440"/>
        <w:jc w:val="left"/>
        <w:rPr>
          <w:rFonts w:ascii="Times New Roman" w:hAnsi="Times New Roman"/>
          <w:b/>
          <w:sz w:val="20"/>
        </w:rPr>
      </w:pPr>
      <w:r>
        <w:rPr>
          <w:rFonts w:ascii="Times New Roman" w:hAnsi="Times New Roman"/>
          <w:b/>
          <w:sz w:val="20"/>
        </w:rPr>
        <w:t xml:space="preserve">Controls and Procedures. </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914400" cy="175260"/>
                <wp:effectExtent l="0" t="0" r="0" b="0"/>
                <wp:wrapSquare wrapText="right"/>
                <wp:docPr id="66" name="Frame66"/>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bookmarkStart w:id="15" w:name="Item_4"/>
                            <w:bookmarkEnd w:id="15"/>
                            <w:r>
                              <w:rPr/>
                              <w:t xml:space="preserve">Item 4.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16" w:name="Item_4"/>
                      <w:bookmarkEnd w:id="16"/>
                      <w:r>
                        <w:rPr/>
                        <w:t xml:space="preserve">Item 4.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jc w:val="left"/>
        <w:rPr>
          <w:rFonts w:ascii="Times New Roman" w:hAnsi="Times New Roman"/>
          <w:b/>
          <w:sz w:val="20"/>
        </w:rPr>
      </w:pPr>
      <w:r>
        <w:rPr>
          <w:rFonts w:ascii="Times New Roman" w:hAnsi="Times New Roman"/>
          <w:b/>
          <w:sz w:val="20"/>
        </w:rPr>
        <w:t xml:space="preserve">Evaluation of Disclosure Controls and Procedures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Under the supervision of and with the participation of our management, including our principal executive officer and principal financial officer, we conducted an evaluation of our disclosure controls and procedures as of June 30, 2026. Based on this evaluation, our principal executive officer and principal financial officer concluded that our disclosure controls and procedures as of June 30, 2026 were effective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 </w:t>
      </w:r>
    </w:p>
    <w:p>
      <w:pPr>
        <w:pStyle w:val="TextBody"/>
        <w:bidi w:val="0"/>
        <w:spacing w:before="0" w:after="0"/>
        <w:jc w:val="left"/>
        <w:rPr/>
      </w:pPr>
      <w:r>
        <w:rPr/>
        <w:t xml:space="preserve">  </w:t>
      </w:r>
    </w:p>
    <w:p>
      <w:pPr>
        <w:pStyle w:val="TextBody"/>
        <w:bidi w:val="0"/>
        <w:spacing w:before="0" w:after="0"/>
        <w:jc w:val="left"/>
        <w:rPr>
          <w:rFonts w:ascii="Times New Roman" w:hAnsi="Times New Roman"/>
          <w:b/>
          <w:sz w:val="20"/>
        </w:rPr>
      </w:pPr>
      <w:r>
        <w:rPr>
          <w:rFonts w:ascii="Times New Roman" w:hAnsi="Times New Roman"/>
          <w:b/>
          <w:sz w:val="20"/>
        </w:rPr>
        <w:t xml:space="preserve">Changes in Internal Control Over Financial Reporting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There have been no changes in our internal control over financial reporting during the quarter ended June 30, 2026 that have materially affected, or are reasonably likely to materially affect, our internal control over financial reporting.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b/>
          <w:sz w:val="20"/>
        </w:rPr>
      </w:pPr>
      <w:bookmarkStart w:id="17" w:name="PART_II"/>
      <w:bookmarkEnd w:id="17"/>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OTHER INFORMATION </w:t>
      </w:r>
    </w:p>
    <w:p>
      <w:pPr>
        <w:pStyle w:val="TextBody"/>
        <w:bidi w:val="0"/>
        <w:spacing w:before="0" w:after="0"/>
        <w:jc w:val="center"/>
        <w:rPr/>
      </w:pPr>
      <w:r>
        <w:rPr/>
        <w:t xml:space="preserve">  </w:t>
      </w:r>
    </w:p>
    <w:p>
      <w:pPr>
        <w:pStyle w:val="TextBody"/>
        <w:bidi w:val="0"/>
        <w:spacing w:before="0" w:after="0"/>
        <w:ind w:left="0" w:right="0" w:hanging="1440"/>
        <w:jc w:val="left"/>
        <w:rPr>
          <w:rFonts w:ascii="Times New Roman" w:hAnsi="Times New Roman"/>
          <w:b/>
          <w:sz w:val="20"/>
        </w:rPr>
      </w:pPr>
      <w:bookmarkStart w:id="18" w:name="Legal_Proceedings"/>
      <w:bookmarkEnd w:id="18"/>
      <w:r>
        <w:rPr>
          <w:rFonts w:ascii="Times New Roman" w:hAnsi="Times New Roman"/>
          <w:b/>
          <w:sz w:val="20"/>
        </w:rPr>
        <w:t xml:space="preserve">Legal Proceedings. </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914400" cy="175260"/>
                <wp:effectExtent l="0" t="0" r="0" b="0"/>
                <wp:wrapSquare wrapText="right"/>
                <wp:docPr id="67" name="Frame6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Item 1.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Item 1.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2"/>
        </w:rPr>
      </w:pPr>
      <w:r>
        <w:rPr>
          <w:rFonts w:ascii="Times New Roman" w:hAnsi="Times New Roman"/>
          <w:sz w:val="20"/>
        </w:rPr>
        <w:t>On July 10, 2026, plaintiff Lisa Mazzarino filed a putative securities class action lawsuit against the Company, Adam Grossman, our director, President and Chief Executive Officer, Jerrold Grossman, our Vice Chairman</w:t>
      </w:r>
      <w:r>
        <w:rPr>
          <w:rFonts w:ascii="Times New Roman" w:hAnsi="Times New Roman"/>
          <w:sz w:val="22"/>
        </w:rPr>
        <w:t xml:space="preserve"> </w:t>
      </w:r>
      <w:r>
        <w:rPr>
          <w:rFonts w:ascii="Times New Roman" w:hAnsi="Times New Roman"/>
          <w:sz w:val="20"/>
        </w:rPr>
        <w:t>of the Board, and Brad Tade, our former Chief Financial Officer</w:t>
      </w:r>
      <w:r>
        <w:rPr>
          <w:rFonts w:ascii="Times New Roman" w:hAnsi="Times New Roman"/>
          <w:sz w:val="22"/>
        </w:rPr>
        <w:t xml:space="preserve"> </w:t>
      </w:r>
      <w:r>
        <w:rPr>
          <w:rFonts w:ascii="Times New Roman" w:hAnsi="Times New Roman"/>
          <w:sz w:val="20"/>
        </w:rPr>
        <w:t>and Treasurer, in the United States District Court for the District of New Jersey. The complaint alleges violations of Sections 10(b) and 20(a) of the Securities Exchange Act of 1934, as amended, and Rule 10b-5 promulgated thereunder. The action seeks monetary damages in an unspecified amount. The litigation remains at a preliminary stage. We believe that the claims asserted in the lawsuit are without merit and intend to vigorously defend against the action. At this time, we are unable to predict the outcome of the litigation or reasonably estimate the amount or range of any potential loss, if any, that may result from the matter.</w:t>
      </w:r>
    </w:p>
    <w:p>
      <w:pPr>
        <w:pStyle w:val="TextBody"/>
        <w:bidi w:val="0"/>
        <w:spacing w:before="0" w:after="0"/>
        <w:jc w:val="both"/>
        <w:rPr/>
      </w:pPr>
      <w:r>
        <w:rPr/>
        <w:t> </w:t>
      </w:r>
    </w:p>
    <w:p>
      <w:pPr>
        <w:pStyle w:val="TextBody"/>
        <w:bidi w:val="0"/>
        <w:spacing w:before="0" w:after="0"/>
        <w:jc w:val="left"/>
        <w:rPr>
          <w:rFonts w:ascii="Times New Roman" w:hAnsi="Times New Roman"/>
          <w:sz w:val="20"/>
        </w:rPr>
      </w:pPr>
      <w:bookmarkStart w:id="19" w:name="Risk_Factors"/>
      <w:bookmarkEnd w:id="19"/>
      <w:r>
        <w:rPr>
          <w:rFonts w:ascii="Times New Roman" w:hAnsi="Times New Roman"/>
          <w:b/>
          <w:sz w:val="20"/>
        </w:rPr>
        <w:t>Risk Factors</w:t>
      </w:r>
      <w:r>
        <w:rPr>
          <w:rFonts w:ascii="Times New Roman" w:hAnsi="Times New Roman"/>
          <w:sz w:val="20"/>
        </w:rPr>
        <w:t xml:space="preserve"> </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914400" cy="175260"/>
                <wp:effectExtent l="0" t="0" r="0" b="0"/>
                <wp:wrapSquare wrapText="right"/>
                <wp:docPr id="68" name="Frame68"/>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b/>
                              </w:rPr>
                              <w:t>Item 1A.</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1A.</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Summary of Risk Factors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i/>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the 2025 10-K and our other filings with the SEC, before making an investment decision regarding our common stock.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Although we achieved net income on a GAAP basis for the fiscal years ended December 31, 2025 and 2024, we may not be able to maintain profitability and continue to generate positive cash flows in the future. </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228600" cy="175260"/>
                <wp:effectExtent l="0" t="0" r="0" b="0"/>
                <wp:wrapSquare wrapText="right"/>
                <wp:docPr id="69" name="Frame6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We contract with third parties for the filling, packaging, testing and labeling of the drug substance we manufacture, and we also obtain source plasma from certain third parties. This reliance on third parties carries the risk that the services and raw materials upon which we rely may not be performed in a timely manner, in sufficient quantities or according to our specifications, which could delay the availability of our finished drug product and could adversely affect our commercialization efforts and our revenues. </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228600" cy="175260"/>
                <wp:effectExtent l="0" t="0" r="0" b="0"/>
                <wp:wrapSquare wrapText="right"/>
                <wp:docPr id="70" name="Frame7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estimates of market opportunity and forecasts of market and revenue growth included in our filings may prove to be inaccurate, and even if the markets in which we compete achieve the forecasted growth, our business could fail to grow at similar rates, if at all. </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228600" cy="175260"/>
                <wp:effectExtent l="0" t="0" r="0" b="0"/>
                <wp:wrapSquare wrapText="right"/>
                <wp:docPr id="71" name="Frame7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Both of our business segments and our facilities, as well as our suppliers and contractors, are subject to periodic inspections by the FDA and other regulatory authorities, which, depending on the outcome of such inspections, could result in certain regulatory actions, including the issuance of observations, notices, citations, warning letters or other enforcement actions. </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228600" cy="175260"/>
                <wp:effectExtent l="0" t="0" r="0" b="0"/>
                <wp:wrapSquare wrapText="right"/>
                <wp:docPr id="72" name="Frame7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Business interruptions could adversely affect our business. </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228600" cy="175260"/>
                <wp:effectExtent l="0" t="0" r="0" b="0"/>
                <wp:wrapSquare wrapText="right"/>
                <wp:docPr id="73" name="Frame7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We and certain of our directors and officers have been named as defendants in a securities class action lawsuit. This litigation, and any similar or related proceedings that may be filed in the future, could result in substantial costs, divert management’s attention and resources from our business, and may have a material adverse effect on our business, financial condition, results of operations and cash flows. </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228600" cy="175260"/>
                <wp:effectExtent l="0" t="0" r="0" b="0"/>
                <wp:wrapSquare wrapText="right"/>
                <wp:docPr id="74" name="Frame7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Issues in the development and use of AI may result in reputational harm and increased liability exposure. </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228600" cy="175260"/>
                <wp:effectExtent l="0" t="0" r="0" b="0"/>
                <wp:wrapSquare wrapText="right"/>
                <wp:docPr id="75" name="Frame7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 </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228600" cy="175260"/>
                <wp:effectExtent l="0" t="0" r="0" b="0"/>
                <wp:wrapSquare wrapText="right"/>
                <wp:docPr id="76" name="Frame7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With the approval of ASCENIV, there can be no assurance that we will be successful in further developing and expanding commercial operations, collecting and procuring an adequate supply of high-titer antibody RSV plasma or balancing our research and development activities with our commercialization activities. </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228600" cy="175260"/>
                <wp:effectExtent l="0" t="0" r="0" b="0"/>
                <wp:wrapSquare wrapText="right"/>
                <wp:docPr id="77" name="Frame7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We depend on third-party researchers, developers and vendors to develop, manufacture, supply materials for or test our products and product candidates, as well as for other pre-and post-approval services, and such parties’ performance is, to some extent, outside of our control. </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228600" cy="175260"/>
                <wp:effectExtent l="0" t="0" r="0" b="0"/>
                <wp:wrapSquare wrapText="right"/>
                <wp:docPr id="78" name="Frame7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We may be unable to successfully expand our manufacturing processes to fulfill demand for our products or increase our production capabilities through the addition of new equipment, including if we do not obtain requisite approval from the FDA. </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228600" cy="175260"/>
                <wp:effectExtent l="0" t="0" r="0" b="0"/>
                <wp:wrapSquare wrapText="right"/>
                <wp:docPr id="79" name="Frame7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 </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228600" cy="175260"/>
                <wp:effectExtent l="0" t="0" r="0" b="0"/>
                <wp:wrapSquare wrapText="right"/>
                <wp:docPr id="80" name="Frame8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Historically, a few customers have accounted for a significant amount of our total revenue and accounts receivable and the loss of any of these customers could have a material adverse effect on our business, results of operations and financial condition. </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228600" cy="175260"/>
                <wp:effectExtent l="0" t="0" r="0" b="0"/>
                <wp:wrapSquare wrapText="right"/>
                <wp:docPr id="81" name="Frame8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Issues with product quality and compliance could have a material adverse effect upon our business, subject us to regulatory actions and cause a loss of customer confidence in us or our products. </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228600" cy="175260"/>
                <wp:effectExtent l="0" t="0" r="0" b="0"/>
                <wp:wrapSquare wrapText="right"/>
                <wp:docPr id="82" name="Frame8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If physicians, payers and patients do not accept and use our current products or our future product candidates, our ability to generate revenue from these products will be materially impaired. </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228600" cy="175260"/>
                <wp:effectExtent l="0" t="0" r="0" b="0"/>
                <wp:wrapSquare wrapText="right"/>
                <wp:docPr id="83" name="Frame8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accruals for U.S. Medicaid rebates and other liabilities related to the sale of our immunoglobulin products are estimates based on historical experience and other assumptions. These estimates are subject to change based on actual results and other factors. Any such change could have a material effect on our business, financial position and operating results. </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228600" cy="175260"/>
                <wp:effectExtent l="0" t="0" r="0" b="0"/>
                <wp:wrapSquare wrapText="right"/>
                <wp:docPr id="84" name="Frame8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maintain profitability may be adversely impacted. </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228600" cy="175260"/>
                <wp:effectExtent l="0" t="0" r="0" b="0"/>
                <wp:wrapSquare wrapText="right"/>
                <wp:docPr id="85" name="Frame8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ADMA BioCenters operations collect information from donors in the United States that subjects us to consumer and health privacy laws, which could create enforcement and litigation exposure if we fail to meet their requirements. </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228600" cy="175260"/>
                <wp:effectExtent l="0" t="0" r="0" b="0"/>
                <wp:wrapSquare wrapText="right"/>
                <wp:docPr id="86" name="Frame8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senior secured credit facility with JPMorgan Chase Bank, N.A. and certain other lenders party thereto (collectively “JPMorgan”) is subject to acceleration in specified circumstances, which may result in JPMorgan taking possession and disposing of any collateral. </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228600" cy="175260"/>
                <wp:effectExtent l="0" t="0" r="0" b="0"/>
                <wp:wrapSquare wrapText="right"/>
                <wp:docPr id="87" name="Frame8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If we are unable to protect our patents, trade secrets or other proprietary rights, if our patents are challenged or if our provisional patent applications do not get approved, our competitiveness and business prospects may be materially damaged. </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228600" cy="175260"/>
                <wp:effectExtent l="0" t="0" r="0" b="0"/>
                <wp:wrapSquare wrapText="right"/>
                <wp:docPr id="88" name="Frame8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Cyberattacks and other security breaches could compromise our proprietary and confidential information or otherwise penetrate our network, which could harm our business and reputation. </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228600" cy="175260"/>
                <wp:effectExtent l="0" t="0" r="0" b="0"/>
                <wp:wrapSquare wrapText="right"/>
                <wp:docPr id="89" name="Frame8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ability to continue to produce safe and effective products depends on the safety of our plasma supply, testing by third parties and the timing of receiving the testing results, and the manufacturing processes we have in place to counter transmittable diseases. </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228600" cy="175260"/>
                <wp:effectExtent l="0" t="0" r="0" b="0"/>
                <wp:wrapSquare wrapText="right"/>
                <wp:docPr id="90" name="Frame9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We could become supply-constrained and our financial performance would suffer if we cannot obtain adequate quantities of FDA-approved source and high-titer plasma with proper specifications or other necessary raw materials. </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228600" cy="175260"/>
                <wp:effectExtent l="0" t="0" r="0" b="0"/>
                <wp:wrapSquare wrapText="right"/>
                <wp:docPr id="91" name="Frame9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ability to use our net operating loss carryforwards (“NOLs”) may be limited. </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228600" cy="175260"/>
                <wp:effectExtent l="0" t="0" r="0" b="0"/>
                <wp:wrapSquare wrapText="right"/>
                <wp:docPr id="92" name="Frame9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Fluctuations in our tax obligations and effective tax rate and realization of our net deferred tax assets may result in volatility of our operating results and materially impact our financial condition or financial results. </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228600" cy="175260"/>
                <wp:effectExtent l="0" t="0" r="0" b="0"/>
                <wp:wrapSquare wrapText="right"/>
                <wp:docPr id="93" name="Frame9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market price of our common stock may be volatile and may fluctuate in a way that is disproportionate to our operating performance. </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228600" cy="175260"/>
                <wp:effectExtent l="0" t="0" r="0" b="0"/>
                <wp:wrapSquare wrapText="right"/>
                <wp:docPr id="94" name="Frame9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both"/>
        <w:rPr>
          <w:rFonts w:ascii="Times New Roman" w:hAnsi="Times New Roman"/>
          <w:i/>
          <w:sz w:val="20"/>
        </w:rPr>
      </w:pPr>
      <w:r>
        <w:rPr>
          <w:rFonts w:ascii="Times New Roman" w:hAnsi="Times New Roman"/>
          <w:i/>
          <w:sz w:val="20"/>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results of operations or cash flows could be materially and adversely affected. You should carefully consider the following risk factors and the section entitled “Special Note Regarding Forward-Looking Statements” before you decide to invest in our securities.</w:t>
      </w:r>
    </w:p>
    <w:p>
      <w:pPr>
        <w:pStyle w:val="TextBody"/>
        <w:bidi w:val="0"/>
        <w:spacing w:before="0" w:after="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sz w:val="20"/>
        </w:rPr>
        <w:t>Risks Relating to our Business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Although we achieved net income on a GAAP basis for the years ended December 31, 2024 and 2025, we may not be able to maintain profitability and continue to generate positive cash flows in the future.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2"/>
        </w:rPr>
      </w:pPr>
      <w:bookmarkStart w:id="20" w:name="_Hlk54687406"/>
      <w:bookmarkEnd w:id="20"/>
      <w:r>
        <w:rPr>
          <w:rFonts w:ascii="Times New Roman" w:hAnsi="Times New Roman"/>
          <w:sz w:val="20"/>
        </w:rPr>
        <w:t>Although we achieved net income of $197.7 million and $146.9 million for the years ended December 31, 2024 and 2025, respectively, for the year ended December 31, 2023 we incurred a net loss of $28.2 million. From our inception in 2004 through December 31, 2025, we have incurred an accumulated deficit of $161.7 million. We may not be able to maintain profitability in the future, and if we are unable to continue to consistently achieve positive cash flows,</w:t>
      </w:r>
      <w:r>
        <w:rPr>
          <w:rFonts w:ascii="Times New Roman" w:hAnsi="Times New Roman"/>
          <w:sz w:val="22"/>
        </w:rPr>
        <w:t xml:space="preserve"> </w:t>
      </w:r>
      <w:r>
        <w:rPr>
          <w:rFonts w:ascii="Times New Roman" w:hAnsi="Times New Roman"/>
          <w:sz w:val="20"/>
        </w:rPr>
        <w:t>we may need to finance our operations through additional equity or debt financings or corporate collaboration and licensing agreements. If, in the future, our operating or financial results for a particular period do not meet our guidance, analyst estimates or the expectations of investors, or if we reduce our guidance for future periods, our stock price may decline. Any sustained or increased profitability or financial performance may contribute to increased scrutiny from the investment community and applicable federal, state and foreign regulatory authorities and government bodies. We also expect to continue to incur significant operating and capital expenditures and anticipate that as our business continues to grow our operating expenses will increase accordingly as</w:t>
      </w:r>
      <w:r>
        <w:rPr>
          <w:rFonts w:ascii="Times New Roman" w:hAnsi="Times New Roman"/>
          <w:sz w:val="22"/>
        </w:rPr>
        <w:t xml:space="preserve"> </w:t>
      </w:r>
      <w:r>
        <w:rPr>
          <w:rFonts w:ascii="Times New Roman" w:hAnsi="Times New Roman"/>
          <w:sz w:val="20"/>
        </w:rPr>
        <w:t>we:</w:t>
      </w:r>
    </w:p>
    <w:p>
      <w:pPr>
        <w:pStyle w:val="TextBody"/>
        <w:bidi w:val="0"/>
        <w:spacing w:before="0" w:after="0"/>
        <w:ind w:left="0" w:right="0" w:firstLine="720"/>
        <w:jc w:val="both"/>
        <w:rPr/>
      </w:pPr>
      <w:r>
        <w:rPr/>
        <w:t>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expand commercialization and marketing efforts; </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228600" cy="175260"/>
                <wp:effectExtent l="0" t="0" r="0" b="0"/>
                <wp:wrapSquare wrapText="right"/>
                <wp:docPr id="95" name="Frame9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expand our research and development programs; </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228600" cy="175260"/>
                <wp:effectExtent l="0" t="0" r="0" b="0"/>
                <wp:wrapSquare wrapText="right"/>
                <wp:docPr id="96" name="Frame9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implement additional internal systems, controls and infrastructure; </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228600" cy="175260"/>
                <wp:effectExtent l="0" t="0" r="0" b="0"/>
                <wp:wrapSquare wrapText="right"/>
                <wp:docPr id="97" name="Frame9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hire additional personnel; and </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228600" cy="175260"/>
                <wp:effectExtent l="0" t="0" r="0" b="0"/>
                <wp:wrapSquare wrapText="right"/>
                <wp:docPr id="98" name="Frame9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expand production capacity at the Boca Facility. </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228600" cy="175260"/>
                <wp:effectExtent l="0" t="0" r="0" b="0"/>
                <wp:wrapSquare wrapText="right"/>
                <wp:docPr id="99" name="Frame9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As a result, we will need to continue to generate significant revenues in order to maintain profitability. We may not be able to generate these revenues or maintain profitability in the future.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Our business may be adversely affected by a pandemic, epidemic, or outbreak of an unknown or emerging infections disease.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business could be adversely affected by health epidemics in regions where we have concentrations of business activities and such epidemics could cause significant disruption in the operations of third-party service providers upon whom we rely. The occurrence of a global pandemic or health epidemic could adversely affect our business, financial condition, liquidity or results of operations. These adverse effects include, but are not limited to, the potential adverse effects on the global economy, our manufacturing processes, including our supply chain, our submissions or applications to the FDA and our employees. The ultimate impact will depend on the severity and duration of the pandemic and actions taken by governmental authorities and other third parties in response, each of which is unforeseeable and difficult to predict.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We contract with third parties for a portion of the filling, packaging, testing and labeling of the drug substance we manufacture, and also obtain plasma from certain third parties. This reliance on third parties carries the risk that the services and raw materials upon which we rely may not be performed in a timely manner, in sufficient quantities or according to our specifications, which could delay the availability of our finished drug product and could adversely affect our commercialization efforts and our revenues.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Third parties may not perform as agreed or in accordance with FDA requirements. Any significant problem that our third-party providers experience could delay or interrupt our supply of finished drug product until the service provider cures the problem or until we locate, negotiate for, validate and receive FDA approval for an alternative provider (when necessary), if one is available, which may be time consuming and costly. Failure to obtain the needed services, raw materials and products meeting the necessary quality standards, in sufficient quantities or at all could have a material and adverse effect on our products, business, financial condition and results from operations.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lineRule="atLeast" w:line="240" w:before="0" w:after="0"/>
        <w:ind w:left="0" w:right="0" w:firstLine="720"/>
        <w:jc w:val="both"/>
        <w:rPr>
          <w:rFonts w:ascii="Times New Roman" w:hAnsi="Times New Roman"/>
          <w:sz w:val="20"/>
        </w:rPr>
      </w:pPr>
      <w:r>
        <w:rPr>
          <w:rFonts w:ascii="Times New Roman" w:hAnsi="Times New Roman"/>
          <w:sz w:val="20"/>
        </w:rPr>
        <w:t>Although we are utilizing our FDA-approved fill/finish suite that we built at the Boca Facility for a portion of our finished drug product and although we receive raw material plasma from our ADMA BioCenters plasma collection facilities, we also intend to continue to utilize third parties to supplement our fill/finish process for final drug product and to supply high-titer RSV plasma. Any failure by us, our contract fill/finishers, or other third parties involved in the process for producing our products or product candidates to comply with the applicable manufacturing and regulatory requirements, including quality requirements, could place us and them at risk of regulatory enforcement actions, recalls and other adverse consequences, could adversely impact our products or product candidates, and could adversely impact patients receiving our products or product candidates, which may negatively impact our business and our ability to produce and supply products to meet commercial and clinical needs.</w:t>
      </w:r>
    </w:p>
    <w:p>
      <w:pPr>
        <w:pStyle w:val="TextBody"/>
        <w:bidi w:val="0"/>
        <w:spacing w:before="0" w:after="0"/>
        <w:ind w:left="0" w:right="0" w:hanging="36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anticipated reliance on a limited number of third-party contractors exposes us to the following risks: </w:t>
      </w:r>
    </w:p>
    <w:p>
      <w:pPr>
        <w:pStyle w:val="TextBody"/>
        <w:bidi w:val="0"/>
        <w:spacing w:before="0" w:after="0"/>
        <w:jc w:val="both"/>
        <w:rPr/>
      </w:pPr>
      <w:r>
        <w:rPr/>
        <w:t>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we may be unable to identify contractors on acceptable terms or at all because the number of potential service providers is limited and the FDA must inspect and qualify any contract manufacturers for current cGMP compliance as part of our marketing application; </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228600" cy="175260"/>
                <wp:effectExtent l="0" t="0" r="0" b="0"/>
                <wp:wrapSquare wrapText="right"/>
                <wp:docPr id="100" name="Frame10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 new fill/finisher would have to be educated in, or develop substantially equivalent processes for, the production of our products and product candidates; </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228600" cy="175260"/>
                <wp:effectExtent l="0" t="0" r="0" b="0"/>
                <wp:wrapSquare wrapText="right"/>
                <wp:docPr id="101" name="Frame10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 pandemic, or the resurgence of a pandemic such as the COVID-19 pandemic, or a cyberattack or data breach, could adversely affect our contractors’ operations, supply chain or workforce; </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228600" cy="175260"/>
                <wp:effectExtent l="0" t="0" r="0" b="0"/>
                <wp:wrapSquare wrapText="right"/>
                <wp:docPr id="102" name="Frame10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contracted fill/finishers’ resources and level of expertise with plasma-derived biologics may be limited, therefore they may require a significant amount of support from us in order to implement and maintain the infrastructure and processes required to deliver our finished drug product; </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228600" cy="175260"/>
                <wp:effectExtent l="0" t="0" r="0" b="0"/>
                <wp:wrapSquare wrapText="right"/>
                <wp:docPr id="103" name="Frame10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third-party contractors might be unable to timely provide finished drug product or raw material plasma in sufficient quantity or in accordance with our specifications to meet our commercial or clinical needs; </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228600" cy="175260"/>
                <wp:effectExtent l="0" t="0" r="0" b="0"/>
                <wp:wrapSquare wrapText="right"/>
                <wp:docPr id="104" name="Frame10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contractors may not be able to execute our inspection procedures and required tests appropriately or timely, and we may be reliant on a single or limited number of contract laboratories; </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228600" cy="175260"/>
                <wp:effectExtent l="0" t="0" r="0" b="0"/>
                <wp:wrapSquare wrapText="right"/>
                <wp:docPr id="105" name="Frame10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contractors are subject to ongoing periodic unannounced inspection by the FDA and corresponding state agencies to ensure strict compliance with cGMP and other government regulations, and we do not have control over third-party providers’ compliance with these regulations; </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228600" cy="175260"/>
                <wp:effectExtent l="0" t="0" r="0" b="0"/>
                <wp:wrapSquare wrapText="right"/>
                <wp:docPr id="106" name="Frame10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contractors may fail to comply with applicable regulatory requirements, placing them and us at risk of regulatory enforcement actions, recalls and other adverse consequences, and which place our patients at risk, which may negatively impact our business and their ability to supply products to meet our development, clinical and commercial needs; </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228600" cy="175260"/>
                <wp:effectExtent l="0" t="0" r="0" b="0"/>
                <wp:wrapSquare wrapText="right"/>
                <wp:docPr id="107" name="Frame10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third parties could breach or terminate their agreements with us; and </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228600" cy="175260"/>
                <wp:effectExtent l="0" t="0" r="0" b="0"/>
                <wp:wrapSquare wrapText="right"/>
                <wp:docPr id="108" name="Frame10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our contract fill/finishers may have unacceptable or inconsistent drug product quality success rates and yields, and we have no direct control over our contract fill/finishers’ ability to maintain adequate quality control, quality assurance and qualified personnel.</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228600" cy="175260"/>
                <wp:effectExtent l="0" t="0" r="0" b="0"/>
                <wp:wrapSquare wrapText="right"/>
                <wp:docPr id="109" name="Frame10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Each of these risks could delay or prevent production, the completion of our finished drug product and the release of finished drug product by us or the FDA, which could result in higher costs or adversely impact our revenues. These risks could also result in the delay in obtaining clinical supplies, which would delay our development programs, or could result in the need to repeat clinical or preclinical studies. Any failure of any third parties to meet the applicable regulatory requirements could also result in the need for time-consuming and costly corrective actions. In addition, our contract fill/finishers and our other third-party vendors may source their materials and supplies globally and are therefore subject to potential tariffs, which could be passed along to us in whole or in part and adversely impact our results of operations, and supply disruptions in the event of fire, weather related events such as hurricanes, earthquakes, wind and rain, international conflicts, strikes, embargoes, trade and sanction requirements and limits, other acts of God or force majeure events or global health occurrences and emergencies which could materially impact our ability to manufacture our products and product candidates and therefore adversely impact our business and results of operations.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The estimates of market opportunity and forecasts of market and revenue growth included in our filings may prove to be inaccurate, and even if the markets in which we compete achieve the forecasted growth, our business could fail to grow at similar rates, if at all.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lineRule="atLeast" w:line="240" w:before="0" w:after="0"/>
        <w:ind w:left="0" w:right="0" w:firstLine="720"/>
        <w:jc w:val="both"/>
        <w:rPr>
          <w:rFonts w:ascii="Times New Roman" w:hAnsi="Times New Roman"/>
          <w:sz w:val="20"/>
        </w:rPr>
      </w:pPr>
      <w:r>
        <w:rPr>
          <w:rFonts w:ascii="Times New Roman" w:hAnsi="Times New Roman"/>
          <w:sz w:val="20"/>
        </w:rPr>
        <w:t xml:space="preserve">Our market opportunity estimates and growth forecasts are subject to significant uncertainty and are based on assumptions and estimates that may not prove to be accurate. In particular, the size and growth of the overall U.S. IVIG and source plasma markets and the potential market opportunity for our products and product candidates, including an </w:t>
      </w:r>
      <w:r>
        <w:rPr>
          <w:rFonts w:ascii="Times New Roman" w:hAnsi="Times New Roman"/>
          <w:i/>
          <w:sz w:val="20"/>
        </w:rPr>
        <w:t>S. pneumoniae</w:t>
      </w:r>
      <w:r>
        <w:rPr>
          <w:rFonts w:ascii="Times New Roman" w:hAnsi="Times New Roman"/>
          <w:sz w:val="20"/>
        </w:rPr>
        <w:t xml:space="preserve"> hyperimmune globulin, are subject to significant variables that can be difficult to measure, estimate or quantify.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business depends on, among other things, successful manufacturing and commercialization of our existing products, strong payer access to our products, successful medical education initiatives, market acceptance of such products and ensuring that our products are safe and effective. Further, there can be no assurance that we will be able to generate the revenue that we believe our products and plasma collection facilities are capable of generating, including but not limited to our current expectations with respect to our yield enhancement production process, which received FDA approval in April 2025. We generate our opportunity estimates and growth forecasts from independent and paid market research, as well as industry and general publications obtained from third parties. Additionally, we purchase data from our authorized distributors and end-user customers in the ordinary course and rely on this data as inputs informing our opportunity estimates and growth forecasts.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Geopolitical and economic conditions, war, terrorism or other military actions may have a material adverse effect on our business.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lineRule="atLeast" w:line="240" w:before="0" w:after="0"/>
        <w:ind w:left="0" w:right="0" w:firstLine="720"/>
        <w:jc w:val="both"/>
        <w:rPr>
          <w:rFonts w:ascii="Times New Roman" w:hAnsi="Times New Roman"/>
          <w:sz w:val="20"/>
        </w:rPr>
      </w:pPr>
      <w:r>
        <w:rPr>
          <w:rFonts w:ascii="Times New Roman" w:hAnsi="Times New Roman"/>
          <w:sz w:val="20"/>
        </w:rPr>
        <w:t>Geopolitical conflicts, war or other military action or international acts of terrorism may cause significant disruption to commerce throughout the world. To the extent that such disruptions result in disruptions to our supply chain, delays or cancellations of customer orders, a general decrease in consumer spending, our inability to effectively market and distribute our products and/or our inability to access the capital markets, our business and results of operations could be materially and adversely affected. For example, in response to the ongoing conflicts between Russia and Ukraine, and between the United States and Iran, the United States has imposed and may further impose, and other countries may additionally impose, broad sanctions or other restrictive actions against governmental and other entities in Russia. Additionally, further escalation of geopolitical tensions, such as ongoing conflicts in certain countries in South America, Northern Africa and in the Middle East and the surrounding areas could have a broader impact that extends into other markets where we do business. We are unable to predict whether geopolitical or economic conditions, acts of international terrorism or the involvement in a war or other military actions will result in any long-term commercial disruptions or if such involvement or responses will have any long-term material adverse effect on our business, results of operations, or financial condition.</w:t>
      </w:r>
    </w:p>
    <w:p>
      <w:pPr>
        <w:pStyle w:val="TextBody"/>
        <w:bidi w:val="0"/>
        <w:spacing w:before="0" w:after="0"/>
        <w:ind w:left="0" w:right="0" w:firstLine="720"/>
        <w:jc w:val="both"/>
        <w:rPr/>
      </w:pPr>
      <w:r>
        <w:rPr/>
        <w:t> </w:t>
      </w:r>
    </w:p>
    <w:p>
      <w:pPr>
        <w:pStyle w:val="TextBody"/>
        <w:bidi w:val="0"/>
        <w:spacing w:before="0" w:after="0"/>
        <w:jc w:val="both"/>
        <w:rPr>
          <w:rFonts w:ascii="Times New Roman" w:hAnsi="Times New Roman"/>
          <w:sz w:val="20"/>
        </w:rPr>
      </w:pPr>
      <w:r>
        <w:rPr>
          <w:rFonts w:ascii="Times New Roman" w:hAnsi="Times New Roman"/>
          <w:b/>
          <w:i/>
          <w:sz w:val="20"/>
        </w:rPr>
        <w:t>Both of our business segments and our facilities, as well as our suppliers and contractors, are subject to periodic inspections by the FDA and other regulatory authorities, which, depending on the outcome of such inspections, could result in certain regulatory actions, including the issuance of observations, notices, citations, warning letters or other enforcement actions.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and our suppliers and contractors may be unable to comply with our specifications, cGMP requirements and with other FDA, state, and foreign regulatory requirements for commercial and clinical supply. They and us may need to maintain certain licenses that we or they may not be able to maintain. The FDA and other regulatory authorities are authorized to perform inspections (remotely and in person) of our and our suppliers’ facilities, including the Boca Facility. The FDA and other regulatory authorities also may inspect and approve our and our third-parties’ facilities before they may be used for commercial production. If we or our suppliers are not able to comply with the applicable regulatory requirements, we or they may be subject to regulatory enforcement actions, which can materially impact our business. For instance, at the end of such an inspection, the FDA could issue a Form 483 Notice of Inspectional Observations, which could cause the FDA to not approve the use of the facility and cause us to modify certain activities identified during the inspection.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 Depending on the seriousness of any findings, we or our suppliers may be subject to additional significant enforcement or other actions and events, may need to undertake product recalls, may have a disruption in the supply of commercial or clinical product, or may need to modify or repeat studies, which could have a material impact on our business.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the event of any enforcement actions, we and our third-party contractors would need to implement remedial actions which may be time-intensive or costly. We may not be able to timely resolve concerns raised by the applicable regulator as a result of an inspection or without expending significant resources. We are unable to control the timing of inspections, communications and actions, and will be required to respond to the regulator and make certain submissions within certain timeframes. We also do not know whether or not the regulator will change its requirements, guidance or expectations. If the regulator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We cannot eliminate the risk of contamination or injury from these materials, which could cause an interruption to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and service providers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Business interruptions could adversely affect our business</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Our operations, including the Boca Facility, our new real estate in Boca Raton, Florida and our plasma collection facilities, are vulnerable to natural disasters (including as a result of climate change), such as interruption by fires, weather related events such as hurricanes, earthquakes, wind and rain, other acts of God or force majeure events, electric power loss, telecommunications failure, equipment failure and breakdown including the disruption or misalignment of specialized laboratory machinery, cyberattacks on our operations and information technology systems as well as the systems of our customers, suppliers and related entities, human error, employee issues, global health occurrences such as a pandemic, global and economic uncertainty, war, terrorism, geopolitical conditions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facilities.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financial condition and results of operations.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If we are unsuccessful in obtaining regulatory approval for any of our product candidates or if any of our product candidates do not provide positive results, we may be required to delay or abandon development of such product candidate, which would have a material adverse impact on our business.</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 applications or BLAs, or to repeat clinical trials. The commencement and completion of clinical trials or ultimate product approval for any current or future development product candidate may be delayed by several factors, including: </w:t>
      </w:r>
    </w:p>
    <w:p>
      <w:pPr>
        <w:pStyle w:val="TextBody"/>
        <w:bidi w:val="0"/>
        <w:spacing w:before="0" w:after="0"/>
        <w:jc w:val="both"/>
        <w:rPr/>
      </w:pPr>
      <w:r>
        <w:rPr/>
        <w:t>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unforeseen safety issues; </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228600" cy="175260"/>
                <wp:effectExtent l="0" t="0" r="0" b="0"/>
                <wp:wrapSquare wrapText="right"/>
                <wp:docPr id="110" name="Frame11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determination of dosing issues; </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228600" cy="175260"/>
                <wp:effectExtent l="0" t="0" r="0" b="0"/>
                <wp:wrapSquare wrapText="right"/>
                <wp:docPr id="111" name="Frame11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lack of safety or effectiveness, or other adverse study results during clinical trials; </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228600" cy="175260"/>
                <wp:effectExtent l="0" t="0" r="0" b="0"/>
                <wp:wrapSquare wrapText="right"/>
                <wp:docPr id="112" name="Frame11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slower than expected rates of patient recruitment or noncompliance with clinical trial requirements; </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228600" cy="175260"/>
                <wp:effectExtent l="0" t="0" r="0" b="0"/>
                <wp:wrapSquare wrapText="right"/>
                <wp:docPr id="113" name="Frame11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inability to monitor patients adequately during or after treatment; and </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228600" cy="175260"/>
                <wp:effectExtent l="0" t="0" r="0" b="0"/>
                <wp:wrapSquare wrapText="right"/>
                <wp:docPr id="114" name="Frame11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inability or unwillingness of medical investigators to follow our clinical protocols.</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228600" cy="175260"/>
                <wp:effectExtent l="0" t="0" r="0" b="0"/>
                <wp:wrapSquare wrapText="right"/>
                <wp:docPr id="115" name="Frame1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2"/>
        </w:rPr>
      </w:pPr>
      <w:r>
        <w:rPr>
          <w:rFonts w:ascii="Times New Roman" w:hAnsi="Times New Roman"/>
          <w:sz w:val="20"/>
        </w:rPr>
        <w:t>We cannot be certain as to what type and how many clinical trials the FDA, or equivalent foreign regulatory agencies,</w:t>
      </w:r>
      <w:r>
        <w:rPr>
          <w:rFonts w:ascii="Times New Roman" w:hAnsi="Times New Roman"/>
          <w:sz w:val="22"/>
        </w:rPr>
        <w:t xml:space="preserve"> </w:t>
      </w:r>
      <w:r>
        <w:rPr>
          <w:rFonts w:ascii="Times New Roman" w:hAnsi="Times New Roman"/>
          <w:sz w:val="20"/>
        </w:rPr>
        <w:t>will require us to conduct before we may successfully gain approval to market any of our product candidates</w:t>
      </w:r>
      <w:r>
        <w:rPr>
          <w:rFonts w:ascii="Times New Roman" w:hAnsi="Times New Roman"/>
          <w:sz w:val="22"/>
        </w:rPr>
        <w:t xml:space="preserve"> </w:t>
      </w:r>
      <w:r>
        <w:rPr>
          <w:rFonts w:ascii="Times New Roman" w:hAnsi="Times New Roman"/>
          <w:sz w:val="20"/>
        </w:rPr>
        <w:t>that still require regulatory approval.</w:t>
      </w:r>
      <w:r>
        <w:rPr>
          <w:rFonts w:ascii="Times New Roman" w:hAnsi="Times New Roman"/>
          <w:sz w:val="22"/>
        </w:rPr>
        <w:t xml:space="preserve"> </w:t>
      </w:r>
      <w:r>
        <w:rPr>
          <w:rFonts w:ascii="Times New Roman" w:hAnsi="Times New Roman"/>
          <w:sz w:val="20"/>
        </w:rPr>
        <w:t>Prior to approving a new drug or biologic, the FDA generally requires that the effectiveness of the product candidate (which is not typically fully investigated until Phase III) be demonstrated in two adequate and well-controlled clinical trials. However, if the FDA or an equivalent foreign regulatory authority determines that our Phase III clinical trial results do not demonstrate a statistically significant, clinically meaningful benefit with an acceptable safety profile, or if a relevant regulator requires us to conduct additional Phase III clinical trials in order to gain approval, we will incur significant additional development costs and commercialization of these product candidates would be prevented or delayed and our business could be adversely affected. Regulators may also disagree with our interpretation of data from our studies, with our study design, or with the statistical analyses that we use. They may also find issues within our study data, including confounding factors, which make data difficult to interpret.</w:t>
      </w:r>
    </w:p>
    <w:p>
      <w:pPr>
        <w:pStyle w:val="TextBody"/>
        <w:bidi w:val="0"/>
        <w:spacing w:before="0" w:after="0"/>
        <w:ind w:left="0" w:right="0" w:firstLine="72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addition, the FDA or an institutional review board (“IRB”) may not permit us to commence a clinical trial, may require amendments to our clinical trial protocols, or may suspend our clinical trials at any time if it appears that we are exposing participants to unacceptable health risks or if the FDA or an IRB finds deficiencies in our IND submissions or the conduct of these trials. Regulatory authorities may also not accept data from clinical trials if the trials are not conducted in accordance with the applicable regulatory requirements. Failure to comply with the applicable regulatory requirements may also result in enforcement actions.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 candidates and the capital necessary to fund our operations will increase.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We and certain of our directors and officers have been named as defendants in a securities class action lawsuit. This litigation, and any similar or related proceedings that may be filed in the future, could result in substantial costs, divert management’s attention and resources from our business, and may have a material adverse effect on our business, financial condition, results of operations and cash flows.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July 10, 2026, a putative securities class action lawsuit, Mazzarino v. ADMA Biologics, Inc. et al., Case No. 2:26-cv-06918 (D.N.J.), was filed against us and certain of our directors and officers. The complaint alleges violations of Sections 10(b) and 20(a) of the Securities Exchange Act of 1934, as amended, and Rule 10b-5 promulgated thereunder and seeks monetary damages in an unspecified amount. The litigation remains at a preliminary stage. We believe that the claims asserted in the lawsuit are without merit and we intend to vigorously defend against the action.</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may also become subject to additional securities class action lawsuits, stockholder derivative actions, regulatory inquiries, investigations or other proceedings arising out of the same or similar allegations.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ultimate outcome of the litigation is inherently uncertain, and there can be no assurance that we will prevail. Regardless of the merits or ultimate outcome of the proceeding, defending against litigation can be costly and time-consuming and may divert the attention and resources of management and other personnel from the operation of our business. Any such litigation or proceedings may result in substantial defense costs, damages, settlement amounts, fines, penalties, reputational harm, increased regulatory scrutiny or other adverse consequences.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At this time, we cannot reasonably estimate the ultimate outcome of the litigation or the amount of any potential loss associated with the matter. If we are required to incur significant defense costs, enter into a settlement, pay damages or otherwise incur liabilities relating to the litigation, or if our insurance coverage is unavailable or insufficient to cover such costs, our business, financial condition, results of operations and cash flows could be materially adversely affected.</w:t>
      </w:r>
    </w:p>
    <w:p>
      <w:pPr>
        <w:pStyle w:val="TextBody"/>
        <w:bidi w:val="0"/>
        <w:spacing w:before="0" w:after="0"/>
        <w:ind w:left="0" w:right="0" w:firstLine="720"/>
        <w:jc w:val="both"/>
        <w:rPr/>
      </w:pPr>
      <w:r>
        <w:rPr/>
        <w:t> </w:t>
      </w:r>
    </w:p>
    <w:p>
      <w:pPr>
        <w:pStyle w:val="TextBody"/>
        <w:bidi w:val="0"/>
        <w:spacing w:before="0" w:after="0"/>
        <w:jc w:val="both"/>
        <w:rPr>
          <w:rFonts w:ascii="Times New Roman" w:hAnsi="Times New Roman"/>
          <w:sz w:val="20"/>
        </w:rPr>
      </w:pPr>
      <w:r>
        <w:rPr>
          <w:rFonts w:ascii="Times New Roman" w:hAnsi="Times New Roman"/>
          <w:b/>
          <w:i/>
          <w:sz w:val="20"/>
        </w:rPr>
        <w:t>If the results of our clinical trials do not support our product candidate claims, completing the development of such product candidate may be significantly delayed or we may be forced to abandon development of such product candidate altogether.</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clinical trial process may fail to demonstrate that our product candidates are safe for humans and effective for indicated uses. This failure would cause us to abandon a product candidate and may delay the development of other product candidates. Any delay in, or termination of, our clinical trials will delay our ability to commercialize our product candidates and generate product revenues.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Other issues that may impact our clinical trials and that could delay or prevent our ability to receive marketing approval or commercialize our product candidates, include: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Delays in reaching, or failure to reach, agreement on acceptable clinical trial contracts or clinical trial protocols with prospective trial sites and our contract research organizations (“CROs”); </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228600" cy="175260"/>
                <wp:effectExtent l="0" t="0" r="0" b="0"/>
                <wp:wrapSquare wrapText="right"/>
                <wp:docPr id="116" name="Frame11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Regulators requiring us to perform additional or unanticipated clinical trials to obtain approval or becoming subject to additional post-marketing testing, surveillance, or Risk Evaluation and Mitigation Strategies requirements to maintain regulatory approval; </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228600" cy="175260"/>
                <wp:effectExtent l="0" t="0" r="0" b="0"/>
                <wp:wrapSquare wrapText="right"/>
                <wp:docPr id="117" name="Frame1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Failure by our third-party contractors to comply with regulatory requirements or the clinical trial protocol, or meet their contractual obligations to us in a timely manner, or at all, or our being required to engage in additional clinical trial site monitoring; </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228600" cy="175260"/>
                <wp:effectExtent l="0" t="0" r="0" b="0"/>
                <wp:wrapSquare wrapText="right"/>
                <wp:docPr id="118" name="Frame11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cost of clinical trials of our product candidates and user fees being greater than we anticipate; </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228600" cy="175260"/>
                <wp:effectExtent l="0" t="0" r="0" b="0"/>
                <wp:wrapSquare wrapText="right"/>
                <wp:docPr id="119" name="Frame11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Insufficient supply or inadequate quality of our product candidates or other materials necessary to conduct clinical trials; </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228600" cy="175260"/>
                <wp:effectExtent l="0" t="0" r="0" b="0"/>
                <wp:wrapSquare wrapText="right"/>
                <wp:docPr id="120" name="Frame12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Inability to achieve sufficient study enrollment, subjects dropping out or withdrawing from our studies, delays in adding new investigators or clinical trial sites or a withdrawal of clinical trial sites; </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228600" cy="175260"/>
                <wp:effectExtent l="0" t="0" r="0" b="0"/>
                <wp:wrapSquare wrapText="right"/>
                <wp:docPr id="121" name="Frame1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Flaws in our clinical trial design that are not discoverable until the clinical trial has progressed; </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228600" cy="175260"/>
                <wp:effectExtent l="0" t="0" r="0" b="0"/>
                <wp:wrapSquare wrapText="right"/>
                <wp:docPr id="122" name="Frame12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Disagreement by the FDA or comparable foreign regulatory authorities with our intended indications or study design, including endpoints, or our interpretation of data from preclinical studies and clinical trials, finding that a product candidate’s benefits do not outweigh its safety risks or requiring that we conduct additional development or study work; </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228600" cy="175260"/>
                <wp:effectExtent l="0" t="0" r="0" b="0"/>
                <wp:wrapSquare wrapText="right"/>
                <wp:docPr id="123" name="Frame12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Regulatory authorities may not accept data from foreign clinical studies or sites or may find that such data is not sufficiently representative of the population of the approving jurisdiction; </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228600" cy="175260"/>
                <wp:effectExtent l="0" t="0" r="0" b="0"/>
                <wp:wrapSquare wrapText="right"/>
                <wp:docPr id="124" name="Frame12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need to make changes to our product candidates that require additional testing or that cause our product candidates to perform differently than expected; </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228600" cy="175260"/>
                <wp:effectExtent l="0" t="0" r="0" b="0"/>
                <wp:wrapSquare wrapText="right"/>
                <wp:docPr id="125" name="Frame12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Global trade policies that may impact our ability to obtain raw materials and/or finished product for commercialization; </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228600" cy="175260"/>
                <wp:effectExtent l="0" t="0" r="0" b="0"/>
                <wp:wrapSquare wrapText="right"/>
                <wp:docPr id="126" name="Frame12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FDA or comparable foreign regulatory authorities taking longer than we anticipate to make decisions on our product candidates; and </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228600" cy="175260"/>
                <wp:effectExtent l="0" t="0" r="0" b="0"/>
                <wp:wrapSquare wrapText="right"/>
                <wp:docPr id="127" name="Frame12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Potential inability to demonstrate our product candidates provide an advantage over current standards of care or current or future competitive therapies in development. </w: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228600" cy="175260"/>
                <wp:effectExtent l="0" t="0" r="0" b="0"/>
                <wp:wrapSquare wrapText="right"/>
                <wp:docPr id="128" name="Frame12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United States, and therefore, may not be performed in accordance with standards normally required by the FDA and other regulatory agencies.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If we are not able to generate revenue from our products and product candidates, our sources of revenue may continue to be from a product mix consisting only of plasma collection and sales revenues, revenues generated from sales of our FDA-approved commercial products, sales of intermediates and revenues generated from new contract manufacturing arrangements with third parties. We cannot assure you that we will receive the approvals necessary to commercialize any product candidate we may acquire or develop in the future or that we will be able to maintain such approvals.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Chemistry, Manufacturing, and Controls (“CMC”) or other data and information, and the development and provision of this data and information may be time-consuming and expensive. The approval process may also be delayed by changes in government regulation, future legislation or administrative action or changes in FDA policy that occur prior to or during our regulatory review. Delays in obtaining regulatory approvals may:</w:t>
      </w:r>
    </w:p>
    <w:p>
      <w:pPr>
        <w:pStyle w:val="TextBody"/>
        <w:bidi w:val="0"/>
        <w:spacing w:before="0" w:after="0"/>
        <w:ind w:left="0" w:right="0" w:firstLine="720"/>
        <w:jc w:val="both"/>
        <w:rPr/>
      </w:pPr>
      <w:r>
        <w:rPr/>
        <w:t>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delay commercialization of, and our ability to derive revenues from, our product candidates; </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228600" cy="175260"/>
                <wp:effectExtent l="0" t="0" r="0" b="0"/>
                <wp:wrapSquare wrapText="right"/>
                <wp:docPr id="129" name="Frame12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impose costly procedures on us; and </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228600" cy="175260"/>
                <wp:effectExtent l="0" t="0" r="0" b="0"/>
                <wp:wrapSquare wrapText="right"/>
                <wp:docPr id="130" name="Frame13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diminish any competitive advantages that we may otherwise enjoy. </w: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228600" cy="175260"/>
                <wp:effectExtent l="0" t="0" r="0" b="0"/>
                <wp:wrapSquare wrapText="right"/>
                <wp:docPr id="131" name="Frame13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for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in such jurisdictions.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United States.</w:t>
      </w:r>
    </w:p>
    <w:p>
      <w:pPr>
        <w:pStyle w:val="TextBody"/>
        <w:bidi w:val="0"/>
        <w:spacing w:before="0" w:after="0"/>
        <w:ind w:left="0" w:right="0" w:firstLine="72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i/>
          <w:sz w:val="20"/>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FDA and other governmental authorities strictly regulate and monitor marketing, labeling and the advertising and promotion of prescription drugs. These regulations include standards and restrictions for direct-to-consumer advertising, industry-sponsored scientific and educational activities, promotional activities involving the Internet and off-label promotion. The FDA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While physicians in the United States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require payment of civil fines or could result in disgorgement of money, operating restrictions, injunctions or criminal prosecution, among other consequences, any of which could harm our reputation and our business.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With the approval of ASCENIV, there can be no assurance that we will be successful in further developing and expanding commercial operations, collecting and procuring an adequate supply of high-titer antibody RSV plasma or balancing our research and development activities with our commercialization activities.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related to clinical trials and receipt of approvals from the FDA and foreign regulatory bodies, with commercialization efforts, which can include problems related to managing manufacturing and supply, including supply chain constraints,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high-titer antibodies to RSV. This high-titer plasma which meets our internal specifications for the manufacture of ASCENIV that we are able to identify with our patented testing assay amounts to less than 10% of the total donor collection samples we test. As a result, we may experience an insufficient supply of this plasma.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i/>
          <w:sz w:val="20"/>
        </w:rPr>
        <w:t>We depend on third-party researchers, developers and vendors to develop, manufacture, supply materials for or test our products and product candidates, as well as for other pre and post-approval services, and such parties’ performance is, to some extent, outside of our control.</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depend on independent investigators and collaborators, such as universities and medical institutions, contract laboratories, CROs, contract manufacturers, contract fill/finishers, third-party plasma centers and consultants to conduct our preclinical activities, clinical trials, CMC testing and other activities under agreements with us. These collaborators are not our employees and we cannot control the amount or timing of resources that they devote to our programs. These third parties may not assign as great a priority to our programs or pursue them as diligently as we would if we were undertaking such programs ourselves. If outside collaborators fail to devote sufficient time and resources to our products and/or development programs, or if their performance is substandard or does not comply with the applicable regulatory standards, our trials may be repeated, extended, delayed, or terminated, the approval of our FDA application(s), if any, and our introduction of new products, if any, will be delayed, and we may not be able to maintain existing approvals or meet our regulatory requirements or we may not be able to produce forecasted amounts of product. We or they may also be subject to regulatory enforcement actions, may need to take corrective actions, including initiating recalls, and we may not be able to meet commercial demand. These collaborators may also have relationships with other commercial entities, some of whom may compete with us. If our collaborators assist our competitors at our expense, our competitive position would be harmed. We also depend on third-party suppliers for materials used in our operations. Certain of our third-party suppliers may be single-sourced, or may not be able to supply sufficient materials for our operations at a reasonable price or on a timely basis, and it may be time-consuming, expensive or otherwise not feasible to locate an alternative supplier. In the event a single-source supplier is unable to provide us with a sufficient amount of materials on a timely basis, such shortage and/or delay could have a material adverse effect on our business, results of operations and financial condition. Additionally, any change in the regulatory compliance status of any of our vendors may impede our ability to receive and maintain approval for our product candidates. </w:t>
      </w:r>
    </w:p>
    <w:p>
      <w:pPr>
        <w:pStyle w:val="TextBody"/>
        <w:bidi w:val="0"/>
        <w:spacing w:before="0" w:after="0"/>
        <w:jc w:val="both"/>
        <w:rPr/>
      </w:pPr>
      <w:r>
        <w:rPr/>
        <w:t xml:space="preserve">  </w:t>
      </w:r>
    </w:p>
    <w:p>
      <w:pPr>
        <w:pStyle w:val="TextBody"/>
        <w:bidi w:val="0"/>
        <w:spacing w:before="0" w:after="0"/>
        <w:jc w:val="both"/>
        <w:rPr>
          <w:rFonts w:ascii="Times New Roman" w:hAnsi="Times New Roman"/>
          <w:b/>
          <w:i/>
          <w:sz w:val="20"/>
        </w:rPr>
      </w:pPr>
      <w:r>
        <w:rPr>
          <w:rFonts w:ascii="Times New Roman" w:hAnsi="Times New Roman"/>
          <w:b/>
          <w:i/>
          <w:sz w:val="20"/>
        </w:rPr>
        <w:t>We may be unable to successfully expand our manufacturing processes to fulfill demand for our products or </w:t>
      </w:r>
      <w:r>
        <w:rPr>
          <w:rFonts w:ascii="Times New Roman" w:hAnsi="Times New Roman"/>
          <w:b/>
          <w:i/>
          <w:spacing w:val="0"/>
          <w:sz w:val="20"/>
        </w:rPr>
        <w:t>increase our production capabilities through the addition of new equipment, including if we do not obtain requisite approval from the FDA.</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may expand our manufacturing capacity and product output capability of the Boca Facility. Following any expansion of any of our manufacturing processes or the addition of new equipment, we will be required to validate the expanded facility, process changes if any and equipment, make the necessary submissions to FDA, obtain any FDA-required approvals and have it inspected by the FDA. Any other changes to the manufacturing process will also potentially require validation, FDA submissions, and approvals and inspections. Changes may also require that further studies are conducted before the change is approved by regulatory authorities or product marketing approval is obtained. Given the significant delays that may result during the validation and approval process, we may not receive the necessary manufacturing or product approvals, experience a supply shortage of our products or our production capabilities may be limited until completion of and validation of our facility expansion and new manufacturing equipment and until the necessary approvals are obtained.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and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related to manufacturing, quality control, quality assurance and corresponding maintenance of records and documents, requirements regarding safeguarding the drug supply chain as well as the distribution of samples to physicians and recordkeeping. For example, the FDA’s approval of our application supplement to allow for the commercial relaunch of BIVIGAM, as well as the FDA’s approval of our BLA for ASCENIV, required us to conduct specified post-marketing studies, including pediatric and safety studies. If, during the post-marketing period (after marketing approval) previously unknown adverse events emerge, there is the discovery that the product is less effective than previously thought, or other potential concerns regarding our products or their manufacturing processes emerge, or, if before or after approval, we are observed in any way to fail to comply with the numerous regulatory requirements to which we are subject, those circumstances may yield various results, including: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restrictions on such products or manufacturing processes; </w: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228600" cy="175260"/>
                <wp:effectExtent l="0" t="0" r="0" b="0"/>
                <wp:wrapSquare wrapText="right"/>
                <wp:docPr id="132" name="Frame13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restrictions on the labeling or marketing of a product; </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228600" cy="175260"/>
                <wp:effectExtent l="0" t="0" r="0" b="0"/>
                <wp:wrapSquare wrapText="right"/>
                <wp:docPr id="133" name="Frame13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restrictions on product distribution or use; </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228600" cy="175260"/>
                <wp:effectExtent l="0" t="0" r="0" b="0"/>
                <wp:wrapSquare wrapText="right"/>
                <wp:docPr id="134" name="Frame13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left"/>
        <w:rPr/>
      </w:pPr>
      <w:r>
        <w:rPr/>
        <w:t> </w:t>
      </w:r>
    </w:p>
    <w:p>
      <w:pPr>
        <w:pStyle w:val="TextBody"/>
        <w:bidi w:val="0"/>
        <w:spacing w:before="0" w:after="0"/>
        <w:ind w:left="720" w:right="0" w:hanging="0"/>
        <w:jc w:val="left"/>
        <w:rPr/>
      </w:pPr>
      <w:r>
        <w:rPr/>
        <w:t xml:space="preserve">  </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457200" cy="1577340"/>
                <wp:effectExtent l="0" t="0" r="0" b="0"/>
                <wp:wrapSquare wrapText="right"/>
                <wp:docPr id="135" name="Frame135"/>
                <a:graphic xmlns:a="http://schemas.openxmlformats.org/drawingml/2006/main">
                  <a:graphicData uri="http://schemas.microsoft.com/office/word/2010/wordprocessingShape">
                    <wps:wsp>
                      <wps:cNvSpPr txBox="1"/>
                      <wps:spPr>
                        <a:xfrm>
                          <a:off x="0" y="0"/>
                          <a:ext cx="457200" cy="1577340"/>
                        </a:xfrm>
                        <a:prstGeom prst="rect"/>
                        <a:solidFill>
                          <a:srgbClr val="FFFFFF"/>
                        </a:solidFill>
                      </wps:spPr>
                      <wps:txbx>
                        <w:txbxContent>
                          <w:p>
                            <w:pPr>
                              <w:pStyle w:val="TextBody"/>
                              <w:bidi w:val="0"/>
                              <w:spacing w:before="0" w:after="283"/>
                              <w:jc w:val="left"/>
                              <w:rPr/>
                            </w:pPr>
                            <w:r>
                              <w:rPr/>
                              <w:t>●     </w:t>
                            </w:r>
                            <w:r>
                              <w:rPr/>
                              <w:t xml:space="preserve">clinical holds or termination of clinical trials; </w:t>
                            </w:r>
                          </w:p>
                        </w:txbxContent>
                      </wps:txbx>
                      <wps:bodyPr anchor="t" lIns="0" tIns="0" rIns="0" bIns="0">
                        <a:noAutofit/>
                      </wps:bodyPr>
                    </wps:wsp>
                  </a:graphicData>
                </a:graphic>
              </wp:anchor>
            </w:drawing>
          </mc:Choice>
          <mc:Fallback>
            <w:pict>
              <v:rect style="position:absolute;rotation:-0;width:36pt;height:124.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r>
                        <w:rPr/>
                        <w:t xml:space="preserve">clinical holds or termination of clinical trials;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requirements to conduct further post-marketing studies or clinical trials, implement risk mitigation strategies,or to issue corrective information; </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228600" cy="175260"/>
                <wp:effectExtent l="0" t="0" r="0" b="0"/>
                <wp:wrapSquare wrapText="right"/>
                <wp:docPr id="136" name="Frame13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warning letters or untitled letters; </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228600" cy="175260"/>
                <wp:effectExtent l="0" t="0" r="0" b="0"/>
                <wp:wrapSquare wrapText="right"/>
                <wp:docPr id="137" name="Frame13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withdrawal of the products from the market; </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228600" cy="175260"/>
                <wp:effectExtent l="0" t="0" r="0" b="0"/>
                <wp:wrapSquare wrapText="right"/>
                <wp:docPr id="138" name="Frame13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refusal to approve pending applications or supplements to approved applications that we submit; </w: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228600" cy="175260"/>
                <wp:effectExtent l="0" t="0" r="0" b="0"/>
                <wp:wrapSquare wrapText="right"/>
                <wp:docPr id="139" name="Frame13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recall of products; </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228600" cy="175260"/>
                <wp:effectExtent l="0" t="0" r="0" b="0"/>
                <wp:wrapSquare wrapText="right"/>
                <wp:docPr id="140" name="Frame14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restrictions on coverage by third-party payers; </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228600" cy="175260"/>
                <wp:effectExtent l="0" t="0" r="0" b="0"/>
                <wp:wrapSquare wrapText="right"/>
                <wp:docPr id="141" name="Frame14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fines, restitution or disgorgement of profits or revenues; </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228600" cy="175260"/>
                <wp:effectExtent l="0" t="0" r="0" b="0"/>
                <wp:wrapSquare wrapText="right"/>
                <wp:docPr id="142" name="Frame14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suspension or withdrawal of marketing approvals; </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228600" cy="175260"/>
                <wp:effectExtent l="0" t="0" r="0" b="0"/>
                <wp:wrapSquare wrapText="right"/>
                <wp:docPr id="143" name="Frame14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refusal to permit the import or export of products; </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228600" cy="175260"/>
                <wp:effectExtent l="0" t="0" r="0" b="0"/>
                <wp:wrapSquare wrapText="right"/>
                <wp:docPr id="144" name="Frame14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FDA debarment, suspension and debarment from government programs, refusal of orders under existing government contracts, exclusion from participation in federal healthcare programs, consent decrees, deferred or non-prosecution agreements or corporate integrity agreements; </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228600" cy="175260"/>
                <wp:effectExtent l="0" t="0" r="0" b="0"/>
                <wp:wrapSquare wrapText="right"/>
                <wp:docPr id="145" name="Frame14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product seizure or detention; or </w:t>
      </w:r>
      <w:r>
        <mc:AlternateContent>
          <mc:Choice Requires="wps">
            <w:drawing>
              <wp:anchor behindDoc="0" distT="0" distB="0" distL="0" distR="0" simplePos="0" locked="0" layoutInCell="1" allowOverlap="1" relativeHeight="147">
                <wp:simplePos x="0" y="0"/>
                <wp:positionH relativeFrom="column">
                  <wp:align>left</wp:align>
                </wp:positionH>
                <wp:positionV relativeFrom="line">
                  <wp:posOffset>635</wp:posOffset>
                </wp:positionV>
                <wp:extent cx="228600" cy="175260"/>
                <wp:effectExtent l="0" t="0" r="0" b="0"/>
                <wp:wrapSquare wrapText="right"/>
                <wp:docPr id="146" name="Frame14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injunctions or the imposition of civil penalties or criminal fines. </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228600" cy="175260"/>
                <wp:effectExtent l="0" t="0" r="0" b="0"/>
                <wp:wrapSquare wrapText="right"/>
                <wp:docPr id="147" name="Frame14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Historically, a few customers have accounted for a significant amount of our total revenue and accounts receivable and the loss of any of these customers could have a material adverse effect on our business, results of operations and financial condition.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For the six months ended June 30, 2026 and 2025, two customers, BioCare, Inc. (“BioCare”) and Priority Healthcare Distribution, Inc. d/b/a CuraScript SD Specialty Distribution (“Curascript”), represented an aggregate of approximately 67% and 72%, respectively, of our consolidated revenues.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June 30, 2026, BioCare and Curascript represented an aggregate of approximately 81% of our consolidated accounts receivable. As of December 31, 2025, BioCare and CuraScript represented an aggregate of approximately 87% of our consolidated accounts receivable.</w:t>
      </w:r>
    </w:p>
    <w:p>
      <w:pPr>
        <w:pStyle w:val="TextBody"/>
        <w:bidi w:val="0"/>
        <w:spacing w:before="0" w:after="0"/>
        <w:ind w:left="0" w:right="0" w:firstLine="72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loss of any key customers or a material change in the revenue generated by any of these customers,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 </w: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ability to sell our products at competitive prices; </w:t>
      </w:r>
      <w:r>
        <mc:AlternateContent>
          <mc:Choice Requires="wps">
            <w:drawing>
              <wp:anchor behindDoc="0" distT="0" distB="0" distL="0" distR="0" simplePos="0" locked="0" layoutInCell="1" allowOverlap="1" relativeHeight="149">
                <wp:simplePos x="0" y="0"/>
                <wp:positionH relativeFrom="column">
                  <wp:align>left</wp:align>
                </wp:positionH>
                <wp:positionV relativeFrom="line">
                  <wp:posOffset>635</wp:posOffset>
                </wp:positionV>
                <wp:extent cx="228600" cy="175260"/>
                <wp:effectExtent l="0" t="0" r="0" b="0"/>
                <wp:wrapSquare wrapText="right"/>
                <wp:docPr id="148" name="Frame14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ability to maintain features and quality standards for our products sufficient to meet the expectations of our customers; </w: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228600" cy="175260"/>
                <wp:effectExtent l="0" t="0" r="0" b="0"/>
                <wp:wrapSquare wrapText="right"/>
                <wp:docPr id="149" name="Frame14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ability to produce and deliver a sufficient quantity of our products in a timely manner to meet our customers’ requirements; </w:t>
      </w:r>
      <w:r>
        <mc:AlternateContent>
          <mc:Choice Requires="wps">
            <w:drawing>
              <wp:anchor behindDoc="0" distT="0" distB="0" distL="0" distR="0" simplePos="0" locked="0" layoutInCell="1" allowOverlap="1" relativeHeight="151">
                <wp:simplePos x="0" y="0"/>
                <wp:positionH relativeFrom="column">
                  <wp:align>left</wp:align>
                </wp:positionH>
                <wp:positionV relativeFrom="line">
                  <wp:posOffset>635</wp:posOffset>
                </wp:positionV>
                <wp:extent cx="228600" cy="175260"/>
                <wp:effectExtent l="0" t="0" r="0" b="0"/>
                <wp:wrapSquare wrapText="right"/>
                <wp:docPr id="150" name="Frame15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impact of a pandemic, or the resurgence of a pandemic, and government responses thereto on our customers and their businesses, operations and financial condition; </w: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228600" cy="175260"/>
                <wp:effectExtent l="0" t="0" r="0" b="0"/>
                <wp:wrapSquare wrapText="right"/>
                <wp:docPr id="151" name="Frame15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impact of a cyberattack or data breach on our customers or related entities; </w:t>
      </w:r>
      <w:r>
        <mc:AlternateContent>
          <mc:Choice Requires="wps">
            <w:drawing>
              <wp:anchor behindDoc="0" distT="0" distB="0" distL="0" distR="0" simplePos="0" locked="0" layoutInCell="1" allowOverlap="1" relativeHeight="153">
                <wp:simplePos x="0" y="0"/>
                <wp:positionH relativeFrom="column">
                  <wp:align>left</wp:align>
                </wp:positionH>
                <wp:positionV relativeFrom="line">
                  <wp:posOffset>635</wp:posOffset>
                </wp:positionV>
                <wp:extent cx="228600" cy="175260"/>
                <wp:effectExtent l="0" t="0" r="0" b="0"/>
                <wp:wrapSquare wrapText="right"/>
                <wp:docPr id="152" name="Frame15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customers’ inability to comply with the terms of our distribution agreements; and </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228600" cy="175260"/>
                <wp:effectExtent l="0" t="0" r="0" b="0"/>
                <wp:wrapSquare wrapText="right"/>
                <wp:docPr id="153" name="Frame15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widespread economic conditions or geopolitical conditions, including the exacerbated conflicts in Europe, certain countries in South America, Northern Africa and in the Middle East and the surrounding areas. </w:t>
      </w:r>
      <w:r>
        <mc:AlternateContent>
          <mc:Choice Requires="wps">
            <w:drawing>
              <wp:anchor behindDoc="0" distT="0" distB="0" distL="0" distR="0" simplePos="0" locked="0" layoutInCell="1" allowOverlap="1" relativeHeight="155">
                <wp:simplePos x="0" y="0"/>
                <wp:positionH relativeFrom="column">
                  <wp:align>left</wp:align>
                </wp:positionH>
                <wp:positionV relativeFrom="line">
                  <wp:posOffset>635</wp:posOffset>
                </wp:positionV>
                <wp:extent cx="228600" cy="175260"/>
                <wp:effectExtent l="0" t="0" r="0" b="0"/>
                <wp:wrapSquare wrapText="right"/>
                <wp:docPr id="154" name="Frame15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Additionally, an adverse change in the financial condition of any of our key customers could negatively affect revenue derived from such customer, which in turn could have a material adverse effect on our business and results of operations.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Issues with product quality and compliance could have a material adverse effect upon our business, subject us to regulatory actions and cause a loss of customer confidence in us or our products.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voluntary or involuntary withdrawals, monetary sanctions, injunctions to halt manufacture and distribution of products, civil or criminal sanctions, costly litigation, patient injury, refusal of a government to grant approvals and licenses, restrictions on operations or withdrawal of existing approvals and licenses. The FDA and similar foreign governmental authorities have the authority to require the recall of commercialized products. We may elect, in the interest of public safety, to voluntarily withdraw our products from the market for labeled adverse events or for other reasons. For example, during the three and six months ended June 30, 2025, as a precautionary measure, we voluntarily withdrew three lots of BIVIGAM and we recorded a reduction to revenue of $0.2 million and $4.0 million, respectively, for credits issued to customers for the related product returns. Recalls or withdrawals of any of our products could divert managerial and financial resources which could have an adverse effect on our financial condition and results of operations. An inability to address a quality or safety issue by us or by a third-party vendor in an effective and timely manner may also cause negative publicity or a loss of customer confidence in us or our current or future products, which may result in the loss of current or future sales and difficulty in successfully commercializing our current products and launching new products.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addition, 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or write-downs as we ensure product quality and compliance with cGMP, FDA and state and local regulations, or due to testing results not meeting specifications. As a result, our operating results are subject to potentially significant variability from one reporting period to the next should such losses or write-downs occur in any given period. Additionally, because our products and product candidates are plasma-based products, not only are we subject to the FDA’s drug and biologic cGMP requirements, but we are also subject to special requirements for the collection, testing, handling, storage, and use of blood products. This adds an extra level of compliance and complexity to our operations, which we may not be able to successfully meet. Failure to meet any regulatory quality standards could have an adverse impact on our business.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i/>
          <w:sz w:val="20"/>
        </w:rPr>
        <w:t>If physicians, payers and patients do not accept and use our current products or our future product candidates, our ability to generate revenue from these products will be materially impaired.</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Even if the FDA approves a product made by us, physicians, payers and patients may not accept and use it. Acceptance and use of our products depends on a number of factors including, but not limited to: </w: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perceptions by members of the healthcare community, including physicians, about the safety and effectiveness of our products; </w: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228600" cy="175260"/>
                <wp:effectExtent l="0" t="0" r="0" b="0"/>
                <wp:wrapSquare wrapText="right"/>
                <wp:docPr id="155" name="Frame15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cost-effectiveness of our products relative to competing products; </w:t>
      </w:r>
      <w:r>
        <mc:AlternateContent>
          <mc:Choice Requires="wps">
            <w:drawing>
              <wp:anchor behindDoc="0" distT="0" distB="0" distL="0" distR="0" simplePos="0" locked="0" layoutInCell="1" allowOverlap="1" relativeHeight="157">
                <wp:simplePos x="0" y="0"/>
                <wp:positionH relativeFrom="column">
                  <wp:align>left</wp:align>
                </wp:positionH>
                <wp:positionV relativeFrom="line">
                  <wp:posOffset>635</wp:posOffset>
                </wp:positionV>
                <wp:extent cx="228600" cy="175260"/>
                <wp:effectExtent l="0" t="0" r="0" b="0"/>
                <wp:wrapSquare wrapText="right"/>
                <wp:docPr id="156" name="Frame15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availability of reimbursement for our products from government or other healthcare payers; and </w:t>
      </w:r>
      <w:r>
        <mc:AlternateContent>
          <mc:Choice Requires="wps">
            <w:drawing>
              <wp:anchor behindDoc="0" distT="0" distB="0" distL="0" distR="0" simplePos="0" locked="0" layoutInCell="1" allowOverlap="1" relativeHeight="158">
                <wp:simplePos x="0" y="0"/>
                <wp:positionH relativeFrom="column">
                  <wp:align>left</wp:align>
                </wp:positionH>
                <wp:positionV relativeFrom="line">
                  <wp:posOffset>635</wp:posOffset>
                </wp:positionV>
                <wp:extent cx="228600" cy="175260"/>
                <wp:effectExtent l="0" t="0" r="0" b="0"/>
                <wp:wrapSquare wrapText="right"/>
                <wp:docPr id="157" name="Frame15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effectiveness of marketing and distribution efforts by us and our licensees and distributors, if any. </w:t>
      </w:r>
      <w:r>
        <mc:AlternateContent>
          <mc:Choice Requires="wps">
            <w:drawing>
              <wp:anchor behindDoc="0" distT="0" distB="0" distL="0" distR="0" simplePos="0" locked="0" layoutInCell="1" allowOverlap="1" relativeHeight="159">
                <wp:simplePos x="0" y="0"/>
                <wp:positionH relativeFrom="column">
                  <wp:align>left</wp:align>
                </wp:positionH>
                <wp:positionV relativeFrom="line">
                  <wp:posOffset>635</wp:posOffset>
                </wp:positionV>
                <wp:extent cx="228600" cy="175260"/>
                <wp:effectExtent l="0" t="0" r="0" b="0"/>
                <wp:wrapSquare wrapText="right"/>
                <wp:docPr id="158" name="Frame15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failure of our current or future products to find market acceptance would harm our business and could require us to seek additional financing or make such financing difficult to obtain on favorable terms, if at all.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Our accruals for U.S. Medicaid rebates and other liabilities related to the sale of our immunoglobulin products are estimates based on historical experience and other assumptions. These estimates are subject to change based on actual results and other factors. Any such change could have a material effect on our business, financial position, and operating results.</w:t>
      </w:r>
      <w:r>
        <w:rPr>
          <w:rFonts w:ascii="Times New Roman" w:hAnsi="Times New Roman"/>
          <w:sz w:val="20"/>
        </w:rPr>
        <w:t xml:space="preserve"> </w:t>
      </w:r>
    </w:p>
    <w:p>
      <w:pPr>
        <w:pStyle w:val="TextBody"/>
        <w:bidi w:val="0"/>
        <w:spacing w:before="0" w:after="0"/>
        <w:ind w:left="720" w:right="0" w:hanging="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 Estimates include, among other things, accruals for U.S. Medicaid rebates related to the sale of our immunoglobulin products. We accrue these rebates at the time of sale based on our estimates of the sales mix of our products and the portion of the products we sell that will be prescribed to Medicaid beneficiaries. These estimates are based on historical experience and certain other assumptions, and while we believe that such estimates are reasonable, they are subject to change based on future experience, Medicaid utilization trends and other factors. If any of our ratios, factors, assessments, experiences or judgments are not indicative or accurate estimates of our future experience, our results could be materially affected. Estimates that are most at risk for material adjustment include those associated with U.S. Medicaid rebates because of the extensive time delay between the recording of the accrual and its ultimate settlement, an interval that can generally take up to several years or more. These estimates may change from time to time based on changes in utilization, payer and channel mixes or the ultimate settlement or resolution of payer claims. For example, during 2024 we engaged a third-party specialist to assist in the evaluation of our accrual for U.S. Medicaid rebates related to the sale of our immunoglobulin products. As a result of this evaluation, we recognized a reduction in this accrual and a corresponding increase to net revenues of $12.6 million for the year ended December 31, 2024. We considered several qualitative factors when evaluating our rebate accrual, such as the absence of a statutory limitation on the rebate amounts drug manufacturers pay to state Medicaid programs and general uncertainty that pharmaceutical manufacturers have historically seen with government payers often submitting lagged claims many periods after the initial dispensing of a product to an end patient. There was additional new information that arose during June 2024 that suggested our liabilities for certain payer claims were successfully resolved, which resulted in the $12.6 million adjustment to the accrual for U.S. Medicaid rebates in June 2024.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addition, the Patient Protection and Affordable Care Act (“ACA”) included a significant expansion of state Medicaid programs. If more states decide to take advantage of these programs such that more individuals become eligible for coverage, Medicaid utilization of our products could increase, resulting in a corresponding increase in our rebate payments. Such rebate payments may exceed what we have accrued for during the applicable period. Increases in Medicaid rebate payments could decrease our net revenues from product sales, which in turn could adversely affect our business, financial position, and operating results.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i/>
          <w:sz w:val="20"/>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maintain profitability may be adversely impacted.</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current product development portfolio consists primarily of label expansion activities for ASCENIV, as well as expanding our IP estate with patents issued for </w:t>
      </w:r>
      <w:r>
        <w:rPr>
          <w:rFonts w:ascii="Times New Roman" w:hAnsi="Times New Roman"/>
          <w:i/>
          <w:sz w:val="20"/>
        </w:rPr>
        <w:t>S. pneumoniae</w:t>
      </w:r>
      <w:r>
        <w:rPr>
          <w:rFonts w:ascii="Times New Roman" w:hAnsi="Times New Roman"/>
          <w:sz w:val="20"/>
        </w:rPr>
        <w:t xml:space="preserve"> hyperimmune immune globulin. We have initiated small-scale preclinical activities to potentially expand our current portfolio through new product development efforts. If we are not successful in developing or acquiring additional products and product candidates, we will have to depend on our ability to continue to generate revenues from ASCENIV, BIVIGAM, Nabi-HB, intermediates, contract manufacturing and plasma attributable to the operations of ADMA BioCenters to support our operations.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Our ADMA BioCenters operations collect information from donors in the United States that subjects us to consumer and health privacy laws, which could create enforcement and litigation exposure if we fail to meet their requirements.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requirements with respect to safeguarding the privacy, security and transmission of protected health information (“PHI”) held by covered entities and business associates. HIPAA “covered entities” include health plans/insurers, healthcare providers engaging in HIPAA standard electronic transactions and healthcare clearinghouses. A “business associate” provides services to covered entities (directly or as subcontractors to other business associates) involving arranging, creating, receiving, maintaining, or transmitting PHI on a covered entity’s behalf. In order to legally provide access to PHI to service providers, covered entities and business associates must enter into a “business associate agreement” with the service provider that receives PHI on behalf of the entity.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Personal information that we obtain pursuant to a clinical trial may be subject to U.S. Federal Trade Commission (the “FTC”) privacy regulation. Failing to take appropriate steps to keep consumers’ personal information secure may constitute an unfair act or practice violating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but less prescriptive than, what is required by the HIPAA Security Rule. In addition, states impose a variety of laws protecting consumer information, with certain sensitive information such as HIV/Sexually Transmitted Infection status subject to heightened standards. In addition, federal and state privacy, data security, and breach notification laws, rules and regulations, and other laws apply to the collection, use and security of personal information, such as Social Security Numbers, driver’s license numbers, government identifiers, credit card and financial account numbers. For example, the California Consumer Privacy Act (“CCPA”) was amended by the California Privacy Rights Act, effective January 1, 2023. The CCPA, among other things, imposes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data breach. We could be subject to enforcement action and litigation exposure if we fail to adhere to these data privacy and security laws. Virginia, Colorado, Connecticut and Utah have also enacted privacy laws that became effective in 2023 and are similar in many respects to the CCPA. Several other states have also enacted privacy laws similar to the CCPA that will become effective in the coming years, adding to potential privacy compliance obligations.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The JPMorgan Credit Facilities are subject to acceleration in specified circumstances, which may result in JPMorgan taking possession and disposing of any collateral.</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On the JPM Closing Date, we entered into the JPM Credit Agreement (see “Liquidity and Capital Resources”). The JPM Credit Agreement provides for a total of $300 million in senior secured credit facilities (the “JPM Credit Facilities”) of which $198.1 million is outstanding as of June 30, 2026. The JPM Credit Facilities have a maturity date of August 5, 2028.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JPM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we would incur an increase in the rate of interest on the JPM Loans of 2% per annum. The occurrence of an event of default could result in, among other things, the termination of commitments under the JPM Credit Facilities, the declaration that all outstanding loans are immediately due and payable in whole or in part, and JPMorgan taking immediate possession of, and selling, any collateral securing the JPM Loans.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Developments by competitors may render our products or technologies obsolete or non-competitive.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biotechnology and pharmaceutical industries are intensely competitive and subject to rapid and significant technological and business practice change. Our current products and any future product we may develop will have to compete with other marketed therapies, and certain of such therapies may be available at prices lower than our products. By way of example, beginning in the second half of 2025 and continuing into the first quarter of 2026, new FDA-approved IVIG products, and other pharmaceutical products which compete with certain IVIG product uses, entered the market with aggressive pricing tactics, including extended payment terms, rebates and discounts, raw material plasma supply increased and finished goods inventory across the distribution network increased. This created competitive intensity and distribution recalibration across the industry which, if continued, could impact our future results. In addition, other companies may pursue the development of pharmaceuticals that target the same diseases and conditions that we are targeting. We face competition from pharmaceutical and biotechnology companies in the United States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If we are unable to protect our patents, trade secrets or other proprietary rights, if our patents are challenged or if our provisional patent applications do not get approved, our competitiveness and business prospects may be materially damaged.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we move forward in clinical development, we continue to discover novel technologies related to our products and product candidates and we may draft patent applications directed to these technologies. We rely on a combination of patent rights, trade secrets, intellectual property assignment agreements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the U.S. Patent and Trademark Office or foreign patent offices.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invention assignment,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pStyle w:val="TextBody"/>
        <w:bidi w:val="0"/>
        <w:spacing w:before="0" w:after="0"/>
        <w:ind w:left="0" w:right="0" w:firstLine="72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i/>
          <w:sz w:val="20"/>
        </w:rPr>
        <w:t>We could lose market exclusivity of a product earlier than expected.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the pharmaceutical and biotechnology industries, the majority of an innovative product’s commercial value is realized during its market exclusivity period. In the United States and in some other countries, when market exclusivity expires and generic or biosimilar versions are approved and marketed or when biosimilars are introduced (even if only for a competing product), there are usually very substantial and rapid declines in a product’s revenues.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There is no assurance that ASCENIV, or any other of our products for which we are issued a patent, will enjoy market exclusivity for the full time period of the respective patent.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Third parties could obtain patents that may require us to negotiate licenses to conduct our business, and there can be no assurance that the required licenses would be available on reasonable terms or at all.</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may not be able to operate our business without infringing third-party patents. Numerous U.S. and foreign patents and pending patent applications owned by third parties exist in fields that relate to the development and commercialization of immune globulin.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United States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If we are unable to successfully manage our growth, our business may be harmed.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success will depend on the expansion of our commercial and manufacturing activities, supply of raw material plasma and overall operations and the effective management of our growth, which will place a significant strain on our management and on our administrative, operational and financial resources. To manage this growth, we must expand our operational, financial and management systems and hire and train additional qualified personnel. If we are unable to manage our growth effectively, our business could be harmed.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The loss of one or more key members of our management team could adversely affect our business.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The loss of services of key personnel, or the inability to attract and retain additional qualified personnel, could result in delays in development or approval of our product candidates and diversion of management resources.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Cyberattacks and other security breaches could compromise our proprietary and confidential information or otherwise penetrate our network, which could harm our business and reputation.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personal data and our proprietary and confidential information including e-mails and other electronic communications. Cybersecurity vulnerabilities can also arise from human error, fraud or malice on the part of our employees, other insiders, vendors, suppliers, other third parties, or from technology or product enhancements or the migration of information and data to new technology platforms, systems or applications. Hackers and other threat actors may impersonate our vendors, suppliers or other third parties with whom we do business, which may result in financial harm to our business. Further, while many of our employees and certain suppliers with whom we do business operate in a remote working environment, the risk of cybersecurity attacks and data breaches, particularly through phishing attempts and ransomware attacks, may be increased as we and third parties with whom we interact leverage our IT infrastructure in unanticipated ways. In addition, an employee, contractor, or other third parties with whom we do business may attempt to obtain such information and may purposefully or inadvertently cause a breach involving such information. While we have certain safeguards in place to reduce the risk of and detect cyberattacks, including a Company-wide cybersecurity policy and annual training, our information technology networks and infrastructure may be vulnerable to unpermitted access by hackers or other breaches, or employee error or malfeasance. Any such compromise of our data security and access to, integrity, availability of, or public disclosure or loss of, confidential business or proprietary information could disrupt our operations, damage our reputation, provide our competitors with valuable information and subject us to additional costs which could adversely affect our business and reputation. We have set out in our 2025 10-K our obligations relating to cybersecurity under certain laws and potential liabilities and risks arising from any infringements under these laws. We may also be subject to additional industry-specific privacy, cybersecurity, data protection, operational and information systems resilience, and artificial intelligence-related laws in the applicable jurisdictions which may subject us to additional similar risks and impacts.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Issues in the development and use of AI may result in reputational harm and increased liability exposure.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have engaged a third-party firm to assist the Company with the development and deployment of an AI tool, ADMAlytics, to improve efficiencies across our supply chain, production, and commercial operations. This tool has been used to assist with activities including plasma pool composition and identifying other manufacturing efficiencies to streamline certain operational processes. While we have successfully implemented ADMAlytics in certain aspects of our commercial manufacturing and expanded its use throughout fiscal year 2025 and into 2026, the development, implementation, and ongoing use of AI technologies involve inherent risks. While ADMA has not experienced any issues to date, these risks include potential data inaccuracies, flawed assumptions, system errors, cybersecurity vulnerabilities, unintended outcomes, and difficulties in integrating AI-driven insights into complex and highly regulated manufacturing and operational environments. If ADMAlytics fails to perform as intended or produces unreliable or biased outputs, our reputation could be harmed and we could be subject to legal exposure, which could adversely affect our business, results of operations, and financial condition.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i/>
          <w:sz w:val="20"/>
        </w:rPr>
        <w:t>If we are unable to hire and retain a substantial number of qualified personnel, our ability to sustain and grow our business may be harmed.</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finance, general and operational management and plasma collections. In particular, over the next 12-24 months, we may hire additional new employees devoted to our plasma collection centers, commercialization, sales, marketing, medical and scientific affairs, regulatory affairs, quality control, information technology,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We currently collect human blood plasma at our ADMA BioCenters facilities, and if we cannot maintain FDA licensure for these facilities or obtain FDA licensure for additional facilities that we may construct or acquire rights to, we may be adversely affected and may not be able to sell or use this human blood plasma for future commercial purposes.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intend to maintain FDA licensure of our current and future ADMA BioCenters collection facilities for the collection of human blood plasma and we may seek other governmental and regulatory approvals for these facilities. Collection facilities are subject to FDA and potentially other governmental and regulatory inspections and extensive regulation, including compliance with current cGMP and blood standards and FDA licensure and other governmental approvals, as applicable. Failure to comply with applicable governmental regulations or to receive applicable approvals for our current or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 adverse effect on our ability to manufacture our products or offer for sale plasma collected at the affected sites. Failure to comply with applicable governmental regulations may also impact the ultimate quality and compliance of our finished biologic products, which may have a material adverse effect on our business.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There are no assurances we will be able to maintain compliance with all FDA or other regulations. There is also no guarantee that we will be able to fulfill our contractual requirements to our customers. Moreover, to the extent that we use third-party vendors to fulfill our regulatory or contractual requirements, these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 If we are not able to maintain manufacturing compliance at our facilities or our vendors’ facilities for our products and product candidates, we may not be able to successfully develop and commercialize our products and product candidates and we may face potential contractual or regulatory actions, which would have an adverse impact on our business.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i/>
          <w:sz w:val="20"/>
        </w:rPr>
        <w:t>We may incur substantial liabilities and may be required to limit commercialization of our products in response to product liability lawsuits.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testing and marketing of medical products entail an inherent risk of product liability. If we cannot successfully defend ourselves against product liability claims, we may incur substantial liabilities or be required to limit commercialization of our products. Product liability claims may also result in recalls and/or regulatory enforcement actions.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laws governing our conduct in the United States are enforceable on the federal, state and local levels by criminal, civil and administrative sanctions. Violations of laws such as the Federal Food, Drug and Cosmetic Act (the “FDCA”), the Social Security Act (including the Anti-Kickback Statute), the Public Health Service Act, the civil and criminal federal False Claims Act, the civil monetary penalty statute, requirements regarding the reporting and repayment of overpayments, other fraud and abuse laws and any regulations promulgated under the authority of the preceding, may result in significant criminal and/or civil sanctions, including criminal fines, imprisonment, civil monetary penalties and damages, exclusion from participation in federal healthcare programs (including Medicare and Medicaid), suspension and debarment from government contracts, and refusal of orders under existing government contracts, pursuant to enforcement actions by DOJ, CMS, OIG and other regulatory authorities. Similarly, the violation of applicable laws, rules and regulations of states, including the State of Florida, with respect to the manufacture and marketing of our products and product candidates may result in significant criminal and/or civil sanctions, including jail sentences, fines or exclusion from participation in applicable state healthcare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For example, under the Anti-Kickback Statute and similar state laws and regulations, the offer or payment of anything of value to induce or reward patient referrals, or in return for purchasing, leasing, ordering or arranging for or recommending the purchase, lease, or ordering of any item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participation in the Medicare and Medicaid programs. Arrangements with referral sources such as purchasers, group purchasing organizations, healthcare organizations, physicians and pharmacists must be structured with care to comply with applicable requirements. Legislators and regulators may seek to further restrict the scope of financial relationships that are considered appropriate. For example, HHS promulgated a regulation in 2020 that is effective in two phases. First, the regulation excludes from the definition of “remuneration” limited categories of (a) PBM rebates or other reductions in price to a plan sponsor under Medicare Part D or a Medicaid Managed Care Organization plan reflected in point-of-sale reductions in price and (b) PBM service fees paid by a manufacturer to a PBM. Second, effective January 1, 2023, the regulation expressly provides that rebates to plan sponsors under Medicare Part D either directly to the plan sponsor under Medicare Part D, or indirectly through a pharmacy benefit manager, will not be protected under the Anti-Kickback Statute discounts safe harbor. Subsequent legislation and a final rule promulgated on December 29, 2023 delayed implementation of this portion of the rule until January 1, 2032.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Also, certain business practices, such as payments of consulting fees to healthcare professionals, sponsorship of educational or research grants, charitable donations, interactions with healthcare professionals who prescribe products for uses not approved by the FDA and financial support for continuing medical education programs, must be conducted within narrowly prescribed and controlled limits to avoid any possibility of wrongfully influencing healthcare professionals to prescribe or purchase particular products or as a reward for past prescribing. Under the ACA and the companion Healthcare and Education Reconciliation Act of 2010 (which together are referred to as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not limited to, U.S.-licensed physicians, physician assistants, nurse practitioners, clinical nurse specialists and certified registered nurse anesthetists and U.S.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sanctions against manufacturers have resulted in substantial fines, penalties and damages. Many manufacturers have been required to enter into consent decrees or orders that prescribe allowable corporate conduct and/or Corporate Integrity Agreements that impose ongoing compliance requirements on a manufacturer.</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Failure to satisfy requirements under the FDCA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United States, Canada and the European Union cannot promote approved products for other indications that are not specifically approved by the competent regulatory authorities such as the FDA in the United States,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FDCA and subjects us to civil and criminal sanctions. Furthermore, sanctions under the federal False Claims Act have been brought against companies accused of promoting off-label uses of drugs, because such promotion induces unapproved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federal Anti-Kickback Statute that applies to government healthcare programs, and other healthcare fraud provisions, leading to the possibility of greatly increased lawsuits by whistleblowers for perceived violations. Violations or allegations of violations of the foregoing restrictions could materially and adversely affect our business.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criminal and/or civil liability under the federal False Claims Act, the federal Anti-Kickback Statute and various other laws, rules and regulations.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have established systems for collecting and reporting this data accurately to CMS and have instituted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United States, we must obtain and maintain regulatory approvals and comply with regulatory requirements in such jurisdictions. The approval procedures vary among countries in complexity and timing. We may not obtain approvals from regulatory authorities outside the United States on a timely basis, if at all, which would preclude us from commercializing products in those markets. Further, approval in one country does not mean we are more likely to obtain approval in another country.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addition, some countries, particularly the countries of the European Union, regulate the pricing and reimbursement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Also, under the U.S. Foreign Corrupt Practices Act, the United States has increasingly focused on regulating the conduct by U.S. businesses occurring outside of the United States,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Most U.S.-based pharmaceutical companies have such programs. We have instituted a healthcare compliance and ethics program that incorporates the OIG’s recommendations and voluntary industry guidelines and have trained our employees. Maintaining such a program can be expensive and may not provide assurance that we will avoid compliance issues.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are also required to comply with the applicable laws, rules, regulations and permit requirements of the various states and localities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and local laws, rules, regulations and permits. Failure to appropriately comply with such state and local requirements could result in temporary or long-term cessation of our manufacturing operations, as well as fines and other sanctions. Any such penalties may have a material adverse effect on our business and results of operations.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We are subject to extensive and rigorous governmental regulation, including the requirement of FDA and other federal, state and local business regulatory</w:t>
      </w:r>
      <w:r>
        <w:rPr>
          <w:rFonts w:ascii="Times New Roman" w:hAnsi="Times New Roman"/>
          <w:color w:val="0000FF"/>
          <w:sz w:val="20"/>
        </w:rPr>
        <w:t> </w:t>
      </w:r>
      <w:r>
        <w:rPr>
          <w:rFonts w:ascii="Times New Roman" w:hAnsi="Times New Roman"/>
          <w:b/>
          <w:i/>
          <w:sz w:val="20"/>
        </w:rPr>
        <w:t>approvals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Both before and after the approval of our products, our products, operations, facilities, suppliers and CROs are subject to extensive regulation by federal, state and local governmental authorities in the United States and other countries, with regulations differing from country to country. In the United States, the FDA regulates, among other things, the preclinical and nonclinical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CRLs,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United States without FDA and other federal, state and local business regulatory approvals. Any failure to receive the marketing approvals necessary to commercialize our products or product candidates could harm our business.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to accept the payment of user fees, as well as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January 2019 and most recently October 2025, the U.S. government has shut down several times and certain regulatory agencies, such as the FDA and the SEC, have had to furlough critical employees and stop critical activities. Separately, in response to the COVID-19 pandemic, the FDA postponed most inspections at domestic and foreign manufacturing facilities from March 2020 until July 2021. Also, in 2025, there was an FDA reduction in force. If a prolonged government shutdown or regulatory agency disruption reoccurs, or in the event the FDA has an insufficient amount of staff, it could significantly impact the ability of the FDA to timely review and process our regulatory submissions, conduct evaluations and inspections and other reporting requirements which could have a material adverse effect on our business. Further, future government shutdowns could impact our ability to access the public markets and obtain capital that may be necessary in order to properly capitalize and continue our operations.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i/>
          <w:sz w:val="20"/>
        </w:rPr>
        <w:t>There may be and have been changes in legal and regulatory requirements that may materially impact our results of operation.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may face new risks as a result of changes in legal and regulatory requirements that may impact our operations and future prospects. For example, the 2025 change in the U.S. federal administration, as well as changes in legal standards, including the reduced level of judicial deference due to administrative agencies following a 2024 Supreme Court decision, may and does introduce regulatory and legal uncertainties that impact our operations. New federal or state laws and regulations may be, and have been, passed or enforced differently than they were before, requiring that we adapt, which we may not be able to do, and expend additional resources to ensure that we are able to comply. New laws and regulations, or the enforcement of the same, may also adversely restrict how we conduct our business. There could also be changes in the FDA’s approval standards that could impact our ability to obtain and maintain product approvals and market our product candidates or that otherwise could impact the competitive market for our products. Legal and regulatory changes may additionally impact how we may market and sell our products and how they are reimbursed. We cannot predict the exact nature of any changes that may take place or whether and how they may impact our business and results of operation.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The manufacturing processes for plasma-based biologics are complex and involve biological intermediates that are susceptible to contamination and impurities.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certain amounts of raw materials and work-in-process inventory in the ordinary course of business due to the complex nature of plasma, our processes and our products, unanticipated events may lead to write-offs and other costs materially in excess of our expectations and the reserves we have established for these purposes. Such write-offs or losses and other costs could cause material fluctuations in our results of operations. Product or component quality issues may also result in regulatory enforcement actions, liability, corrective actions and recalls, among other actions, as described in our 2025 10-K.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i/>
          <w:sz w:val="20"/>
        </w:rPr>
        <w:t>Our ability to continue to produce safe and effective products depends on the safety of our plasma supply, testing by third parties and the timing of receiving the testing results, and manufacturing processes we have in place to counter transmittable diseases.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our manufacturing processes are inadequate to inactivate or remove an infectious agent, our ability to manufacture and distribute our products would be impaired. If a new infectious disease were to emerge in the human population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We could become supply-constrained and our financial performance would suffer if we cannot obtain adequate quantities of FDA-approved source and high-titer plasma with proper specifications or other necessary raw materials.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order for plasma to be used in the manufacturing of our products, the individual centers at which the plasma is collected must generally be licensed by the FDA and approved by the regulatory authorities of any country in which we may wish to commercialize our products. States also may have their own licensing and regulatory requirements. When we or our third-party suppliers open a new plasma center, and on an ongoing basis after licensure, it must be inspected by the FDA and the applicable regulatory authorities for compliance with cGMP and other regulatory requirements. Therefore, even if we or our third-party suppliers are able to construct or acquire new plasma collection centers to complement our current plasma collection network, an unsatisfactory inspection could prevent a new center from being licensed or risk the suspension or revocation of an existing license, among other enforcement actions. Additionally, although we are currently self-sufficient in our normal source plasma supply through our existing plasma collection centers, we remain reliant on the purchase of RSV plasma from third parties and the collection of RSV and normal source plasma from our FDA-licensed plasma collection centers to manufacture our products. We can give no assurances that appropriate plasma will be available to us through our own plasma collection facilities or on commercially reasonable terms, or at all, to manufacture our products, or that third parties will be able to supply plasma to us in accordance with plasma purchase agreements. Further, the COVID-19 pandemic resulted in significant constraints in raw material supply across various different industries, including the supply of plasma. It is possible that in the future, pandemics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i/>
          <w:sz w:val="20"/>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ability to generate product revenues will be diminished if our products sell for inadequate prices or patients are unable to obtain adequate levels of insurance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United States,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The biosimilar pathway established as part of healthcare reform may make it easier for competitors to market biosimilar products.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This exclusivity period, however, is subject to certain limitations. For example, the exclusivity only applies to the first licensure of a product, as defined in statute and FDA guidance, and, thus, not all BLAs will have exclusivity protection. There may also be future legislative efforts to decrease this period of exclusivity. The FDA also may not consider a particular biologic to be a reference product or competitors may pursue full traditional BLAs, rather than the biosimilar pathway, which full BLAs would not be blocked by the regulatory exclusivity. Moreover, following the submission of a biosimilar application, we may need to institute patent infringement actions or may be subject to actions for declaratory judgment, which may be time consuming and costly.</w:t>
      </w:r>
    </w:p>
    <w:p>
      <w:pPr>
        <w:pStyle w:val="TextBody"/>
        <w:bidi w:val="0"/>
        <w:spacing w:before="0" w:after="0"/>
        <w:ind w:left="0" w:right="0" w:firstLine="72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In 2025, the FDA also potentially made it easier for sponsors of biosimilar or interchangeable products to obtain approval, easing requirements for biosimilar comparative efficacy clinical studies and interchangeable product switching studies. The FDA approved the first biosimilar product in 2015 and has since approved a number of biosimilars. As a result of the biosimilar pathway in the United States, we expect in the future to face greater competition from biosimilar products, including a possible increase in patent challenges.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The implementation of the Healthcare Reform Law in the United States may adversely affect our business.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Through the March 2010 adoption of the Healthcare Reform Law in the United States, substantial changes have been made to the current system for paying for healthcare in the United States,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plus the inflation penalty if applicable. Effective January 1, 2010, the Healthcare Reform Law generally increased the size of the Medicaid rebates paid by manufacturers for single source and innovator multiple source (brand name) drug products from a minimum of 15.1% to a minimum of 23.1% of AMP, subject to certain exceptions, plus the inflation penalty if applicable. For non-innovator multiple source (generic) products, the rebate percentage was increased from a minimum of 11.0% to a minimum of 13.0% of AMP, and the Bipartisan Budget Act of 2015 established a new inflation penalty for these drugs. In 2010, the Healthcare Reform Law also newly extended the Medicaid drug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 and regulations have established a civil monetary penalty for failure to refund these overcharges.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Inflation Reduction Act also amended certain discount obligations originally implemented under the Healthcare Reform Law. In January 2025, the Inflation Reduction Act implemented a new manufacturer discount program that requires participating manufacturers to provide discounts on applicable drugs in both the Initial Coverage and Catastrophic Coverage phases of the Part D benefit. The discount requirement could adversely affect our future financial performance, creating continued pressure to lower prices related to units sold to Medicare beneficiaries.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There have been repeated legal challenges and attempts by Congress to repeal or change the Healthcare Reform Law and the possibility of future challenges or legislative changes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Corporate responsibility, specifically related to Environmental, Social and Governance (“ESG”) matters, may impose additional costs and expose us to new risks.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Public ESG and sustainability reporting is becoming more broadly expected by investors, stockholders and other third parties. Certain organizations that provide corporate governance and other corporate risk information to investors and stockholders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We may face reputational damage in the event our corporate responsibility initiatives or objectives do not meet the standards set by our investors, stockholders, lawmakers, listing exchanges or other constituencies, or if we are unable to achieve an acceptable ESG or sustainability rating from third-party rating</w:t>
      </w:r>
      <w:r>
        <w:rPr>
          <w:rFonts w:ascii="Times New Roman" w:hAnsi="Times New Roman"/>
          <w:color w:val="FF0000"/>
          <w:sz w:val="20"/>
        </w:rPr>
        <w:t> </w:t>
      </w:r>
      <w:r>
        <w:rPr>
          <w:rFonts w:ascii="Times New Roman" w:hAnsi="Times New Roman"/>
          <w:sz w:val="20"/>
        </w:rPr>
        <w:t xml:space="preserve">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Risks Relating to our Finances, Capital Requirements and Other Financial Matters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We may not have cash available to us in amounts sufficient to enable us to make interest or principal payments on our indebtedness when due.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JPM Credit Facilities provide for total senior secured loans in an aggregate principal amount of $300.0 million, of which $198.1 million is currently outstanding as of June 30, 2026. The borrowing under the JPM Credit Facilities currently bears interest at a rate equal to approximately 6.12% per annum, which reflects the one-month term SOFR rate; provided, however, that upon, and during the continuance of, an event of default, the interest rate will automatically increase by an additional 200 basis points. We are currently required to make (i) payments of interest for our revolving facility, at quarterly, one-month or three-month intervals, depending upon the type of borrowing, during the remaining term of the JPM Credit Facilities, with all principal and unpaid interest due at maturity, and (ii) principal under our term loan facility, in accordance with and on the dates specified in the amortization schedule set forth in the JPM Credit Agreement, through the JPM Term Maturity Date. In addition, our monthly interest rate obligation under our revolving facility is subject to rising interest rates. The JPM Credit Facilities are subject to acceleration pursuant to the JPM Credit Agreement, including upon an event of default. All of our obligations under the JPM Credit Facilities are secured by a first-priority lien and security interest in substantially all of our and our subsidiaries’ tangible and intangible assets, including intellectual property, and all of the equity interests in our subsidiaries.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current and projected cash, cash equivalents and accounts receivable may not be sufficient to repay all of our current outstanding debt obligations as they mature. If we are unable to maintain sufficient positive cash flows to repay our outstanding debt obligations as they mature, we would need to obtain additional financing in the amounts necessary to repay our outstanding debt obligations when due. If we are unable to repay our outstanding debt obligations when they mature, our creditors would be able to accelerate all of the amounts due and, in the case of the JPM Credit Facilities, seek to enforce their security interests, which could lead to our creditors taking immediate possession of and selling substantially all of our assets with no return provided to our stockholders.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Raising additional funds by issuing securities or through licensing or lending arrangements may cause dilution to our existing stockholders, restrict our operations or require us to relinquish proprietary rights.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Our cash and cash equivalents could be adversely affected if the financial institutions in which we hold our cash and cash equivalents fail.</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If we fail to maintain proper and effective internal control over financial reporting in the future, our ability to produce accurate and timely financial statements could be impaired, which could result in investors losing confidence in the accuracy and completeness of our financial statements, harm our operating results and negatively affect the market price of our common stock.</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Pursuant to Section 404 of the Sarbanes-Oxley Act of 2002 and related rules (the “Sarbanes-Oxley Act”), we are required to maintain internal control over financial reporting and our management is required to report on the effectiveness of our internal control over financial reporting, including any material weaknesses in such internal controls.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will need to implement further upgrades, to our financial, information and operating systems, implement additional financial and management controls, reporting systems and procedures and hire additional accounting and finance staff.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Because we became a large accelerated filer effective December 31, 2023, the Sarbanes-Oxley Act requires our independent registered public accounting firm to attest to the effectiveness of our internal control over financial reporting. Our transition to large accelerated filer status and becoming subject to additional requirements of the Sarbanes-Oxley Act has been and will continue to be time-consuming, and there is a risk of noncompliance. In addition, as a large accelerated filer, we have incurred and anticipate incurring additional fees due to the increased complexity of our financial statements and the additional efforts required by our status, including, but not limited to, higher accounting and auditor costs. Further, the costs associated with the compliance with and implementation of procedures under these and future laws and related rules could have a material impact on our results of operations.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Consequently, we have incurred increased costs related to our compliance with Section 404 of the Sarbanes-Oxley Act and will continue to do so. Our Audit Committee has retained the services of BDO, a Sarbanes-Oxley advisor, to assist with our internal control over financial reporting and information technology related to the Sarbanes-Oxley Act. Moreover, if we have a material weakness in our internal control over financial reporting, we may not detect errors on a timely basis and our financial statements may be materially misstated. If we identify material weaknesses in our internal control over financial reporting, if we are unable to comply with the requirements of Section 404 of the Sarbanes-Oxley Act in a timely manner, if we are unable to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In addition, we could become subject to investigations by any stock exchange on which our securities are listed, the SEC or other regulatory authorities, which could require additional financial and management resources, which could have an adverse impact on our business. </w:t>
      </w:r>
    </w:p>
    <w:p>
      <w:pPr>
        <w:pStyle w:val="TextBody"/>
        <w:bidi w:val="0"/>
        <w:spacing w:before="0" w:after="0"/>
        <w:jc w:val="both"/>
        <w:rPr/>
      </w:pPr>
      <w:r>
        <w:rPr/>
        <w:t xml:space="preserve">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Our ability to use our NOLs may be limited.</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have incurred substantial losses during our history. As of December 31, 2025, we had federal and state NOLs of $265.6 million and $176.9 million, respectively. Federal and state NOLs of approximately $33.4 million and $62.0 million, respectively, will begin to expire at various dates beginning in 2029,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("Section 382") imposes limitations on a company’s ability to use NOLs upon certain changes in such ownership. If we are limited in our ability to use our NOLs in future years in which we have taxable income, we will pay more taxes than if we were able to fully utilize our NOLs. The acquisition transaction that we completed in June 2017 resulted in a change in ownership of the Company under Section 382 and, as a result, we were required to write off $57.6 million of federal NOLs. In October 2021, we completed a public offering of our common stock whereby we issued 57,500,000 shares of our common stock resulting in another change of ownership for ADMA under section 382 of the Code, resulting in an additional write-off of $3.0 million of federal NOLs, $28.1 million of state NOLs and $1.0 million of research and development credits. Although we did not experience any ownership changes for the years ended December 31, 2025, 2024 and 2023, we may experience ownership changes in the future as a result of subsequent changes in our stock ownership that we cannot predict or control that could result in further limitations being placed on our ability to utilize our federal NOLs.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Fluctuations in our tax obligations and effective tax rate and realization of our net deferred tax assets may result in volatility of our operating results and materially impact our financial condition or financial results.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are subject to taxes by the U.S. federal, state, and local tax authorities. We record income tax expense based on our estimates of future payments, which may include the recording of, or adjustments to, liabilities for uncertain tax positions, and the determination of a need for a valuation allowance related to our net deferred tax assets. In addition, at any one time, multiple tax years may be subject to audit by various tax authorities. The results of these audits and negotiations with taxing authorities may affect the ultimate settlement of these issues and impact our results of operations. For fiscal year 2026 and beyond, there could be ongoing variability in our effective tax rate as events occur and exposures are evaluated. The volatility of our future effective tax rate could be materially impacted by a number of factors, including: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changes in our assessment of the lack of a need for a valuation allowance on our deferred tax assets; or </w: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228600" cy="175260"/>
                <wp:effectExtent l="0" t="0" r="0" b="0"/>
                <wp:wrapSquare wrapText="right"/>
                <wp:docPr id="159" name="Frame15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changes in U.S. federal, state and local tax rates, tax laws, regulations, or interpretations thereof. </w:t>
      </w:r>
      <w:r>
        <mc:AlternateContent>
          <mc:Choice Requires="wps">
            <w:drawing>
              <wp:anchor behindDoc="0" distT="0" distB="0" distL="0" distR="0" simplePos="0" locked="0" layoutInCell="1" allowOverlap="1" relativeHeight="161">
                <wp:simplePos x="0" y="0"/>
                <wp:positionH relativeFrom="column">
                  <wp:align>left</wp:align>
                </wp:positionH>
                <wp:positionV relativeFrom="line">
                  <wp:posOffset>635</wp:posOffset>
                </wp:positionV>
                <wp:extent cx="228600" cy="175260"/>
                <wp:effectExtent l="0" t="0" r="0" b="0"/>
                <wp:wrapSquare wrapText="right"/>
                <wp:docPr id="160" name="Frame16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addition, our effective tax rate in a given financial statement period may be materially impacted by a variety of other factors including, but not limited to, changes in the mix and level of earnings, changes in the states and other jurisdictions in which we operate, and deductible expenses and limitations on the use of NOLs resulting from ownership changes. Further, tax legislation may be enacted or amended, as applicable, in the future which could materially impact our current or future tax structure and effective tax rates. We may be subject to audits of our income, sales, and other transaction taxes by U.S. federal, state, and local taxing authorities. Outcomes from these audits could have a material effect on our financial condition or financial results.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sz w:val="20"/>
        </w:rPr>
        <w:t>Risks Associated with our Common Stock</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The market price of our common stock may be volatile and may fluctuate in a way that is disproportionate to our operating performance.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stock price may experience substantial volatility as a result of a number of factors, including: </w: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sales or potential sales of substantial amounts of our common stock; </w:t>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228600" cy="175260"/>
                <wp:effectExtent l="0" t="0" r="0" b="0"/>
                <wp:wrapSquare wrapText="right"/>
                <wp:docPr id="161" name="Frame16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delay or failure in initiating or completing preclinical or clinical trials or unsatisfactory results of these trials; </w: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228600" cy="175260"/>
                <wp:effectExtent l="0" t="0" r="0" b="0"/>
                <wp:wrapSquare wrapText="right"/>
                <wp:docPr id="162" name="Frame16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delay in a decision by federal, state or local business regulatory authority; </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228600" cy="175260"/>
                <wp:effectExtent l="0" t="0" r="0" b="0"/>
                <wp:wrapSquare wrapText="right"/>
                <wp:docPr id="163" name="Frame16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timing of acceptance, third-party reimbursement and sales of BIVIGAM and ASCENIV; </w: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228600" cy="175260"/>
                <wp:effectExtent l="0" t="0" r="0" b="0"/>
                <wp:wrapSquare wrapText="right"/>
                <wp:docPr id="164" name="Frame16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announcements about us or about our competitors, including clinical trial results, regulatory approvals or new product introductions; </w: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228600" cy="175260"/>
                <wp:effectExtent l="0" t="0" r="0" b="0"/>
                <wp:wrapSquare wrapText="right"/>
                <wp:docPr id="165" name="Frame16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developments concerning our licensors or third-party vendors; </w:t>
      </w:r>
      <w:r>
        <mc:AlternateContent>
          <mc:Choice Requires="wps">
            <w:drawing>
              <wp:anchor behindDoc="0" distT="0" distB="0" distL="0" distR="0" simplePos="0" locked="0" layoutInCell="1" allowOverlap="1" relativeHeight="167">
                <wp:simplePos x="0" y="0"/>
                <wp:positionH relativeFrom="column">
                  <wp:align>left</wp:align>
                </wp:positionH>
                <wp:positionV relativeFrom="line">
                  <wp:posOffset>635</wp:posOffset>
                </wp:positionV>
                <wp:extent cx="228600" cy="175260"/>
                <wp:effectExtent l="0" t="0" r="0" b="0"/>
                <wp:wrapSquare wrapText="right"/>
                <wp:docPr id="166" name="Frame16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litigation and other developments relating to our patents or other proprietary rights or those of our competitors; </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228600" cy="175260"/>
                <wp:effectExtent l="0" t="0" r="0" b="0"/>
                <wp:wrapSquare wrapText="right"/>
                <wp:docPr id="167" name="Frame16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conditions in the pharmaceutical or biotechnology industries; </w:t>
      </w:r>
      <w:r>
        <mc:AlternateContent>
          <mc:Choice Requires="wps">
            <w:drawing>
              <wp:anchor behindDoc="0" distT="0" distB="0" distL="0" distR="0" simplePos="0" locked="0" layoutInCell="1" allowOverlap="1" relativeHeight="169">
                <wp:simplePos x="0" y="0"/>
                <wp:positionH relativeFrom="column">
                  <wp:align>left</wp:align>
                </wp:positionH>
                <wp:positionV relativeFrom="line">
                  <wp:posOffset>635</wp:posOffset>
                </wp:positionV>
                <wp:extent cx="228600" cy="175260"/>
                <wp:effectExtent l="0" t="0" r="0" b="0"/>
                <wp:wrapSquare wrapText="right"/>
                <wp:docPr id="168" name="Frame16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governmental regulation and legislation; </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228600" cy="175260"/>
                <wp:effectExtent l="0" t="0" r="0" b="0"/>
                <wp:wrapSquare wrapText="right"/>
                <wp:docPr id="169" name="Frame16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overall market volatility; </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228600" cy="175260"/>
                <wp:effectExtent l="0" t="0" r="0" b="0"/>
                <wp:wrapSquare wrapText="right"/>
                <wp:docPr id="170" name="Frame17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global and economic uncertainty; </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228600" cy="175260"/>
                <wp:effectExtent l="0" t="0" r="0" b="0"/>
                <wp:wrapSquare wrapText="right"/>
                <wp:docPr id="171" name="Frame17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variations in our anticipated or actual operating results; </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228600" cy="175260"/>
                <wp:effectExtent l="0" t="0" r="0" b="0"/>
                <wp:wrapSquare wrapText="right"/>
                <wp:docPr id="172" name="Frame17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change in securities analysts’ estimates of our performance, or our failure to meet analysts’ expectations; and </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228600" cy="175260"/>
                <wp:effectExtent l="0" t="0" r="0" b="0"/>
                <wp:wrapSquare wrapText="right"/>
                <wp:docPr id="173" name="Frame17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360" w:right="0" w:hanging="0"/>
        <w:jc w:val="left"/>
        <w:rPr/>
      </w:pPr>
      <w:r>
        <w:rPr/>
        <w:t xml:space="preserve">● </w:t>
      </w:r>
    </w:p>
    <w:p>
      <w:pPr>
        <w:pStyle w:val="TextBody"/>
        <w:bidi w:val="0"/>
        <w:spacing w:before="0" w:after="0"/>
        <w:ind w:left="720" w:right="0" w:hanging="0"/>
        <w:jc w:val="both"/>
        <w:rPr>
          <w:rFonts w:ascii="Times New Roman" w:hAnsi="Times New Roman"/>
          <w:sz w:val="20"/>
        </w:rPr>
      </w:pPr>
      <w:r>
        <w:rPr>
          <w:rFonts w:ascii="Times New Roman" w:hAnsi="Times New Roman"/>
          <w:sz w:val="20"/>
        </w:rPr>
        <w:t xml:space="preserve">publications of negative or speculative reports by short sellers. </w:t>
      </w:r>
    </w:p>
    <w:p>
      <w:pPr>
        <w:pStyle w:val="TextBody"/>
        <w:bidi w:val="0"/>
        <w:spacing w:before="0" w:after="0"/>
        <w:jc w:val="both"/>
        <w:rPr/>
      </w:pPr>
      <w:r>
        <w:rPr/>
        <w:t> </w:t>
      </w:r>
    </w:p>
    <w:p>
      <w:pPr>
        <w:pStyle w:val="TextBody"/>
        <w:bidi w:val="0"/>
        <w:spacing w:before="0" w:after="0"/>
        <w:jc w:val="both"/>
        <w:rPr/>
      </w:pPr>
      <w:r>
        <w:rPr/>
        <w:t xml:space="preserve">              </w:t>
      </w:r>
      <w:r>
        <w:rPr>
          <w:rFonts w:ascii="Times New Roman" w:hAnsi="Times New Roman"/>
          <w:sz w:val="20"/>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pStyle w:val="TextBody"/>
        <w:bidi w:val="0"/>
        <w:spacing w:before="0" w:after="0"/>
        <w:jc w:val="both"/>
        <w:rPr/>
      </w:pPr>
      <w:r>
        <w:rPr/>
        <w:t>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Sales of a substantial number of shares of our common stock, or the perception that such sales may occur, may adversely affect the market price of our common stock.</w:t>
      </w:r>
    </w:p>
    <w:p>
      <w:pPr>
        <w:pStyle w:val="TextBody"/>
        <w:bidi w:val="0"/>
        <w:spacing w:before="0" w:after="0"/>
        <w:jc w:val="left"/>
        <w:rPr/>
      </w:pPr>
      <w:r>
        <w:rPr/>
        <w:t> </w:t>
      </w:r>
    </w:p>
    <w:p>
      <w:pPr>
        <w:pStyle w:val="TextBody"/>
        <w:bidi w:val="0"/>
        <w:spacing w:before="0" w:after="0"/>
        <w:ind w:left="0" w:right="0" w:hanging="0"/>
        <w:jc w:val="both"/>
        <w:rPr/>
      </w:pPr>
      <w:r>
        <w:rPr/>
        <w:t>               </w:t>
      </w:r>
      <w:r>
        <w:rPr>
          <w:rFonts w:ascii="Times New Roman" w:hAnsi="Times New Roman"/>
          <w:sz w:val="20"/>
        </w:rPr>
        <w:t>As of July 31, 2026, most of our 223,984,680 outstanding shares of common stock,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pStyle w:val="TextBody"/>
        <w:bidi w:val="0"/>
        <w:spacing w:before="0" w:after="0"/>
        <w:ind w:left="0" w:right="0" w:firstLine="72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Our affiliates control a substantial amount of our shares of common stock. Provisions in our Second Amended and Restated Certificate of Incorporation, as amended (the “Certificate of Incorporation”), our Amended and Restated Bylaws (the “Bylaws”) and Delaware law might discourage, delay or prevent a change in control of our Company or changes in our management and, therefore, depress the trading price of our common stock.</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2"/>
        </w:rPr>
      </w:pPr>
      <w:r>
        <w:rPr>
          <w:rFonts w:ascii="Times New Roman" w:hAnsi="Times New Roman"/>
          <w:sz w:val="20"/>
        </w:rPr>
        <w:t>As of June 30, 2026, BlackRock, Inc., State Street Corporation, Invesco Ltd., Vanguard Capital Management LLC</w:t>
      </w:r>
      <w:r>
        <w:rPr>
          <w:rFonts w:ascii="Times New Roman" w:hAnsi="Times New Roman"/>
          <w:sz w:val="22"/>
        </w:rPr>
        <w:t xml:space="preserve"> </w:t>
      </w:r>
      <w:r>
        <w:rPr>
          <w:rFonts w:ascii="Times New Roman" w:hAnsi="Times New Roman"/>
          <w:sz w:val="20"/>
        </w:rPr>
        <w:t>and our directors and executive officers and their affiliates owned approximately 30%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pStyle w:val="TextBody"/>
        <w:bidi w:val="0"/>
        <w:spacing w:before="0" w:after="0"/>
        <w:ind w:left="0" w:right="0" w:firstLine="720"/>
        <w:jc w:val="both"/>
        <w:rPr/>
      </w:pPr>
      <w:r>
        <w:rPr/>
        <w:t>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inability of stockholders to call special meetings; </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228600" cy="175260"/>
                <wp:effectExtent l="0" t="0" r="0" b="0"/>
                <wp:wrapSquare wrapText="right"/>
                <wp:docPr id="174" name="Frame17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classification of our Board and limitation on filling of vacancies could make it more difficult for a third party to acquire, or discourage a third party from seeking to acquire, control of our Company; and </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228600" cy="175260"/>
                <wp:effectExtent l="0" t="0" r="0" b="0"/>
                <wp:wrapSquare wrapText="right"/>
                <wp:docPr id="175" name="Frame17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authorization of the issuance of “blank check” preferred stock, with such designation rights and preferences as may be determined from time to time by the Board, without any need for action by stockholders. </w: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228600" cy="175260"/>
                <wp:effectExtent l="0" t="0" r="0" b="0"/>
                <wp:wrapSquare wrapText="right"/>
                <wp:docPr id="176" name="Frame17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We have never paid cash dividends and do not intend to pay cash dividends in the foreseeable future. As a result, capital appreciation, if any, will be your sole source of gain.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JPM Credit Agreement prohibits us from paying dividends. As a result, capital appreciation, if any, of our common stock will be your sole source of gain for the foreseeable future. </w:t>
      </w:r>
    </w:p>
    <w:p>
      <w:pPr>
        <w:pStyle w:val="TextBody"/>
        <w:bidi w:val="0"/>
        <w:spacing w:before="0" w:after="0"/>
        <w:jc w:val="both"/>
        <w:rPr/>
      </w:pPr>
      <w:r>
        <w:rPr/>
        <w:t xml:space="preserve">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Provisions in our charter documents could prevent or delay stockholders’ attempts to takeover our company.</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2"/>
        </w:rPr>
      </w:pPr>
      <w:r>
        <w:rPr>
          <w:rFonts w:ascii="Times New Roman" w:hAnsi="Times New Roman"/>
          <w:sz w:val="20"/>
        </w:rPr>
        <w:t>Our Board is authorized to issue “blank check” preferred stock, with designations, rights and preferences as they may</w:t>
      </w:r>
      <w:r>
        <w:rPr>
          <w:rFonts w:ascii="Times New Roman" w:hAnsi="Times New Roman"/>
          <w:sz w:val="22"/>
        </w:rPr>
        <w:t xml:space="preserve"> </w:t>
      </w:r>
      <w:r>
        <w:rPr>
          <w:rFonts w:ascii="Times New Roman" w:hAnsi="Times New Roman"/>
          <w:sz w:val="20"/>
        </w:rPr>
        <w:t>determine. Accordingly, our Board may in the future, without stockholder approval, issue shares of preferred stock with dividend, liquidation, conversion, voting or other rights that could</w:t>
      </w:r>
      <w:r>
        <w:rPr>
          <w:rFonts w:ascii="Times New Roman" w:hAnsi="Times New Roman"/>
          <w:sz w:val="22"/>
        </w:rPr>
        <w:t xml:space="preserve"> </w:t>
      </w:r>
      <w:r>
        <w:rPr>
          <w:rFonts w:ascii="Times New Roman" w:hAnsi="Times New Roman"/>
          <w:sz w:val="20"/>
        </w:rPr>
        <w:t>adversely affect</w:t>
      </w:r>
      <w:r>
        <w:rPr>
          <w:rFonts w:ascii="Times New Roman" w:hAnsi="Times New Roman"/>
          <w:sz w:val="22"/>
        </w:rPr>
        <w:t xml:space="preserve"> </w:t>
      </w:r>
      <w:r>
        <w:rPr>
          <w:rFonts w:ascii="Times New Roman" w:hAnsi="Times New Roman"/>
          <w:sz w:val="20"/>
        </w:rPr>
        <w:t>the voting power or other rights of the holders of our common stock.</w:t>
      </w:r>
      <w:r>
        <w:rPr>
          <w:rFonts w:ascii="Times New Roman" w:hAnsi="Times New Roman"/>
          <w:sz w:val="22"/>
        </w:rPr>
        <w:t xml:space="preserve"> </w:t>
      </w:r>
      <w:r>
        <w:rPr>
          <w:rFonts w:ascii="Times New Roman" w:hAnsi="Times New Roman"/>
          <w:sz w:val="20"/>
        </w:rPr>
        <w:t>This type of preferred stock could also be issued to discourage, delay, or prevent a change in our control. The ability to issue “blank check” preferred stock is a traditional anti-takeover measure. This provision in our charter documents makes it difficult for a majority stockholder to gain control of our company. Provisions like this may be beneficial to our management and our Board in a hostile tender offer and may have an adverse impact on stockholders who may want to participate in such a tender offer.</w:t>
      </w:r>
    </w:p>
    <w:p>
      <w:pPr>
        <w:pStyle w:val="TextBody"/>
        <w:bidi w:val="0"/>
        <w:spacing w:before="0" w:after="0"/>
        <w:jc w:val="left"/>
        <w:rPr/>
      </w:pPr>
      <w:r>
        <w:rPr/>
        <w:t> </w:t>
      </w:r>
    </w:p>
    <w:p>
      <w:pPr>
        <w:pStyle w:val="TextBody"/>
        <w:bidi w:val="0"/>
        <w:spacing w:before="0" w:after="0"/>
        <w:ind w:left="0" w:right="0" w:hanging="1440"/>
        <w:jc w:val="left"/>
        <w:rPr>
          <w:rFonts w:ascii="Times New Roman" w:hAnsi="Times New Roman"/>
          <w:b/>
          <w:sz w:val="20"/>
        </w:rPr>
      </w:pPr>
      <w:bookmarkStart w:id="21" w:name="Unregistered_Sales_of_Equity_Securities_"/>
      <w:bookmarkEnd w:id="21"/>
      <w:r>
        <w:rPr>
          <w:rFonts w:ascii="Times New Roman" w:hAnsi="Times New Roman"/>
          <w:b/>
          <w:sz w:val="20"/>
        </w:rPr>
        <w:t xml:space="preserve">Unregistered Sales of Equity Securities and Use of Proceeds. </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914400" cy="175260"/>
                <wp:effectExtent l="0" t="0" r="0" b="0"/>
                <wp:wrapSquare wrapText="right"/>
                <wp:docPr id="177" name="Frame17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Item 2.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Item 2.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Repurchases of Equity Securities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May 2025, the Board authorized a share repurchase program of up to $500.0 million of our outstanding shares of common stock (the “Repurchase Program”). The Repurchase Program does not obligate us to acquire any particular amount of our common stock, and may be modified, suspended, or terminated at any time. The Repurchase Program has no expiration date.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During the three and six months ended June 30, 2026, in addition to the shares repurchased under the ASR Agreement, we repurchased 2,723,659 and 3,055,207 shares of common stock under the Repurchase Program at a total cost of $25.1 million and $30.2 million, respectively.</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Accelerated Share Repurchase Program</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March 2, 2026, we entered into the ASR Agreement with JPMorgan to repurchase $125.0 million of shares of our common stock under the Repurchase Program. During the three and six months ended June 30, 2026, we received 4,337,879 and 10,760,487 shares of common stock, respectively, pursuant to the terms of the ASR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table below reflects shares of common stock we repurchased during the second quarter of 2026: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28" w:type="dxa"/>
          <w:right w:w="0" w:type="dxa"/>
        </w:tblCellMar>
      </w:tblPr>
      <w:tblGrid>
        <w:gridCol w:w="1848"/>
        <w:gridCol w:w="90"/>
        <w:gridCol w:w="90"/>
        <w:gridCol w:w="1681"/>
        <w:gridCol w:w="90"/>
        <w:gridCol w:w="90"/>
        <w:gridCol w:w="170"/>
        <w:gridCol w:w="1702"/>
        <w:gridCol w:w="90"/>
        <w:gridCol w:w="90"/>
        <w:gridCol w:w="90"/>
        <w:gridCol w:w="1766"/>
        <w:gridCol w:w="90"/>
        <w:gridCol w:w="90"/>
        <w:gridCol w:w="170"/>
        <w:gridCol w:w="1921"/>
        <w:gridCol w:w="137"/>
      </w:tblGrid>
      <w:tr>
        <w:trPr/>
        <w:tc>
          <w:tcPr>
            <w:tcW w:w="1848" w:type="dxa"/>
            <w:tcBorders>
              <w:bottom w:val="single" w:sz="6" w:space="0" w:color="000000"/>
            </w:tcBorders>
            <w:vAlign w:val="center"/>
          </w:tcPr>
          <w:p>
            <w:pPr>
              <w:pStyle w:val="TableContents"/>
              <w:bidi w:val="0"/>
              <w:spacing w:before="0" w:after="283"/>
              <w:jc w:val="center"/>
              <w:rPr/>
            </w:pPr>
            <w:r>
              <w:rPr>
                <w:b/>
              </w:rPr>
              <w:t>For the Month Ended</w:t>
            </w:r>
            <w:r>
              <w:rPr/>
              <w:t xml:space="preserve"> </w:t>
            </w:r>
          </w:p>
        </w:tc>
        <w:tc>
          <w:tcPr>
            <w:tcW w:w="90" w:type="dxa"/>
            <w:tcBorders/>
            <w:tcMar>
              <w:bottom w:w="0" w:type="dxa"/>
            </w:tcMar>
            <w:vAlign w:val="center"/>
          </w:tcPr>
          <w:p>
            <w:pPr>
              <w:pStyle w:val="TableContents"/>
              <w:bidi w:val="0"/>
              <w:spacing w:before="0" w:after="283"/>
              <w:jc w:val="center"/>
              <w:rPr/>
            </w:pPr>
            <w:r>
              <w:rPr/>
              <w:t> </w:t>
            </w:r>
          </w:p>
        </w:tc>
        <w:tc>
          <w:tcPr>
            <w:tcW w:w="90" w:type="dxa"/>
            <w:tcBorders>
              <w:bottom w:val="single" w:sz="6" w:space="0" w:color="000000"/>
            </w:tcBorders>
            <w:vAlign w:val="center"/>
          </w:tcPr>
          <w:p>
            <w:pPr>
              <w:pStyle w:val="TableContents"/>
              <w:bidi w:val="0"/>
              <w:spacing w:before="0" w:after="283"/>
              <w:jc w:val="center"/>
              <w:rPr/>
            </w:pPr>
            <w:r>
              <w:rPr/>
              <w:t> </w:t>
            </w:r>
          </w:p>
        </w:tc>
        <w:tc>
          <w:tcPr>
            <w:tcW w:w="1681" w:type="dxa"/>
            <w:tcBorders>
              <w:bottom w:val="single" w:sz="6" w:space="0" w:color="000000"/>
            </w:tcBorders>
            <w:vAlign w:val="center"/>
          </w:tcPr>
          <w:p>
            <w:pPr>
              <w:pStyle w:val="TableContents"/>
              <w:bidi w:val="0"/>
              <w:spacing w:before="0" w:after="283"/>
              <w:jc w:val="center"/>
              <w:rPr/>
            </w:pPr>
            <w:r>
              <w:rPr>
                <w:b/>
              </w:rPr>
              <w:t xml:space="preserve">Total Number of </w:t>
              <w:br/>
              <w:t>Shares Purchased</w:t>
            </w:r>
            <w:r>
              <w:rPr/>
              <w:t xml:space="preserve"> </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70" w:type="dxa"/>
            <w:tcBorders>
              <w:bottom w:val="single" w:sz="6" w:space="0" w:color="000000"/>
            </w:tcBorders>
            <w:vAlign w:val="center"/>
          </w:tcPr>
          <w:p>
            <w:pPr>
              <w:pStyle w:val="TableContents"/>
              <w:bidi w:val="0"/>
              <w:spacing w:before="0" w:after="283"/>
              <w:jc w:val="center"/>
              <w:rPr/>
            </w:pPr>
            <w:r>
              <w:rPr/>
              <w:t> </w:t>
            </w:r>
          </w:p>
        </w:tc>
        <w:tc>
          <w:tcPr>
            <w:tcW w:w="1702" w:type="dxa"/>
            <w:tcBorders>
              <w:bottom w:val="single" w:sz="6" w:space="0" w:color="000000"/>
            </w:tcBorders>
            <w:vAlign w:val="center"/>
          </w:tcPr>
          <w:p>
            <w:pPr>
              <w:pStyle w:val="TableContents"/>
              <w:bidi w:val="0"/>
              <w:spacing w:before="0" w:after="283"/>
              <w:jc w:val="center"/>
              <w:rPr/>
            </w:pPr>
            <w:r>
              <w:rPr>
                <w:b/>
              </w:rPr>
              <w:t xml:space="preserve">Average Price Paid </w:t>
              <w:br/>
              <w:t>per Share</w:t>
            </w:r>
            <w:r>
              <w:rPr/>
              <w:t xml:space="preserve"> (1)</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90" w:type="dxa"/>
            <w:tcBorders>
              <w:bottom w:val="single" w:sz="6" w:space="0" w:color="000000"/>
            </w:tcBorders>
            <w:vAlign w:val="center"/>
          </w:tcPr>
          <w:p>
            <w:pPr>
              <w:pStyle w:val="TableContents"/>
              <w:bidi w:val="0"/>
              <w:spacing w:before="0" w:after="283"/>
              <w:jc w:val="center"/>
              <w:rPr/>
            </w:pPr>
            <w:r>
              <w:rPr/>
              <w:t> </w:t>
            </w:r>
          </w:p>
        </w:tc>
        <w:tc>
          <w:tcPr>
            <w:tcW w:w="1766" w:type="dxa"/>
            <w:tcBorders>
              <w:bottom w:val="single" w:sz="6" w:space="0" w:color="000000"/>
            </w:tcBorders>
            <w:vAlign w:val="center"/>
          </w:tcPr>
          <w:p>
            <w:pPr>
              <w:pStyle w:val="TableContents"/>
              <w:bidi w:val="0"/>
              <w:spacing w:before="0" w:after="283"/>
              <w:jc w:val="center"/>
              <w:rPr/>
            </w:pPr>
            <w:r>
              <w:rPr>
                <w:b/>
              </w:rPr>
              <w:t xml:space="preserve">Total Number of </w:t>
              <w:br/>
              <w:t xml:space="preserve">Shares Purchased </w:t>
              <w:br/>
              <w:t xml:space="preserve">as Part of Publicly </w:t>
              <w:br/>
              <w:t xml:space="preserve">Announced </w:t>
              <w:br/>
              <w:t>Plans or Programs</w:t>
            </w:r>
            <w:r>
              <w:rPr/>
              <w:t xml:space="preserve"> </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70" w:type="dxa"/>
            <w:tcBorders>
              <w:bottom w:val="single" w:sz="6" w:space="0" w:color="000000"/>
            </w:tcBorders>
            <w:vAlign w:val="center"/>
          </w:tcPr>
          <w:p>
            <w:pPr>
              <w:pStyle w:val="TableContents"/>
              <w:bidi w:val="0"/>
              <w:spacing w:before="0" w:after="283"/>
              <w:jc w:val="center"/>
              <w:rPr/>
            </w:pPr>
            <w:r>
              <w:rPr/>
              <w:t> </w:t>
            </w:r>
          </w:p>
        </w:tc>
        <w:tc>
          <w:tcPr>
            <w:tcW w:w="1921" w:type="dxa"/>
            <w:tcBorders>
              <w:bottom w:val="single" w:sz="6" w:space="0" w:color="000000"/>
            </w:tcBorders>
            <w:vAlign w:val="center"/>
          </w:tcPr>
          <w:p>
            <w:pPr>
              <w:pStyle w:val="TableContents"/>
              <w:bidi w:val="0"/>
              <w:spacing w:before="0" w:after="283"/>
              <w:jc w:val="center"/>
              <w:rPr/>
            </w:pPr>
            <w:r>
              <w:rPr>
                <w:b/>
              </w:rPr>
              <w:t xml:space="preserve">Approximate Dollar </w:t>
              <w:br/>
              <w:t>Value of shares that</w:t>
              <w:br/>
              <w:t>may yet be</w:t>
              <w:br/>
              <w:t xml:space="preserve">Purchased Under </w:t>
              <w:br/>
              <w:t xml:space="preserve">the Plans or </w:t>
              <w:br/>
              <w:t>Programs</w:t>
            </w:r>
            <w:r>
              <w:rPr/>
              <w:t xml:space="preserve"> (2)</w:t>
            </w:r>
          </w:p>
        </w:tc>
        <w:tc>
          <w:tcPr>
            <w:tcW w:w="137" w:type="dxa"/>
            <w:tcBorders/>
            <w:tcMar>
              <w:bottom w:w="0" w:type="dxa"/>
            </w:tcMar>
            <w:vAlign w:val="center"/>
          </w:tcPr>
          <w:p>
            <w:pPr>
              <w:pStyle w:val="TableContents"/>
              <w:bidi w:val="0"/>
              <w:spacing w:before="0" w:after="283"/>
              <w:jc w:val="center"/>
              <w:rPr/>
            </w:pPr>
            <w:r>
              <w:rPr/>
              <w:t> </w:t>
            </w:r>
          </w:p>
        </w:tc>
      </w:tr>
      <w:tr>
        <w:trPr/>
        <w:tc>
          <w:tcPr>
            <w:tcW w:w="1848" w:type="dxa"/>
            <w:tcBorders/>
            <w:shd w:fill="CCEEFF" w:val="clear"/>
            <w:tcMar>
              <w:bottom w:w="0" w:type="dxa"/>
            </w:tcMar>
            <w:vAlign w:val="center"/>
          </w:tcPr>
          <w:p>
            <w:pPr>
              <w:pStyle w:val="TableContents"/>
              <w:bidi w:val="0"/>
              <w:spacing w:before="0" w:after="0"/>
              <w:jc w:val="left"/>
              <w:rPr/>
            </w:pPr>
            <w:r>
              <w:rPr/>
              <w:t xml:space="preserve">April 30, 2026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81" w:type="dxa"/>
            <w:tcBorders/>
            <w:shd w:fill="CCEEFF" w:val="clear"/>
            <w:tcMar>
              <w:bottom w:w="0" w:type="dxa"/>
            </w:tcMar>
            <w:vAlign w:val="center"/>
          </w:tcPr>
          <w:p>
            <w:pPr>
              <w:pStyle w:val="TableContents"/>
              <w:bidi w:val="0"/>
              <w:spacing w:before="0" w:after="283"/>
              <w:jc w:val="right"/>
              <w:rPr/>
            </w:pPr>
            <w:r>
              <w:rPr/>
              <w:t>808,615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2" w:type="dxa"/>
            <w:tcBorders/>
            <w:shd w:fill="CCEEFF" w:val="clear"/>
            <w:tcMar>
              <w:bottom w:w="0" w:type="dxa"/>
            </w:tcMar>
            <w:vAlign w:val="center"/>
          </w:tcPr>
          <w:p>
            <w:pPr>
              <w:pStyle w:val="TableContents"/>
              <w:bidi w:val="0"/>
              <w:spacing w:before="0" w:after="283"/>
              <w:jc w:val="right"/>
              <w:rPr/>
            </w:pPr>
            <w:r>
              <w:rPr/>
              <w:t>10.83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6" w:type="dxa"/>
            <w:tcBorders/>
            <w:shd w:fill="CCEEFF" w:val="clear"/>
            <w:tcMar>
              <w:bottom w:w="0" w:type="dxa"/>
            </w:tcMar>
            <w:vAlign w:val="center"/>
          </w:tcPr>
          <w:p>
            <w:pPr>
              <w:pStyle w:val="TableContents"/>
              <w:bidi w:val="0"/>
              <w:spacing w:before="0" w:after="283"/>
              <w:jc w:val="right"/>
              <w:rPr/>
            </w:pPr>
            <w:r>
              <w:rPr/>
              <w:t>808,615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921" w:type="dxa"/>
            <w:tcBorders/>
            <w:shd w:fill="CCEEFF" w:val="clear"/>
            <w:tcMar>
              <w:bottom w:w="0" w:type="dxa"/>
            </w:tcMar>
            <w:vAlign w:val="center"/>
          </w:tcPr>
          <w:p>
            <w:pPr>
              <w:pStyle w:val="TableContents"/>
              <w:bidi w:val="0"/>
              <w:spacing w:before="0" w:after="283"/>
              <w:jc w:val="right"/>
              <w:rPr/>
            </w:pPr>
            <w:r>
              <w:rPr/>
              <w:t>348,913,050</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1848" w:type="dxa"/>
            <w:tcBorders/>
            <w:tcMar>
              <w:bottom w:w="0" w:type="dxa"/>
            </w:tcMar>
            <w:vAlign w:val="center"/>
          </w:tcPr>
          <w:p>
            <w:pPr>
              <w:pStyle w:val="TableContents"/>
              <w:bidi w:val="0"/>
              <w:spacing w:before="0" w:after="0"/>
              <w:jc w:val="left"/>
              <w:rPr/>
            </w:pPr>
            <w:r>
              <w:rPr/>
              <w:t xml:space="preserve">May 31, 2026 </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681" w:type="dxa"/>
            <w:tcBorders/>
            <w:tcMar>
              <w:bottom w:w="0" w:type="dxa"/>
            </w:tcMar>
            <w:vAlign w:val="center"/>
          </w:tcPr>
          <w:p>
            <w:pPr>
              <w:pStyle w:val="TableContents"/>
              <w:bidi w:val="0"/>
              <w:spacing w:before="0" w:after="283"/>
              <w:jc w:val="right"/>
              <w:rPr/>
            </w:pPr>
            <w:r>
              <w:rPr/>
              <w:t>5,770,688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w:t>
            </w:r>
          </w:p>
        </w:tc>
        <w:tc>
          <w:tcPr>
            <w:tcW w:w="1702" w:type="dxa"/>
            <w:tcBorders/>
            <w:tcMar>
              <w:bottom w:w="0" w:type="dxa"/>
            </w:tcMar>
            <w:vAlign w:val="center"/>
          </w:tcPr>
          <w:p>
            <w:pPr>
              <w:pStyle w:val="TableContents"/>
              <w:bidi w:val="0"/>
              <w:spacing w:before="0" w:after="283"/>
              <w:jc w:val="right"/>
              <w:rPr/>
            </w:pPr>
            <w:r>
              <w:rPr/>
              <w:t>5.60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766" w:type="dxa"/>
            <w:tcBorders/>
            <w:tcMar>
              <w:bottom w:w="0" w:type="dxa"/>
            </w:tcMar>
            <w:vAlign w:val="center"/>
          </w:tcPr>
          <w:p>
            <w:pPr>
              <w:pStyle w:val="TableContents"/>
              <w:bidi w:val="0"/>
              <w:spacing w:before="0" w:after="283"/>
              <w:jc w:val="right"/>
              <w:rPr/>
            </w:pPr>
            <w:r>
              <w:rPr/>
              <w:t>5,770,688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921" w:type="dxa"/>
            <w:tcBorders/>
            <w:tcMar>
              <w:bottom w:w="0" w:type="dxa"/>
            </w:tcMar>
            <w:vAlign w:val="center"/>
          </w:tcPr>
          <w:p>
            <w:pPr>
              <w:pStyle w:val="TableContents"/>
              <w:bidi w:val="0"/>
              <w:spacing w:before="0" w:after="283"/>
              <w:jc w:val="right"/>
              <w:rPr/>
            </w:pPr>
            <w:r>
              <w:rPr/>
              <w:t>316,615,369</w:t>
            </w:r>
          </w:p>
        </w:tc>
        <w:tc>
          <w:tcPr>
            <w:tcW w:w="137" w:type="dxa"/>
            <w:tcBorders/>
            <w:tcMar>
              <w:bottom w:w="0" w:type="dxa"/>
            </w:tcMar>
            <w:vAlign w:val="center"/>
          </w:tcPr>
          <w:p>
            <w:pPr>
              <w:pStyle w:val="TableContents"/>
              <w:bidi w:val="0"/>
              <w:spacing w:before="0" w:after="283"/>
              <w:jc w:val="left"/>
              <w:rPr/>
            </w:pPr>
            <w:r>
              <w:rPr/>
              <w:t> </w:t>
            </w:r>
          </w:p>
        </w:tc>
      </w:tr>
      <w:tr>
        <w:trPr/>
        <w:tc>
          <w:tcPr>
            <w:tcW w:w="1848" w:type="dxa"/>
            <w:tcBorders/>
            <w:shd w:fill="CCEEFF" w:val="clear"/>
            <w:tcMar>
              <w:bottom w:w="0" w:type="dxa"/>
            </w:tcMar>
            <w:vAlign w:val="center"/>
          </w:tcPr>
          <w:p>
            <w:pPr>
              <w:pStyle w:val="TableContents"/>
              <w:bidi w:val="0"/>
              <w:spacing w:before="0" w:after="0"/>
              <w:jc w:val="left"/>
              <w:rPr/>
            </w:pPr>
            <w:r>
              <w:rPr/>
              <w:t xml:space="preserve">June 30, 2026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90" w:type="dxa"/>
            <w:tcBorders>
              <w:bottom w:val="single" w:sz="6" w:space="0" w:color="000000"/>
            </w:tcBorders>
            <w:shd w:fill="CCEEFF" w:val="clear"/>
            <w:vAlign w:val="center"/>
          </w:tcPr>
          <w:p>
            <w:pPr>
              <w:pStyle w:val="TableContents"/>
              <w:bidi w:val="0"/>
              <w:spacing w:before="0" w:after="283"/>
              <w:jc w:val="left"/>
              <w:rPr/>
            </w:pPr>
            <w:r>
              <w:rPr/>
              <w:t> </w:t>
            </w:r>
          </w:p>
        </w:tc>
        <w:tc>
          <w:tcPr>
            <w:tcW w:w="1681" w:type="dxa"/>
            <w:tcBorders>
              <w:bottom w:val="single" w:sz="6" w:space="0" w:color="000000"/>
            </w:tcBorders>
            <w:shd w:fill="CCEEFF" w:val="clear"/>
            <w:vAlign w:val="center"/>
          </w:tcPr>
          <w:p>
            <w:pPr>
              <w:pStyle w:val="TableContents"/>
              <w:bidi w:val="0"/>
              <w:spacing w:before="0" w:after="283"/>
              <w:jc w:val="right"/>
              <w:rPr/>
            </w:pPr>
            <w:r>
              <w:rPr/>
              <w:t>482,235</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70" w:type="dxa"/>
            <w:tcBorders>
              <w:bottom w:val="single" w:sz="6" w:space="0" w:color="000000"/>
            </w:tcBorders>
            <w:shd w:fill="CCEEFF" w:val="clear"/>
            <w:vAlign w:val="center"/>
          </w:tcPr>
          <w:p>
            <w:pPr>
              <w:pStyle w:val="TableContents"/>
              <w:bidi w:val="0"/>
              <w:spacing w:before="0" w:after="283"/>
              <w:jc w:val="left"/>
              <w:rPr/>
            </w:pPr>
            <w:r>
              <w:rPr/>
              <w:t>$</w:t>
            </w:r>
          </w:p>
        </w:tc>
        <w:tc>
          <w:tcPr>
            <w:tcW w:w="1702" w:type="dxa"/>
            <w:tcBorders>
              <w:bottom w:val="single" w:sz="6" w:space="0" w:color="000000"/>
            </w:tcBorders>
            <w:shd w:fill="CCEEFF" w:val="clear"/>
            <w:vAlign w:val="center"/>
          </w:tcPr>
          <w:p>
            <w:pPr>
              <w:pStyle w:val="TableContents"/>
              <w:bidi w:val="0"/>
              <w:spacing w:before="0" w:after="283"/>
              <w:jc w:val="right"/>
              <w:rPr/>
            </w:pPr>
            <w:r>
              <w:rPr/>
              <w:t>7.88</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90" w:type="dxa"/>
            <w:tcBorders>
              <w:bottom w:val="single" w:sz="6" w:space="0" w:color="000000"/>
            </w:tcBorders>
            <w:shd w:fill="CCEEFF" w:val="clear"/>
            <w:vAlign w:val="center"/>
          </w:tcPr>
          <w:p>
            <w:pPr>
              <w:pStyle w:val="TableContents"/>
              <w:bidi w:val="0"/>
              <w:spacing w:before="0" w:after="283"/>
              <w:jc w:val="left"/>
              <w:rPr/>
            </w:pPr>
            <w:r>
              <w:rPr/>
              <w:t> </w:t>
            </w:r>
          </w:p>
        </w:tc>
        <w:tc>
          <w:tcPr>
            <w:tcW w:w="1766" w:type="dxa"/>
            <w:tcBorders>
              <w:bottom w:val="single" w:sz="6" w:space="0" w:color="000000"/>
            </w:tcBorders>
            <w:shd w:fill="CCEEFF" w:val="clear"/>
            <w:vAlign w:val="center"/>
          </w:tcPr>
          <w:p>
            <w:pPr>
              <w:pStyle w:val="TableContents"/>
              <w:bidi w:val="0"/>
              <w:spacing w:before="0" w:after="283"/>
              <w:jc w:val="right"/>
              <w:rPr/>
            </w:pPr>
            <w:r>
              <w:rPr/>
              <w:t>482,235</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921" w:type="dxa"/>
            <w:tcBorders/>
            <w:shd w:fill="CCEEFF" w:val="clear"/>
            <w:tcMar>
              <w:bottom w:w="0" w:type="dxa"/>
            </w:tcMar>
            <w:vAlign w:val="center"/>
          </w:tcPr>
          <w:p>
            <w:pPr>
              <w:pStyle w:val="TableContents"/>
              <w:bidi w:val="0"/>
              <w:spacing w:before="0" w:after="283"/>
              <w:jc w:val="right"/>
              <w:rPr/>
            </w:pPr>
            <w:r>
              <w:rPr/>
              <w:t>312,814,488</w:t>
            </w:r>
          </w:p>
        </w:tc>
        <w:tc>
          <w:tcPr>
            <w:tcW w:w="137"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1848" w:type="dxa"/>
            <w:tcBorders/>
            <w:tcMar>
              <w:bottom w:w="0" w:type="dxa"/>
            </w:tcMar>
            <w:vAlign w:val="center"/>
          </w:tcPr>
          <w:p>
            <w:pPr>
              <w:pStyle w:val="TableContents"/>
              <w:bidi w:val="0"/>
              <w:spacing w:before="0" w:after="0"/>
              <w:jc w:val="left"/>
              <w:rPr/>
            </w:pPr>
            <w:r>
              <w:rPr/>
              <w:t xml:space="preserve">Total </w:t>
            </w:r>
          </w:p>
        </w:tc>
        <w:tc>
          <w:tcPr>
            <w:tcW w:w="90" w:type="dxa"/>
            <w:tcBorders/>
            <w:tcMar>
              <w:bottom w:w="0" w:type="dxa"/>
            </w:tcMar>
            <w:vAlign w:val="center"/>
          </w:tcPr>
          <w:p>
            <w:pPr>
              <w:pStyle w:val="TableContents"/>
              <w:bidi w:val="0"/>
              <w:spacing w:before="0" w:after="283"/>
              <w:jc w:val="center"/>
              <w:rPr/>
            </w:pPr>
            <w:r>
              <w:rPr/>
              <w:t> </w:t>
            </w:r>
          </w:p>
        </w:tc>
        <w:tc>
          <w:tcPr>
            <w:tcW w:w="90" w:type="dxa"/>
            <w:tcBorders>
              <w:bottom w:val="single" w:sz="6" w:space="0" w:color="000000"/>
            </w:tcBorders>
            <w:vAlign w:val="center"/>
          </w:tcPr>
          <w:p>
            <w:pPr>
              <w:pStyle w:val="TableContents"/>
              <w:bidi w:val="0"/>
              <w:spacing w:before="0" w:after="283"/>
              <w:jc w:val="left"/>
              <w:rPr/>
            </w:pPr>
            <w:r>
              <w:rPr/>
              <w:t> </w:t>
            </w:r>
          </w:p>
        </w:tc>
        <w:tc>
          <w:tcPr>
            <w:tcW w:w="1681" w:type="dxa"/>
            <w:tcBorders>
              <w:bottom w:val="single" w:sz="6" w:space="0" w:color="000000"/>
            </w:tcBorders>
            <w:vAlign w:val="center"/>
          </w:tcPr>
          <w:p>
            <w:pPr>
              <w:pStyle w:val="TableContents"/>
              <w:bidi w:val="0"/>
              <w:spacing w:before="0" w:after="283"/>
              <w:jc w:val="right"/>
              <w:rPr>
                <w:b/>
              </w:rPr>
            </w:pPr>
            <w:r>
              <w:rPr>
                <w:b/>
              </w:rPr>
              <w:t>7,061,538</w:t>
            </w:r>
          </w:p>
        </w:tc>
        <w:tc>
          <w:tcPr>
            <w:tcW w:w="90" w:type="dxa"/>
            <w:tcBorders>
              <w:bottom w:val="double" w:sz="8" w:space="0" w:color="000000"/>
            </w:tcBorders>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right"/>
              <w:rPr/>
            </w:pPr>
            <w:r>
              <w:rPr/>
              <w:t> </w:t>
            </w:r>
          </w:p>
        </w:tc>
        <w:tc>
          <w:tcPr>
            <w:tcW w:w="170" w:type="dxa"/>
            <w:tcBorders>
              <w:bottom w:val="single" w:sz="6" w:space="0" w:color="000000"/>
            </w:tcBorders>
            <w:vAlign w:val="center"/>
          </w:tcPr>
          <w:p>
            <w:pPr>
              <w:pStyle w:val="TableContents"/>
              <w:bidi w:val="0"/>
              <w:spacing w:before="0" w:after="283"/>
              <w:jc w:val="left"/>
              <w:rPr>
                <w:b/>
              </w:rPr>
            </w:pPr>
            <w:r>
              <w:rPr>
                <w:b/>
              </w:rPr>
              <w:t>$</w:t>
            </w:r>
          </w:p>
        </w:tc>
        <w:tc>
          <w:tcPr>
            <w:tcW w:w="1702" w:type="dxa"/>
            <w:tcBorders>
              <w:bottom w:val="single" w:sz="6" w:space="0" w:color="000000"/>
            </w:tcBorders>
            <w:vAlign w:val="center"/>
          </w:tcPr>
          <w:p>
            <w:pPr>
              <w:pStyle w:val="TableContents"/>
              <w:bidi w:val="0"/>
              <w:spacing w:before="0" w:after="283"/>
              <w:jc w:val="right"/>
              <w:rPr>
                <w:b/>
              </w:rPr>
            </w:pPr>
            <w:r>
              <w:rPr>
                <w:b/>
              </w:rPr>
              <w:t>8.10</w:t>
            </w:r>
          </w:p>
        </w:tc>
        <w:tc>
          <w:tcPr>
            <w:tcW w:w="90" w:type="dxa"/>
            <w:tcBorders>
              <w:bottom w:val="double" w:sz="8" w:space="0" w:color="000000"/>
            </w:tcBorders>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center"/>
              <w:rPr/>
            </w:pPr>
            <w:r>
              <w:rPr/>
              <w:t> </w:t>
            </w:r>
          </w:p>
        </w:tc>
        <w:tc>
          <w:tcPr>
            <w:tcW w:w="90" w:type="dxa"/>
            <w:tcBorders>
              <w:bottom w:val="single" w:sz="6" w:space="0" w:color="000000"/>
            </w:tcBorders>
            <w:vAlign w:val="center"/>
          </w:tcPr>
          <w:p>
            <w:pPr>
              <w:pStyle w:val="TableContents"/>
              <w:bidi w:val="0"/>
              <w:spacing w:before="0" w:after="283"/>
              <w:jc w:val="left"/>
              <w:rPr/>
            </w:pPr>
            <w:r>
              <w:rPr/>
              <w:t> </w:t>
            </w:r>
          </w:p>
        </w:tc>
        <w:tc>
          <w:tcPr>
            <w:tcW w:w="1766" w:type="dxa"/>
            <w:tcBorders>
              <w:bottom w:val="single" w:sz="6" w:space="0" w:color="000000"/>
            </w:tcBorders>
            <w:vAlign w:val="center"/>
          </w:tcPr>
          <w:p>
            <w:pPr>
              <w:pStyle w:val="TableContents"/>
              <w:bidi w:val="0"/>
              <w:spacing w:before="0" w:after="283"/>
              <w:jc w:val="right"/>
              <w:rPr>
                <w:b/>
              </w:rPr>
            </w:pPr>
            <w:r>
              <w:rPr>
                <w:b/>
              </w:rPr>
              <w:t>7,061,538</w:t>
            </w:r>
          </w:p>
        </w:tc>
        <w:tc>
          <w:tcPr>
            <w:tcW w:w="90" w:type="dxa"/>
            <w:tcBorders>
              <w:bottom w:val="double" w:sz="8" w:space="0" w:color="000000"/>
            </w:tcBorders>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921"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108" w:right="0" w:hanging="0"/>
        <w:jc w:val="left"/>
        <w:rPr/>
      </w:pPr>
      <w:r>
        <w:rPr/>
        <w:t xml:space="preserve">  </w:t>
      </w:r>
    </w:p>
    <w:p>
      <w:pPr>
        <w:pStyle w:val="TextBody"/>
        <w:bidi w:val="0"/>
        <w:spacing w:before="0" w:after="0"/>
        <w:ind w:left="0" w:right="0" w:hanging="0"/>
        <w:jc w:val="left"/>
        <w:rPr>
          <w:rFonts w:ascii="Times New Roman" w:hAnsi="Times New Roman"/>
          <w:sz w:val="20"/>
        </w:rPr>
      </w:pPr>
      <w:r>
        <w:rPr>
          <w:rFonts w:ascii="Times New Roman" w:hAnsi="Times New Roman"/>
          <w:sz w:val="20"/>
        </w:rPr>
        <w:t>(1) Includes broker commissions.</w:t>
      </w:r>
    </w:p>
    <w:p>
      <w:pPr>
        <w:pStyle w:val="TextBody"/>
        <w:bidi w:val="0"/>
        <w:spacing w:before="0" w:after="0"/>
        <w:ind w:left="0" w:right="0" w:hanging="0"/>
        <w:jc w:val="left"/>
        <w:rPr>
          <w:rFonts w:ascii="Times New Roman" w:hAnsi="Times New Roman"/>
          <w:sz w:val="20"/>
        </w:rPr>
      </w:pPr>
      <w:r>
        <w:rPr>
          <w:rFonts w:ascii="Times New Roman" w:hAnsi="Times New Roman"/>
          <w:sz w:val="20"/>
        </w:rPr>
        <w:t>(2) Shares were repurchased pursuant to our share repurchase program publicly announced on May 5, 2025. There is no expiration date for this share repurchase program. The authorization to repurchase shares will end when we have repurchased the maximum number of shares authorized, or if we have determined to terminate such program.</w:t>
      </w:r>
    </w:p>
    <w:p>
      <w:pPr>
        <w:pStyle w:val="TextBody"/>
        <w:bidi w:val="0"/>
        <w:spacing w:before="0" w:after="0"/>
        <w:jc w:val="both"/>
        <w:rPr/>
      </w:pPr>
      <w:r>
        <w:rPr/>
        <w:t> </w:t>
      </w:r>
    </w:p>
    <w:p>
      <w:pPr>
        <w:pStyle w:val="TextBody"/>
        <w:bidi w:val="0"/>
        <w:spacing w:before="0" w:after="0"/>
        <w:ind w:left="0" w:right="0" w:hanging="1440"/>
        <w:jc w:val="left"/>
        <w:rPr>
          <w:rFonts w:ascii="Times New Roman" w:hAnsi="Times New Roman"/>
          <w:b/>
          <w:sz w:val="20"/>
        </w:rPr>
      </w:pPr>
      <w:bookmarkStart w:id="22" w:name="Defaults_Upon_Senior_Securities"/>
      <w:bookmarkEnd w:id="22"/>
      <w:r>
        <w:rPr>
          <w:rFonts w:ascii="Times New Roman" w:hAnsi="Times New Roman"/>
          <w:b/>
          <w:sz w:val="20"/>
        </w:rPr>
        <w:t xml:space="preserve">Defaults Upon Senior Securities. </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914400" cy="175260"/>
                <wp:effectExtent l="0" t="0" r="0" b="0"/>
                <wp:wrapSquare wrapText="right"/>
                <wp:docPr id="178" name="Frame178"/>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Item 3.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Item 3.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ind w:left="720" w:right="0" w:firstLine="72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xml:space="preserve">  </w:t>
      </w:r>
    </w:p>
    <w:p>
      <w:pPr>
        <w:pStyle w:val="TextBody"/>
        <w:bidi w:val="0"/>
        <w:spacing w:before="0" w:after="0"/>
        <w:ind w:left="0" w:right="0" w:hanging="1440"/>
        <w:jc w:val="left"/>
        <w:rPr>
          <w:rFonts w:ascii="Times New Roman" w:hAnsi="Times New Roman"/>
          <w:b/>
          <w:sz w:val="20"/>
        </w:rPr>
      </w:pPr>
      <w:bookmarkStart w:id="23" w:name="Mine_Safety_Disclosures"/>
      <w:bookmarkEnd w:id="23"/>
      <w:r>
        <w:rPr>
          <w:rFonts w:ascii="Times New Roman" w:hAnsi="Times New Roman"/>
          <w:b/>
          <w:sz w:val="20"/>
        </w:rPr>
        <w:t xml:space="preserve">Mine Safety Disclosures. </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914400" cy="175260"/>
                <wp:effectExtent l="0" t="0" r="0" b="0"/>
                <wp:wrapSquare wrapText="right"/>
                <wp:docPr id="179" name="Frame179"/>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Item 4.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Item 4.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ind w:left="720" w:right="0" w:firstLine="72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ind w:left="0" w:right="0" w:hanging="1440"/>
        <w:jc w:val="left"/>
        <w:rPr>
          <w:rFonts w:ascii="Times New Roman" w:hAnsi="Times New Roman"/>
          <w:b/>
          <w:sz w:val="20"/>
        </w:rPr>
      </w:pPr>
      <w:bookmarkStart w:id="24" w:name="Other_Information"/>
      <w:bookmarkEnd w:id="24"/>
      <w:r>
        <w:rPr>
          <w:rFonts w:ascii="Times New Roman" w:hAnsi="Times New Roman"/>
          <w:b/>
          <w:sz w:val="20"/>
        </w:rPr>
        <w:t xml:space="preserve">Other Information. </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914400" cy="175260"/>
                <wp:effectExtent l="0" t="0" r="0" b="0"/>
                <wp:wrapSquare wrapText="right"/>
                <wp:docPr id="180" name="Frame180"/>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Item 5.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Item 5.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Insider Trading Arrangements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directors and officers may from time to time enter into plans or other arrangements for the purchase or sale of our common stock that are intended to satisfy the affirmative defense conditions of Rule 10b5-1(c) or may represent a non-Rule 10b5-1 trading arrangement under the Exchange Act. During the quarter ended June 30, 2026, none of our directors or officers adopted or terminated a “Rule 10b5-1 trading arrangement” or a “non-Rule 10b5-1 trading arrangement,” as each term is defined in Item 408(a) of Regulation S-K.</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Chief Financial Officer Employment Agreement Amendment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August 3, 2026, we entered into an amendment (the “Kohler Amendment”) to that certain Employment Agreement, dated November 25, 2025, by and between us and Paul Terence Kohler, Jr., our Chief Financial Officer and Treasurer (the “Kohler Employment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Kohler Amendment amends the Kohler Employment Agreement to provide that, beginning August 1, 2026, we will provide Mr. Kohler with a monthly stipend of $10,000, net of taxes, for up to 18 months, subject to extension upon approval by our Board, to be used for temporary housing in the Boca Raton, Florida area. If Mr. Kohler relocates full-time to the Boca Raton, Florida area during such period, we will cease providing such monthly stipend and instead provide Mr. Kohler with a one-time relocation payment of $150,000, net of taxes; provided, however, that in the event Mr. Kohler voluntarily terminates employment with us or is terminated for Cause (as defined in the Kohler Employment Agreement) within 18 months following the date such relocation payment is made to Mr. Kohler, Mr. Kohler will be required to reimburse us for such relocation payment.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Kohler Amendment also amends the severance provisions of the Kohler Employment Agreement. As amended, in the event Mr. Kohler’s employment is terminated by us without Cause or by Mr. Kohler for Good Reason (as each term is defined in the Kohler Employment Agreement), Mr. Kohler will be entitled to certain severance benefits, including 12 months of base salary payable in equal monthly installments, reimbursement of a portion of COBRA premiums for up to 12 months, any earned but unpaid target bonus for the prior performance year, and accelerated vesting of certain equity awards, subject to the terms and conditions set forth in the Kohler Amendment. In the event such termination occurs immediately preceding or within one year following a Change of Control (as defined in the Kohler Employment Agreement), Mr. Kohler will instead be entitled to 15 months of base salary plus a prorated annual target bonus, payable in a lump sum, in each case subject to the terms and conditions set forth in the Kohler Amendment. Mr. Kohler’s entitlement to the severance benefits described above is subject to his execution and non-revocation of a separation agreement and general release.</w:t>
      </w:r>
    </w:p>
    <w:p>
      <w:pPr>
        <w:pStyle w:val="TextBody"/>
        <w:bidi w:val="0"/>
        <w:spacing w:before="0" w:after="0"/>
        <w:ind w:left="0" w:right="0" w:firstLine="720"/>
        <w:jc w:val="both"/>
        <w:rPr/>
      </w:pPr>
      <w:r>
        <w:rPr/>
        <w:t> </w:t>
      </w:r>
    </w:p>
    <w:p>
      <w:pPr>
        <w:pStyle w:val="TextBody"/>
        <w:bidi w:val="0"/>
        <w:spacing w:before="0" w:after="0"/>
        <w:ind w:left="0" w:right="0" w:firstLine="750"/>
        <w:jc w:val="left"/>
        <w:rPr>
          <w:rFonts w:ascii="Times New Roman" w:hAnsi="Times New Roman"/>
          <w:sz w:val="20"/>
        </w:rPr>
      </w:pPr>
      <w:r>
        <w:rPr>
          <w:rFonts w:ascii="Times New Roman" w:hAnsi="Times New Roman"/>
          <w:sz w:val="20"/>
        </w:rPr>
        <w:t>The foregoing description of the Kohler Amendment does not purport to be complete and is qualified in its entirety by reference to the full text of the Kohler Amendment, a copy of which is filed as Exhibit 10.1 to this Quarterly Report on Form 10-Q and is incorporated by reference into this Item 5.</w:t>
      </w:r>
    </w:p>
    <w:p>
      <w:pPr>
        <w:pStyle w:val="TextBody"/>
        <w:bidi w:val="0"/>
        <w:spacing w:before="0" w:after="0"/>
        <w:jc w:val="both"/>
        <w:rPr/>
      </w:pPr>
      <w:r>
        <w:rPr/>
        <w:t> </w:t>
      </w:r>
    </w:p>
    <w:p>
      <w:pPr>
        <w:pStyle w:val="TextBody"/>
        <w:bidi w:val="0"/>
        <w:spacing w:before="0" w:after="0"/>
        <w:ind w:left="0" w:right="0" w:hanging="1440"/>
        <w:jc w:val="left"/>
        <w:rPr>
          <w:rFonts w:ascii="Times New Roman" w:hAnsi="Times New Roman"/>
          <w:b/>
          <w:sz w:val="20"/>
        </w:rPr>
      </w:pPr>
      <w:bookmarkStart w:id="25" w:name="Exhibits"/>
      <w:bookmarkEnd w:id="25"/>
      <w:r>
        <w:rPr>
          <w:rFonts w:ascii="Times New Roman" w:hAnsi="Times New Roman"/>
          <w:b/>
          <w:sz w:val="20"/>
        </w:rPr>
        <w:t>Exhibits.</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914400" cy="175260"/>
                <wp:effectExtent l="0" t="0" r="0" b="0"/>
                <wp:wrapSquare wrapText="right"/>
                <wp:docPr id="181" name="Frame18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b/>
                              </w:rPr>
                              <w:t>Item 6.</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6.</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See the Exhibit Index immediately preceding the signature page of this Quarterly Report on Form 10-Q.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sz w:val="20"/>
        </w:rPr>
        <w:t>EXHIBIT INDEX</w:t>
      </w:r>
      <w:r>
        <w:rPr>
          <w:rFonts w:ascii="Times New Roman" w:hAnsi="Times New Roman"/>
          <w:sz w:val="20"/>
        </w:rPr>
        <w:t xml:space="preserve"> </w:t>
      </w:r>
    </w:p>
    <w:p>
      <w:pPr>
        <w:pStyle w:val="TextBody"/>
        <w:bidi w:val="0"/>
        <w:spacing w:before="0" w:after="0"/>
        <w:jc w:val="left"/>
        <w:rPr/>
      </w:pPr>
      <w:r>
        <w:rPr/>
        <w:t xml:space="preserve">  </w:t>
      </w:r>
    </w:p>
    <w:tbl>
      <w:tblPr>
        <w:tblW w:w="5000" w:type="pct"/>
        <w:jc w:val="left"/>
        <w:tblInd w:w="0" w:type="dxa"/>
        <w:tblLayout w:type="fixed"/>
        <w:tblCellMar>
          <w:top w:w="0" w:type="dxa"/>
          <w:left w:w="0" w:type="dxa"/>
          <w:bottom w:w="0" w:type="dxa"/>
          <w:right w:w="0" w:type="dxa"/>
        </w:tblCellMar>
      </w:tblPr>
      <w:tblGrid>
        <w:gridCol w:w="927"/>
        <w:gridCol w:w="9278"/>
      </w:tblGrid>
      <w:tr>
        <w:trPr/>
        <w:tc>
          <w:tcPr>
            <w:tcW w:w="927" w:type="dxa"/>
            <w:tcBorders/>
            <w:vAlign w:val="center"/>
          </w:tcPr>
          <w:p>
            <w:pPr>
              <w:pStyle w:val="TableContents"/>
              <w:bidi w:val="0"/>
              <w:spacing w:before="0" w:after="283"/>
              <w:jc w:val="left"/>
              <w:rPr/>
            </w:pPr>
            <w:r>
              <w:rPr/>
              <w:t> </w:t>
            </w:r>
          </w:p>
        </w:tc>
        <w:tc>
          <w:tcPr>
            <w:tcW w:w="9278" w:type="dxa"/>
            <w:tcBorders/>
            <w:vAlign w:val="center"/>
          </w:tcPr>
          <w:p>
            <w:pPr>
              <w:pStyle w:val="TableContents"/>
              <w:bidi w:val="0"/>
              <w:spacing w:before="0" w:after="283"/>
              <w:jc w:val="left"/>
              <w:rPr/>
            </w:pPr>
            <w:r>
              <w:rPr/>
              <w:t> </w:t>
            </w:r>
          </w:p>
        </w:tc>
      </w:tr>
      <w:tr>
        <w:trPr/>
        <w:tc>
          <w:tcPr>
            <w:tcW w:w="927" w:type="dxa"/>
            <w:tcBorders/>
          </w:tcPr>
          <w:p>
            <w:pPr>
              <w:pStyle w:val="TableContents"/>
              <w:bidi w:val="0"/>
              <w:spacing w:before="0" w:after="0"/>
              <w:ind w:left="0" w:right="0" w:hanging="0"/>
              <w:jc w:val="left"/>
              <w:rPr>
                <w:u w:val="single"/>
              </w:rPr>
            </w:pPr>
            <w:r>
              <w:rPr>
                <w:u w:val="single"/>
              </w:rPr>
              <w:t>Exhibit Number</w:t>
            </w:r>
          </w:p>
        </w:tc>
        <w:tc>
          <w:tcPr>
            <w:tcW w:w="9278" w:type="dxa"/>
            <w:tcBorders/>
          </w:tcPr>
          <w:p>
            <w:pPr>
              <w:pStyle w:val="TableContents"/>
              <w:bidi w:val="0"/>
              <w:spacing w:before="0" w:after="0"/>
              <w:ind w:left="0" w:right="0" w:hanging="0"/>
              <w:jc w:val="left"/>
              <w:rPr>
                <w:u w:val="single"/>
              </w:rPr>
            </w:pPr>
            <w:r>
              <w:rPr>
                <w:u w:val="single"/>
              </w:rPr>
              <w:t>Description</w:t>
            </w:r>
          </w:p>
        </w:tc>
      </w:tr>
      <w:tr>
        <w:trPr/>
        <w:tc>
          <w:tcPr>
            <w:tcW w:w="927" w:type="dxa"/>
            <w:tcBorders/>
            <w:shd w:fill="CCEEFF" w:val="clear"/>
          </w:tcPr>
          <w:p>
            <w:pPr>
              <w:pStyle w:val="TableContents"/>
              <w:bidi w:val="0"/>
              <w:spacing w:before="0" w:after="0"/>
              <w:jc w:val="left"/>
              <w:rPr/>
            </w:pPr>
            <w:hyperlink r:id="rId2">
              <w:r>
                <w:rPr>
                  <w:rStyle w:val="InternetLink"/>
                </w:rPr>
                <w:t>3.1</w:t>
              </w:r>
            </w:hyperlink>
          </w:p>
        </w:tc>
        <w:tc>
          <w:tcPr>
            <w:tcW w:w="9278" w:type="dxa"/>
            <w:tcBorders/>
            <w:shd w:fill="CCEEFF" w:val="clear"/>
          </w:tcPr>
          <w:p>
            <w:pPr>
              <w:pStyle w:val="TableContents"/>
              <w:bidi w:val="0"/>
              <w:spacing w:before="0" w:after="0"/>
              <w:jc w:val="both"/>
              <w:rPr/>
            </w:pPr>
            <w:r>
              <w:rPr/>
              <w:t>Second Amended and Restated Certificate of Incorporation of the Company (incorporated herein by reference to Exhibit 3.1 to the Company’s Current Report on Form 8-K, filed with the SEC on August 23, 2019).</w:t>
            </w:r>
          </w:p>
        </w:tc>
      </w:tr>
      <w:tr>
        <w:trPr/>
        <w:tc>
          <w:tcPr>
            <w:tcW w:w="927" w:type="dxa"/>
            <w:tcBorders/>
          </w:tcPr>
          <w:p>
            <w:pPr>
              <w:pStyle w:val="TableContents"/>
              <w:bidi w:val="0"/>
              <w:spacing w:before="0" w:after="0"/>
              <w:jc w:val="left"/>
              <w:rPr/>
            </w:pPr>
            <w:hyperlink r:id="rId3">
              <w:r>
                <w:rPr>
                  <w:rStyle w:val="InternetLink"/>
                </w:rPr>
                <w:t>3.1.1</w:t>
              </w:r>
            </w:hyperlink>
          </w:p>
        </w:tc>
        <w:tc>
          <w:tcPr>
            <w:tcW w:w="9278" w:type="dxa"/>
            <w:tcBorders/>
          </w:tcPr>
          <w:p>
            <w:pPr>
              <w:pStyle w:val="TableContents"/>
              <w:bidi w:val="0"/>
              <w:spacing w:before="0" w:after="0"/>
              <w:jc w:val="both"/>
              <w:rPr/>
            </w:pPr>
            <w:r>
              <w:rPr/>
              <w:t>Certificate of Amendment of the Second Amended and Restated Certificate of Incorporation of ADMA Biologics, Inc., dated as of May 27, 2021 (incorporated herein by reference to Exhibit 3.1 to the Company’s Current Report on Form 8-K filed with the SEC on May 28, 2021).</w:t>
            </w:r>
          </w:p>
        </w:tc>
      </w:tr>
      <w:tr>
        <w:trPr/>
        <w:tc>
          <w:tcPr>
            <w:tcW w:w="927" w:type="dxa"/>
            <w:tcBorders/>
            <w:shd w:fill="CCEEFF" w:val="clear"/>
          </w:tcPr>
          <w:p>
            <w:pPr>
              <w:pStyle w:val="TableContents"/>
              <w:bidi w:val="0"/>
              <w:spacing w:before="0" w:after="283"/>
              <w:jc w:val="left"/>
              <w:rPr/>
            </w:pPr>
            <w:hyperlink r:id="rId4">
              <w:r>
                <w:rPr>
                  <w:rStyle w:val="InternetLink"/>
                </w:rPr>
                <w:t>3.2</w:t>
              </w:r>
            </w:hyperlink>
          </w:p>
        </w:tc>
        <w:tc>
          <w:tcPr>
            <w:tcW w:w="9278" w:type="dxa"/>
            <w:tcBorders/>
            <w:shd w:fill="CCEEFF" w:val="clear"/>
          </w:tcPr>
          <w:p>
            <w:pPr>
              <w:pStyle w:val="TableContents"/>
              <w:bidi w:val="0"/>
              <w:spacing w:before="0" w:after="283"/>
              <w:jc w:val="both"/>
              <w:rPr/>
            </w:pPr>
            <w:r>
              <w:rPr/>
              <w:t>Second Amended and Restated Bylaws (incorporated herein by reference to Exhibit 3.1 to the Company’s Current Report on Form 8-K, filed with the SEC on June 28, 2024).</w:t>
            </w:r>
          </w:p>
        </w:tc>
      </w:tr>
      <w:tr>
        <w:trPr/>
        <w:tc>
          <w:tcPr>
            <w:tcW w:w="927" w:type="dxa"/>
            <w:tcBorders/>
          </w:tcPr>
          <w:p>
            <w:pPr>
              <w:pStyle w:val="TableContents"/>
              <w:bidi w:val="0"/>
              <w:spacing w:before="0" w:after="283"/>
              <w:jc w:val="left"/>
              <w:rPr/>
            </w:pPr>
            <w:hyperlink w:anchor="ef20075111_ex10-1.htm">
              <w:r>
                <w:rPr>
                  <w:rStyle w:val="InternetLink"/>
                </w:rPr>
                <w:t>10.1*</w:t>
              </w:r>
            </w:hyperlink>
          </w:p>
        </w:tc>
        <w:tc>
          <w:tcPr>
            <w:tcW w:w="9278" w:type="dxa"/>
            <w:tcBorders/>
          </w:tcPr>
          <w:p>
            <w:pPr>
              <w:pStyle w:val="TableContents"/>
              <w:bidi w:val="0"/>
              <w:spacing w:before="0" w:after="0"/>
              <w:ind w:left="0" w:right="0" w:hanging="0"/>
              <w:jc w:val="both"/>
              <w:rPr>
                <w:sz w:val="20"/>
              </w:rPr>
            </w:pPr>
            <w:r>
              <w:rPr>
                <w:sz w:val="20"/>
              </w:rPr>
              <w:t>Amendment to Employment Agreement, dated as of August 3, 2026, by and between ADMA Biologics, Inc. and Paul Terence Kohler, Jr.</w:t>
            </w:r>
          </w:p>
        </w:tc>
      </w:tr>
      <w:tr>
        <w:trPr/>
        <w:tc>
          <w:tcPr>
            <w:tcW w:w="927" w:type="dxa"/>
            <w:tcBorders/>
            <w:shd w:fill="CCEEFF" w:val="clear"/>
          </w:tcPr>
          <w:p>
            <w:pPr>
              <w:pStyle w:val="TableContents"/>
              <w:bidi w:val="0"/>
              <w:spacing w:before="0" w:after="0"/>
              <w:ind w:left="0" w:right="0" w:hanging="0"/>
              <w:jc w:val="left"/>
              <w:rPr/>
            </w:pPr>
            <w:hyperlink w:anchor="ef20075111_ex31-1.htm">
              <w:r>
                <w:rPr>
                  <w:rStyle w:val="InternetLink"/>
                </w:rPr>
                <w:t>31.1*</w:t>
              </w:r>
            </w:hyperlink>
          </w:p>
        </w:tc>
        <w:tc>
          <w:tcPr>
            <w:tcW w:w="9278" w:type="dxa"/>
            <w:tcBorders/>
            <w:shd w:fill="CCEEFF" w:val="clear"/>
          </w:tcPr>
          <w:p>
            <w:pPr>
              <w:pStyle w:val="TableContents"/>
              <w:bidi w:val="0"/>
              <w:spacing w:before="0" w:after="0"/>
              <w:ind w:left="0" w:right="0" w:hanging="0"/>
              <w:jc w:val="both"/>
              <w:rPr/>
            </w:pPr>
            <w:r>
              <w:rPr/>
              <w:t>Certification of Principal Executive Officer pursuant to Rules 13a-14(a) and 15d-14(a), as adopted pursuant to Section 302 of the Sarbanes-Oxley Act of 2002.</w:t>
            </w:r>
          </w:p>
        </w:tc>
      </w:tr>
      <w:tr>
        <w:trPr/>
        <w:tc>
          <w:tcPr>
            <w:tcW w:w="927" w:type="dxa"/>
            <w:tcBorders/>
          </w:tcPr>
          <w:p>
            <w:pPr>
              <w:pStyle w:val="TableContents"/>
              <w:bidi w:val="0"/>
              <w:spacing w:before="0" w:after="0"/>
              <w:ind w:left="0" w:right="0" w:hanging="0"/>
              <w:jc w:val="left"/>
              <w:rPr/>
            </w:pPr>
            <w:hyperlink w:anchor="ef20075111_ex31-2.htm">
              <w:r>
                <w:rPr>
                  <w:rStyle w:val="InternetLink"/>
                </w:rPr>
                <w:t>31.2*</w:t>
              </w:r>
            </w:hyperlink>
          </w:p>
        </w:tc>
        <w:tc>
          <w:tcPr>
            <w:tcW w:w="9278" w:type="dxa"/>
            <w:tcBorders/>
          </w:tcPr>
          <w:p>
            <w:pPr>
              <w:pStyle w:val="TableContents"/>
              <w:bidi w:val="0"/>
              <w:spacing w:before="0" w:after="0"/>
              <w:ind w:left="0" w:right="0" w:hanging="0"/>
              <w:jc w:val="both"/>
              <w:rPr/>
            </w:pPr>
            <w:r>
              <w:rPr/>
              <w:t>Certification of Principal Financial Officer pursuant to Rules 13a-14(a) and 15d-14(a), as adopted pursuant to Section 302 of the Sarbanes-Oxley Act of 2002.</w:t>
            </w:r>
          </w:p>
        </w:tc>
      </w:tr>
      <w:tr>
        <w:trPr/>
        <w:tc>
          <w:tcPr>
            <w:tcW w:w="927" w:type="dxa"/>
            <w:tcBorders/>
            <w:shd w:fill="CCEEFF" w:val="clear"/>
          </w:tcPr>
          <w:p>
            <w:pPr>
              <w:pStyle w:val="TableContents"/>
              <w:bidi w:val="0"/>
              <w:spacing w:before="0" w:after="0"/>
              <w:ind w:left="0" w:right="0" w:hanging="0"/>
              <w:jc w:val="left"/>
              <w:rPr/>
            </w:pPr>
            <w:hyperlink w:anchor="ef20075111_ex32-1.htm">
              <w:r>
                <w:rPr>
                  <w:rStyle w:val="InternetLink"/>
                </w:rPr>
                <w:t>32.1**</w:t>
              </w:r>
            </w:hyperlink>
          </w:p>
        </w:tc>
        <w:tc>
          <w:tcPr>
            <w:tcW w:w="9278" w:type="dxa"/>
            <w:tcBorders/>
            <w:shd w:fill="CCEEFF" w:val="clear"/>
          </w:tcPr>
          <w:p>
            <w:pPr>
              <w:pStyle w:val="TableContents"/>
              <w:bidi w:val="0"/>
              <w:spacing w:before="0" w:after="0"/>
              <w:ind w:left="0" w:right="0" w:hanging="0"/>
              <w:jc w:val="both"/>
              <w:rPr/>
            </w:pPr>
            <w:r>
              <w:rPr/>
              <w:t>Certification of Principal Executive Officer pursuant to 18 U.S.C. Section 1350, as adopted pursuant to Section 906 of the Sarbanes-Oxley Act of 2002.</w:t>
            </w:r>
          </w:p>
        </w:tc>
      </w:tr>
      <w:tr>
        <w:trPr/>
        <w:tc>
          <w:tcPr>
            <w:tcW w:w="927" w:type="dxa"/>
            <w:tcBorders/>
          </w:tcPr>
          <w:p>
            <w:pPr>
              <w:pStyle w:val="TableContents"/>
              <w:bidi w:val="0"/>
              <w:spacing w:before="0" w:after="0"/>
              <w:ind w:left="0" w:right="0" w:hanging="0"/>
              <w:jc w:val="left"/>
              <w:rPr/>
            </w:pPr>
            <w:hyperlink w:anchor="ef20075111_ex32-2.htm">
              <w:r>
                <w:rPr>
                  <w:rStyle w:val="InternetLink"/>
                </w:rPr>
                <w:t>32.2**</w:t>
              </w:r>
            </w:hyperlink>
          </w:p>
        </w:tc>
        <w:tc>
          <w:tcPr>
            <w:tcW w:w="9278" w:type="dxa"/>
            <w:tcBorders/>
          </w:tcPr>
          <w:p>
            <w:pPr>
              <w:pStyle w:val="TableContents"/>
              <w:bidi w:val="0"/>
              <w:spacing w:before="0" w:after="0"/>
              <w:ind w:left="0" w:right="0" w:hanging="0"/>
              <w:jc w:val="both"/>
              <w:rPr/>
            </w:pPr>
            <w:r>
              <w:rPr/>
              <w:t>Certification of Principal Financial Officer pursuant to 18 U.S.C. Section 1350, as adopted pursuant to Section 906 of the Sarbanes-Oxley Act of 2002.</w:t>
            </w:r>
          </w:p>
        </w:tc>
      </w:tr>
      <w:tr>
        <w:trPr/>
        <w:tc>
          <w:tcPr>
            <w:tcW w:w="927" w:type="dxa"/>
            <w:tcBorders/>
            <w:shd w:fill="CCEEFF" w:val="clear"/>
          </w:tcPr>
          <w:p>
            <w:pPr>
              <w:pStyle w:val="TableContents"/>
              <w:bidi w:val="0"/>
              <w:spacing w:before="0" w:after="0"/>
              <w:ind w:left="0" w:right="0" w:hanging="0"/>
              <w:jc w:val="left"/>
              <w:rPr/>
            </w:pPr>
            <w:r>
              <w:rPr/>
              <w:t>101</w:t>
            </w:r>
          </w:p>
        </w:tc>
        <w:tc>
          <w:tcPr>
            <w:tcW w:w="9278" w:type="dxa"/>
            <w:tcBorders/>
            <w:shd w:fill="CCEEFF" w:val="clear"/>
          </w:tcPr>
          <w:p>
            <w:pPr>
              <w:pStyle w:val="TableContents"/>
              <w:bidi w:val="0"/>
              <w:spacing w:before="0" w:after="0"/>
              <w:ind w:left="0" w:right="0" w:hanging="0"/>
              <w:jc w:val="both"/>
              <w:rPr/>
            </w:pPr>
            <w:r>
              <w:rPr/>
              <w:t>The following materials from ADMA Biologics, Inc.’s Form 10-Q for the quarter ended June 30, 2026, formatted in Extensible Business Reporting Language (XBRL): (i) Condensed Consolidated Balance Sheets as of June 30, 2026 (Unaudited) and December 31, 2025, (ii) Unaudited Condensed Consolidated Statements of Operations for the three and six months ended June 30, 2026 and 2025, (iii) Unaudited Condensed Consolidated Statements of Changes in Stockholders' Equity for the three and six months ended June 30, 2026 and 2025, (iv) Unaudited Condensed Consolidated Statements of Cash Flows for the six months ended June 30, 2026 and 2025, and (v) Notes to (Unaudited) Condensed Consolidated Financial Statements.</w:t>
            </w:r>
          </w:p>
        </w:tc>
      </w:tr>
      <w:tr>
        <w:trPr/>
        <w:tc>
          <w:tcPr>
            <w:tcW w:w="927" w:type="dxa"/>
            <w:tcBorders/>
          </w:tcPr>
          <w:p>
            <w:pPr>
              <w:pStyle w:val="TableContents"/>
              <w:bidi w:val="0"/>
              <w:spacing w:before="0" w:after="0"/>
              <w:ind w:left="0" w:right="0" w:hanging="0"/>
              <w:jc w:val="left"/>
              <w:rPr/>
            </w:pPr>
            <w:r>
              <w:rPr/>
              <w:t>104</w:t>
            </w:r>
          </w:p>
        </w:tc>
        <w:tc>
          <w:tcPr>
            <w:tcW w:w="9278" w:type="dxa"/>
            <w:tcBorders/>
          </w:tcPr>
          <w:p>
            <w:pPr>
              <w:pStyle w:val="TableContents"/>
              <w:bidi w:val="0"/>
              <w:spacing w:before="0" w:after="0"/>
              <w:ind w:left="0" w:right="0" w:hanging="0"/>
              <w:jc w:val="both"/>
              <w:rPr/>
            </w:pPr>
            <w:r>
              <w:rPr/>
              <w:t>Cover Page Interactive Data File (formatted as Inline XBRL and contained in Exhibit 101).</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Filed herewith.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In accordance with SEC Release 33-8238, Exhibit 32.1 and Exhibit 32.2 are being furnished and not filed.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Index</w:t>
        </w:r>
      </w:hyperlink>
    </w:p>
    <w:p>
      <w:pPr>
        <w:pStyle w:val="TextBody"/>
        <w:bidi w:val="0"/>
        <w:spacing w:before="0" w:after="0"/>
        <w:jc w:val="center"/>
        <w:rPr>
          <w:rFonts w:ascii="Times New Roman" w:hAnsi="Times New Roman"/>
          <w:b/>
          <w:sz w:val="20"/>
        </w:rPr>
      </w:pPr>
      <w:bookmarkStart w:id="26" w:name="SIGNATURES"/>
      <w:bookmarkEnd w:id="26"/>
      <w:r>
        <w:rPr>
          <w:rFonts w:ascii="Times New Roman" w:hAnsi="Times New Roman"/>
          <w:b/>
          <w:sz w:val="20"/>
        </w:rPr>
        <w:t xml:space="preserve">SIGNATURES </w:t>
      </w:r>
    </w:p>
    <w:p>
      <w:pPr>
        <w:pStyle w:val="TextBody"/>
        <w:bidi w:val="0"/>
        <w:spacing w:before="0" w:after="0"/>
        <w:jc w:val="center"/>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both"/>
        <w:rPr/>
      </w:pPr>
      <w:r>
        <w:rPr/>
        <w:t xml:space="preserve">  </w:t>
      </w:r>
    </w:p>
    <w:tbl>
      <w:tblPr>
        <w:tblW w:w="9650" w:type="dxa"/>
        <w:jc w:val="left"/>
        <w:tblInd w:w="0" w:type="dxa"/>
        <w:tblLayout w:type="fixed"/>
        <w:tblCellMar>
          <w:top w:w="28" w:type="dxa"/>
          <w:left w:w="28" w:type="dxa"/>
          <w:bottom w:w="28" w:type="dxa"/>
          <w:right w:w="28" w:type="dxa"/>
        </w:tblCellMar>
      </w:tblPr>
      <w:tblGrid>
        <w:gridCol w:w="691"/>
        <w:gridCol w:w="1636"/>
        <w:gridCol w:w="511"/>
        <w:gridCol w:w="796"/>
        <w:gridCol w:w="6016"/>
      </w:tblGrid>
      <w:tr>
        <w:trPr/>
        <w:tc>
          <w:tcPr>
            <w:tcW w:w="691"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016" w:type="dxa"/>
            <w:tcBorders/>
            <w:vAlign w:val="center"/>
          </w:tcPr>
          <w:p>
            <w:pPr>
              <w:pStyle w:val="TableContents"/>
              <w:bidi w:val="0"/>
              <w:spacing w:before="0" w:after="283"/>
              <w:jc w:val="left"/>
              <w:rPr/>
            </w:pPr>
            <w:r>
              <w:rPr/>
              <w:t> </w:t>
            </w:r>
          </w:p>
        </w:tc>
      </w:tr>
      <w:tr>
        <w:trPr/>
        <w:tc>
          <w:tcPr>
            <w:tcW w:w="232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323" w:type="dxa"/>
            <w:gridSpan w:val="3"/>
            <w:tcBorders/>
            <w:tcMar>
              <w:top w:w="0" w:type="dxa"/>
              <w:left w:w="0" w:type="dxa"/>
              <w:bottom w:w="0" w:type="dxa"/>
              <w:right w:w="0" w:type="dxa"/>
            </w:tcMar>
            <w:vAlign w:val="center"/>
          </w:tcPr>
          <w:p>
            <w:pPr>
              <w:pStyle w:val="TableContents"/>
              <w:bidi w:val="0"/>
              <w:spacing w:before="0" w:after="283"/>
              <w:jc w:val="both"/>
              <w:rPr/>
            </w:pPr>
            <w:r>
              <w:rPr>
                <w:b/>
              </w:rPr>
              <w:t>ADMA Biologics, Inc.</w:t>
            </w:r>
            <w:r>
              <w:rPr/>
              <w:t xml:space="preserve"> </w:t>
            </w:r>
          </w:p>
        </w:tc>
      </w:tr>
      <w:tr>
        <w:trPr/>
        <w:tc>
          <w:tcPr>
            <w:tcW w:w="232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323" w:type="dxa"/>
            <w:gridSpan w:val="3"/>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both"/>
              <w:rPr/>
            </w:pPr>
            <w:r>
              <w:rPr/>
              <w:t xml:space="preserve">Date: </w:t>
            </w:r>
          </w:p>
        </w:tc>
        <w:tc>
          <w:tcPr>
            <w:tcW w:w="1636" w:type="dxa"/>
            <w:tcBorders/>
            <w:tcMar>
              <w:top w:w="0" w:type="dxa"/>
              <w:left w:w="0" w:type="dxa"/>
              <w:bottom w:w="0" w:type="dxa"/>
              <w:right w:w="0" w:type="dxa"/>
            </w:tcMar>
            <w:vAlign w:val="center"/>
          </w:tcPr>
          <w:p>
            <w:pPr>
              <w:pStyle w:val="TableContents"/>
              <w:bidi w:val="0"/>
              <w:spacing w:before="0" w:after="283"/>
              <w:jc w:val="both"/>
              <w:rPr/>
            </w:pPr>
            <w:r>
              <w:rPr/>
              <w:t xml:space="preserve">August 5, 2026 </w:t>
            </w:r>
          </w:p>
        </w:tc>
        <w:tc>
          <w:tcPr>
            <w:tcW w:w="511" w:type="dxa"/>
            <w:tcBorders/>
            <w:tcMar>
              <w:top w:w="0" w:type="dxa"/>
              <w:left w:w="0" w:type="dxa"/>
              <w:bottom w:w="0" w:type="dxa"/>
              <w:right w:w="0" w:type="dxa"/>
            </w:tcMar>
            <w:vAlign w:val="center"/>
          </w:tcPr>
          <w:p>
            <w:pPr>
              <w:pStyle w:val="TableContents"/>
              <w:bidi w:val="0"/>
              <w:spacing w:before="0" w:after="283"/>
              <w:jc w:val="both"/>
              <w:rPr/>
            </w:pPr>
            <w:r>
              <w:rPr/>
              <w:t xml:space="preserve">By: </w:t>
            </w:r>
          </w:p>
        </w:tc>
        <w:tc>
          <w:tcPr>
            <w:tcW w:w="6812" w:type="dxa"/>
            <w:gridSpan w:val="2"/>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Adam S. Grossman </w:t>
            </w:r>
          </w:p>
        </w:tc>
      </w:tr>
      <w:tr>
        <w:trPr/>
        <w:tc>
          <w:tcPr>
            <w:tcW w:w="232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511" w:type="dxa"/>
            <w:tcBorders/>
            <w:tcMar>
              <w:top w:w="0" w:type="dxa"/>
              <w:left w:w="0" w:type="dxa"/>
              <w:bottom w:w="0" w:type="dxa"/>
              <w:right w:w="0" w:type="dxa"/>
            </w:tcMar>
            <w:vAlign w:val="center"/>
          </w:tcPr>
          <w:p>
            <w:pPr>
              <w:pStyle w:val="TableContents"/>
              <w:bidi w:val="0"/>
              <w:spacing w:before="0" w:after="283"/>
              <w:jc w:val="both"/>
              <w:rPr/>
            </w:pPr>
            <w:r>
              <w:rPr/>
              <w:t> </w:t>
            </w:r>
          </w:p>
        </w:tc>
        <w:tc>
          <w:tcPr>
            <w:tcW w:w="796" w:type="dxa"/>
            <w:tcBorders/>
            <w:tcMar>
              <w:top w:w="0" w:type="dxa"/>
              <w:left w:w="0" w:type="dxa"/>
              <w:bottom w:w="0" w:type="dxa"/>
              <w:right w:w="0" w:type="dxa"/>
            </w:tcMar>
            <w:vAlign w:val="center"/>
          </w:tcPr>
          <w:p>
            <w:pPr>
              <w:pStyle w:val="TableContents"/>
              <w:bidi w:val="0"/>
              <w:spacing w:before="0" w:after="283"/>
              <w:jc w:val="both"/>
              <w:rPr/>
            </w:pPr>
            <w:r>
              <w:rPr/>
              <w:t xml:space="preserve">Name: </w:t>
            </w:r>
          </w:p>
        </w:tc>
        <w:tc>
          <w:tcPr>
            <w:tcW w:w="6016" w:type="dxa"/>
            <w:tcBorders/>
            <w:tcMar>
              <w:top w:w="0" w:type="dxa"/>
              <w:left w:w="0" w:type="dxa"/>
              <w:bottom w:w="0" w:type="dxa"/>
              <w:right w:w="0" w:type="dxa"/>
            </w:tcMar>
            <w:vAlign w:val="center"/>
          </w:tcPr>
          <w:p>
            <w:pPr>
              <w:pStyle w:val="TableContents"/>
              <w:bidi w:val="0"/>
              <w:spacing w:before="0" w:after="283"/>
              <w:jc w:val="both"/>
              <w:rPr/>
            </w:pPr>
            <w:r>
              <w:rPr/>
              <w:t xml:space="preserve">Adam S. Grossman </w:t>
            </w:r>
          </w:p>
        </w:tc>
      </w:tr>
      <w:tr>
        <w:trPr/>
        <w:tc>
          <w:tcPr>
            <w:tcW w:w="232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511" w:type="dxa"/>
            <w:tcBorders/>
            <w:tcMar>
              <w:top w:w="0" w:type="dxa"/>
              <w:left w:w="0" w:type="dxa"/>
              <w:bottom w:w="0" w:type="dxa"/>
              <w:right w:w="0" w:type="dxa"/>
            </w:tcMar>
            <w:vAlign w:val="center"/>
          </w:tcPr>
          <w:p>
            <w:pPr>
              <w:pStyle w:val="TableContents"/>
              <w:bidi w:val="0"/>
              <w:spacing w:before="0" w:after="283"/>
              <w:jc w:val="both"/>
              <w:rPr/>
            </w:pPr>
            <w:r>
              <w:rPr/>
              <w:t> </w:t>
            </w:r>
          </w:p>
        </w:tc>
        <w:tc>
          <w:tcPr>
            <w:tcW w:w="796" w:type="dxa"/>
            <w:tcBorders/>
            <w:tcMar>
              <w:top w:w="0" w:type="dxa"/>
              <w:left w:w="0" w:type="dxa"/>
              <w:bottom w:w="0" w:type="dxa"/>
              <w:right w:w="0" w:type="dxa"/>
            </w:tcMar>
            <w:vAlign w:val="center"/>
          </w:tcPr>
          <w:p>
            <w:pPr>
              <w:pStyle w:val="TableContents"/>
              <w:bidi w:val="0"/>
              <w:spacing w:before="0" w:after="283"/>
              <w:jc w:val="both"/>
              <w:rPr/>
            </w:pPr>
            <w:r>
              <w:rPr/>
              <w:t xml:space="preserve">Title: </w:t>
            </w:r>
          </w:p>
        </w:tc>
        <w:tc>
          <w:tcPr>
            <w:tcW w:w="6016" w:type="dxa"/>
            <w:tcBorders/>
            <w:tcMar>
              <w:top w:w="0" w:type="dxa"/>
              <w:left w:w="0" w:type="dxa"/>
              <w:bottom w:w="0" w:type="dxa"/>
              <w:right w:w="0" w:type="dxa"/>
            </w:tcMar>
            <w:vAlign w:val="center"/>
          </w:tcPr>
          <w:p>
            <w:pPr>
              <w:pStyle w:val="TableContents"/>
              <w:bidi w:val="0"/>
              <w:spacing w:before="0" w:after="283"/>
              <w:jc w:val="both"/>
              <w:rPr/>
            </w:pPr>
            <w:r>
              <w:rPr/>
              <w:t xml:space="preserve">President and Chief Executive Officer </w:t>
            </w:r>
          </w:p>
        </w:tc>
      </w:tr>
      <w:tr>
        <w:trPr/>
        <w:tc>
          <w:tcPr>
            <w:tcW w:w="232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511" w:type="dxa"/>
            <w:tcBorders/>
            <w:tcMar>
              <w:top w:w="0" w:type="dxa"/>
              <w:left w:w="0" w:type="dxa"/>
              <w:bottom w:w="0" w:type="dxa"/>
              <w:right w:w="0" w:type="dxa"/>
            </w:tcMar>
            <w:vAlign w:val="center"/>
          </w:tcPr>
          <w:p>
            <w:pPr>
              <w:pStyle w:val="TableContents"/>
              <w:bidi w:val="0"/>
              <w:spacing w:before="0" w:after="283"/>
              <w:jc w:val="both"/>
              <w:rPr/>
            </w:pPr>
            <w:r>
              <w:rPr/>
              <w:t> </w:t>
            </w:r>
          </w:p>
        </w:tc>
        <w:tc>
          <w:tcPr>
            <w:tcW w:w="796" w:type="dxa"/>
            <w:tcBorders/>
            <w:tcMar>
              <w:top w:w="0" w:type="dxa"/>
              <w:left w:w="0" w:type="dxa"/>
              <w:bottom w:w="0" w:type="dxa"/>
              <w:right w:w="0" w:type="dxa"/>
            </w:tcMar>
            <w:vAlign w:val="center"/>
          </w:tcPr>
          <w:p>
            <w:pPr>
              <w:pStyle w:val="TableContents"/>
              <w:bidi w:val="0"/>
              <w:spacing w:before="0" w:after="283"/>
              <w:jc w:val="both"/>
              <w:rPr/>
            </w:pPr>
            <w:r>
              <w:rPr/>
              <w:t> </w:t>
            </w:r>
          </w:p>
        </w:tc>
        <w:tc>
          <w:tcPr>
            <w:tcW w:w="6016" w:type="dxa"/>
            <w:tcBorders/>
            <w:tcMar>
              <w:top w:w="0" w:type="dxa"/>
              <w:left w:w="0" w:type="dxa"/>
              <w:bottom w:w="0" w:type="dxa"/>
              <w:right w:w="0" w:type="dxa"/>
            </w:tcMar>
            <w:vAlign w:val="center"/>
          </w:tcPr>
          <w:p>
            <w:pPr>
              <w:pStyle w:val="TableContents"/>
              <w:bidi w:val="0"/>
              <w:spacing w:before="0" w:after="283"/>
              <w:jc w:val="both"/>
              <w:rPr/>
            </w:pPr>
            <w:r>
              <w:rPr/>
              <w:t>(Principal Executive Officer)</w:t>
            </w:r>
          </w:p>
        </w:tc>
      </w:tr>
      <w:tr>
        <w:trPr/>
        <w:tc>
          <w:tcPr>
            <w:tcW w:w="2327" w:type="dxa"/>
            <w:gridSpan w:val="2"/>
            <w:tcBorders/>
            <w:vAlign w:val="center"/>
          </w:tcPr>
          <w:p>
            <w:pPr>
              <w:pStyle w:val="TableContents"/>
              <w:bidi w:val="0"/>
              <w:spacing w:before="0" w:after="283"/>
              <w:jc w:val="both"/>
              <w:rPr/>
            </w:pPr>
            <w:r>
              <w:rPr/>
              <w:t> </w:t>
            </w:r>
          </w:p>
        </w:tc>
        <w:tc>
          <w:tcPr>
            <w:tcW w:w="511" w:type="dxa"/>
            <w:tcBorders/>
            <w:vAlign w:val="center"/>
          </w:tcPr>
          <w:p>
            <w:pPr>
              <w:pStyle w:val="TableContents"/>
              <w:bidi w:val="0"/>
              <w:spacing w:before="0" w:after="283"/>
              <w:jc w:val="both"/>
              <w:rPr/>
            </w:pPr>
            <w:r>
              <w:rPr/>
              <w:t> </w:t>
            </w:r>
          </w:p>
        </w:tc>
        <w:tc>
          <w:tcPr>
            <w:tcW w:w="796" w:type="dxa"/>
            <w:tcBorders/>
            <w:vAlign w:val="center"/>
          </w:tcPr>
          <w:p>
            <w:pPr>
              <w:pStyle w:val="TableContents"/>
              <w:bidi w:val="0"/>
              <w:spacing w:before="0" w:after="283"/>
              <w:jc w:val="both"/>
              <w:rPr/>
            </w:pPr>
            <w:r>
              <w:rPr/>
              <w:t> </w:t>
            </w:r>
          </w:p>
        </w:tc>
        <w:tc>
          <w:tcPr>
            <w:tcW w:w="6016" w:type="dxa"/>
            <w:tcBorders/>
            <w:vAlign w:val="center"/>
          </w:tcPr>
          <w:p>
            <w:pPr>
              <w:pStyle w:val="TableContents"/>
              <w:bidi w:val="0"/>
              <w:spacing w:before="0" w:after="283"/>
              <w:jc w:val="both"/>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both"/>
              <w:rPr/>
            </w:pPr>
            <w:r>
              <w:rPr/>
              <w:t xml:space="preserve">Date: </w:t>
            </w:r>
          </w:p>
        </w:tc>
        <w:tc>
          <w:tcPr>
            <w:tcW w:w="1636" w:type="dxa"/>
            <w:tcBorders/>
            <w:tcMar>
              <w:top w:w="0" w:type="dxa"/>
              <w:left w:w="0" w:type="dxa"/>
              <w:bottom w:w="0" w:type="dxa"/>
              <w:right w:w="0" w:type="dxa"/>
            </w:tcMar>
            <w:vAlign w:val="center"/>
          </w:tcPr>
          <w:p>
            <w:pPr>
              <w:pStyle w:val="TableContents"/>
              <w:bidi w:val="0"/>
              <w:spacing w:before="0" w:after="283"/>
              <w:jc w:val="both"/>
              <w:rPr/>
            </w:pPr>
            <w:r>
              <w:rPr/>
              <w:t xml:space="preserve">August 5, 2026 </w:t>
            </w:r>
          </w:p>
        </w:tc>
        <w:tc>
          <w:tcPr>
            <w:tcW w:w="511" w:type="dxa"/>
            <w:tcBorders/>
            <w:tcMar>
              <w:top w:w="0" w:type="dxa"/>
              <w:left w:w="0" w:type="dxa"/>
              <w:bottom w:w="0" w:type="dxa"/>
              <w:right w:w="0" w:type="dxa"/>
            </w:tcMar>
            <w:vAlign w:val="center"/>
          </w:tcPr>
          <w:p>
            <w:pPr>
              <w:pStyle w:val="TableContents"/>
              <w:bidi w:val="0"/>
              <w:spacing w:before="0" w:after="283"/>
              <w:jc w:val="both"/>
              <w:rPr/>
            </w:pPr>
            <w:r>
              <w:rPr/>
              <w:t xml:space="preserve">By: </w:t>
            </w:r>
          </w:p>
        </w:tc>
        <w:tc>
          <w:tcPr>
            <w:tcW w:w="6812" w:type="dxa"/>
            <w:gridSpan w:val="2"/>
            <w:tcBorders>
              <w:bottom w:val="single" w:sz="12" w:space="0" w:color="000000"/>
            </w:tcBorders>
            <w:tcMar>
              <w:top w:w="0" w:type="dxa"/>
              <w:left w:w="0" w:type="dxa"/>
              <w:right w:w="0" w:type="dxa"/>
            </w:tcMar>
            <w:vAlign w:val="center"/>
          </w:tcPr>
          <w:p>
            <w:pPr>
              <w:pStyle w:val="TableContents"/>
              <w:bidi w:val="0"/>
              <w:spacing w:before="0" w:after="283"/>
              <w:jc w:val="left"/>
              <w:rPr/>
            </w:pPr>
            <w:r>
              <w:rPr/>
              <w:t xml:space="preserve">/s/ Paul Terence Kohler, Jr. </w:t>
            </w:r>
          </w:p>
        </w:tc>
      </w:tr>
      <w:tr>
        <w:trPr/>
        <w:tc>
          <w:tcPr>
            <w:tcW w:w="232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511" w:type="dxa"/>
            <w:tcBorders/>
            <w:tcMar>
              <w:top w:w="0" w:type="dxa"/>
              <w:left w:w="0" w:type="dxa"/>
              <w:bottom w:w="0" w:type="dxa"/>
              <w:right w:w="0" w:type="dxa"/>
            </w:tcMar>
            <w:vAlign w:val="center"/>
          </w:tcPr>
          <w:p>
            <w:pPr>
              <w:pStyle w:val="TableContents"/>
              <w:bidi w:val="0"/>
              <w:spacing w:before="0" w:after="283"/>
              <w:jc w:val="both"/>
              <w:rPr/>
            </w:pPr>
            <w:r>
              <w:rPr/>
              <w:t> </w:t>
            </w:r>
          </w:p>
        </w:tc>
        <w:tc>
          <w:tcPr>
            <w:tcW w:w="796" w:type="dxa"/>
            <w:tcBorders/>
            <w:tcMar>
              <w:top w:w="0" w:type="dxa"/>
              <w:left w:w="0" w:type="dxa"/>
              <w:bottom w:w="0" w:type="dxa"/>
              <w:right w:w="0" w:type="dxa"/>
            </w:tcMar>
            <w:vAlign w:val="center"/>
          </w:tcPr>
          <w:p>
            <w:pPr>
              <w:pStyle w:val="TableContents"/>
              <w:bidi w:val="0"/>
              <w:spacing w:before="0" w:after="283"/>
              <w:jc w:val="both"/>
              <w:rPr/>
            </w:pPr>
            <w:r>
              <w:rPr/>
              <w:t xml:space="preserve">Name: </w:t>
            </w:r>
          </w:p>
        </w:tc>
        <w:tc>
          <w:tcPr>
            <w:tcW w:w="6016" w:type="dxa"/>
            <w:tcBorders/>
            <w:tcMar>
              <w:top w:w="0" w:type="dxa"/>
              <w:left w:w="0" w:type="dxa"/>
              <w:bottom w:w="0" w:type="dxa"/>
              <w:right w:w="0" w:type="dxa"/>
            </w:tcMar>
            <w:vAlign w:val="center"/>
          </w:tcPr>
          <w:p>
            <w:pPr>
              <w:pStyle w:val="TableContents"/>
              <w:bidi w:val="0"/>
              <w:spacing w:before="0" w:after="283"/>
              <w:jc w:val="both"/>
              <w:rPr/>
            </w:pPr>
            <w:r>
              <w:rPr/>
              <w:t xml:space="preserve">Paul Terence Kohler, Jr. </w:t>
            </w:r>
          </w:p>
        </w:tc>
      </w:tr>
      <w:tr>
        <w:trPr/>
        <w:tc>
          <w:tcPr>
            <w:tcW w:w="232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511" w:type="dxa"/>
            <w:tcBorders/>
            <w:tcMar>
              <w:top w:w="0" w:type="dxa"/>
              <w:left w:w="0" w:type="dxa"/>
              <w:bottom w:w="0" w:type="dxa"/>
              <w:right w:w="0" w:type="dxa"/>
            </w:tcMar>
            <w:vAlign w:val="center"/>
          </w:tcPr>
          <w:p>
            <w:pPr>
              <w:pStyle w:val="TableContents"/>
              <w:bidi w:val="0"/>
              <w:spacing w:before="0" w:after="283"/>
              <w:jc w:val="both"/>
              <w:rPr/>
            </w:pPr>
            <w:r>
              <w:rPr/>
              <w:t> </w:t>
            </w:r>
          </w:p>
        </w:tc>
        <w:tc>
          <w:tcPr>
            <w:tcW w:w="796" w:type="dxa"/>
            <w:tcBorders/>
            <w:tcMar>
              <w:top w:w="0" w:type="dxa"/>
              <w:left w:w="0" w:type="dxa"/>
              <w:bottom w:w="0" w:type="dxa"/>
              <w:right w:w="0" w:type="dxa"/>
            </w:tcMar>
            <w:vAlign w:val="center"/>
          </w:tcPr>
          <w:p>
            <w:pPr>
              <w:pStyle w:val="TableContents"/>
              <w:bidi w:val="0"/>
              <w:spacing w:before="0" w:after="283"/>
              <w:jc w:val="both"/>
              <w:rPr/>
            </w:pPr>
            <w:r>
              <w:rPr/>
              <w:t xml:space="preserve">Title: </w:t>
            </w:r>
          </w:p>
        </w:tc>
        <w:tc>
          <w:tcPr>
            <w:tcW w:w="6016" w:type="dxa"/>
            <w:tcBorders/>
            <w:tcMar>
              <w:top w:w="0" w:type="dxa"/>
              <w:left w:w="0" w:type="dxa"/>
              <w:bottom w:w="0" w:type="dxa"/>
              <w:right w:w="0" w:type="dxa"/>
            </w:tcMar>
            <w:vAlign w:val="center"/>
          </w:tcPr>
          <w:p>
            <w:pPr>
              <w:pStyle w:val="TableContents"/>
              <w:bidi w:val="0"/>
              <w:spacing w:before="0" w:after="283"/>
              <w:jc w:val="both"/>
              <w:rPr/>
            </w:pPr>
            <w:r>
              <w:rPr/>
              <w:t xml:space="preserve">Chief Financial Officer </w:t>
            </w:r>
          </w:p>
        </w:tc>
      </w:tr>
      <w:tr>
        <w:trPr/>
        <w:tc>
          <w:tcPr>
            <w:tcW w:w="2327" w:type="dxa"/>
            <w:gridSpan w:val="2"/>
            <w:tcBorders/>
            <w:vAlign w:val="center"/>
          </w:tcPr>
          <w:p>
            <w:pPr>
              <w:pStyle w:val="TableContents"/>
              <w:bidi w:val="0"/>
              <w:spacing w:before="0" w:after="283"/>
              <w:jc w:val="both"/>
              <w:rPr/>
            </w:pPr>
            <w:r>
              <w:rPr/>
              <w:t> </w:t>
            </w:r>
          </w:p>
        </w:tc>
        <w:tc>
          <w:tcPr>
            <w:tcW w:w="511" w:type="dxa"/>
            <w:tcBorders/>
            <w:vAlign w:val="center"/>
          </w:tcPr>
          <w:p>
            <w:pPr>
              <w:pStyle w:val="TableContents"/>
              <w:bidi w:val="0"/>
              <w:spacing w:before="0" w:after="283"/>
              <w:jc w:val="both"/>
              <w:rPr/>
            </w:pPr>
            <w:r>
              <w:rPr/>
              <w:t> </w:t>
            </w:r>
          </w:p>
        </w:tc>
        <w:tc>
          <w:tcPr>
            <w:tcW w:w="796" w:type="dxa"/>
            <w:tcBorders/>
            <w:vAlign w:val="center"/>
          </w:tcPr>
          <w:p>
            <w:pPr>
              <w:pStyle w:val="TableContents"/>
              <w:bidi w:val="0"/>
              <w:spacing w:before="0" w:after="283"/>
              <w:jc w:val="both"/>
              <w:rPr/>
            </w:pPr>
            <w:r>
              <w:rPr/>
              <w:t> </w:t>
            </w:r>
          </w:p>
        </w:tc>
        <w:tc>
          <w:tcPr>
            <w:tcW w:w="6016" w:type="dxa"/>
            <w:tcBorders/>
            <w:vAlign w:val="center"/>
          </w:tcPr>
          <w:p>
            <w:pPr>
              <w:pStyle w:val="TableContents"/>
              <w:bidi w:val="0"/>
              <w:spacing w:before="0" w:after="283"/>
              <w:jc w:val="both"/>
              <w:rPr/>
            </w:pPr>
            <w:r>
              <w:rPr/>
              <w:t>(Principal Financial Officer and Principal Accounting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70</w:t>
      </w:r>
    </w:p>
    <w:p>
      <w:pPr>
        <w:pStyle w:val="HorizontalLine"/>
        <w:pBdr>
          <w:bottom w:val="double" w:sz="2" w:space="0" w:color="808080"/>
        </w:pBdr>
        <w:bidi w:val="0"/>
        <w:spacing w:before="0" w:after="283"/>
        <w:jc w:val="left"/>
        <w:rPr/>
      </w:pPr>
      <w:r>
        <w:rPr/>
      </w:r>
    </w:p>
    <w:p>
      <w:pPr>
        <w:pStyle w:val="HorizontalLine"/>
        <w:bidi w:val="0"/>
        <w:jc w:val="left"/>
        <w:rPr/>
      </w:pPr>
      <w:r>
        <w:rPr/>
      </w:r>
      <w:bookmarkStart w:id="27" w:name="ef20075111_ex10-1.htm"/>
      <w:bookmarkStart w:id="28" w:name="ksef20075111_ex101"/>
      <w:bookmarkStart w:id="29" w:name="ef20075111_ex10-1.htm"/>
      <w:bookmarkStart w:id="30" w:name="ksef20075111_ex101"/>
      <w:bookmarkEnd w:id="29"/>
      <w:bookmarkEnd w:id="30"/>
      <w:r>
        <w:br w:type="page"/>
      </w:r>
    </w:p>
    <w:p>
      <w:pPr>
        <w:pStyle w:val="TextBody"/>
        <w:bidi w:val="0"/>
        <w:spacing w:lineRule="atLeast" w:line="240" w:before="0" w:after="0"/>
        <w:jc w:val="right"/>
        <w:rPr>
          <w:b/>
          <w:color w:val="000000"/>
        </w:rPr>
      </w:pPr>
      <w:r>
        <w:rPr>
          <w:b/>
          <w:color w:val="000000"/>
        </w:rPr>
        <w:t>Exhibit 10.1</w:t>
      </w:r>
    </w:p>
    <w:p>
      <w:pPr>
        <w:pStyle w:val="TextBody"/>
        <w:bidi w:val="0"/>
        <w:spacing w:lineRule="atLeast" w:line="240" w:before="0" w:after="0"/>
        <w:jc w:val="center"/>
        <w:rPr>
          <w:color w:val="000000"/>
        </w:rPr>
      </w:pPr>
      <w:r>
        <w:rPr>
          <w:color w:val="000000"/>
        </w:rPr>
        <w:t> </w:t>
      </w:r>
    </w:p>
    <w:p>
      <w:pPr>
        <w:pStyle w:val="TextBody"/>
        <w:bidi w:val="0"/>
        <w:spacing w:lineRule="atLeast" w:line="240" w:before="0" w:after="0"/>
        <w:jc w:val="center"/>
        <w:rPr>
          <w:b/>
          <w:color w:val="000000"/>
        </w:rPr>
      </w:pPr>
      <w:r>
        <w:rPr>
          <w:b/>
          <w:color w:val="000000"/>
        </w:rPr>
        <w:t xml:space="preserve">FIRST AMENDMENT TO EMPLOYMENT AGREEMENT </w:t>
      </w:r>
    </w:p>
    <w:p>
      <w:pPr>
        <w:pStyle w:val="TextBody"/>
        <w:bidi w:val="0"/>
        <w:spacing w:lineRule="atLeast" w:line="240" w:before="0" w:after="0"/>
        <w:jc w:val="center"/>
        <w:rPr>
          <w:color w:val="000000"/>
        </w:rPr>
      </w:pPr>
      <w:r>
        <w:rPr>
          <w:color w:val="000000"/>
        </w:rPr>
        <w:t xml:space="preserve">  </w:t>
      </w:r>
    </w:p>
    <w:p>
      <w:pPr>
        <w:pStyle w:val="TextBody"/>
        <w:bidi w:val="0"/>
        <w:spacing w:lineRule="atLeast" w:line="240" w:before="0" w:after="0"/>
        <w:ind w:left="0" w:right="0" w:firstLine="750"/>
        <w:jc w:val="both"/>
        <w:rPr>
          <w:color w:val="000000"/>
        </w:rPr>
      </w:pPr>
      <w:r>
        <w:rPr>
          <w:color w:val="000000"/>
        </w:rPr>
        <w:t xml:space="preserve">This </w:t>
      </w:r>
      <w:r>
        <w:rPr>
          <w:smallCaps/>
          <w:color w:val="000000"/>
        </w:rPr>
        <w:t xml:space="preserve">First Amendment to Employment Agreement </w:t>
      </w:r>
      <w:r>
        <w:rPr>
          <w:b/>
          <w:smallCaps/>
          <w:color w:val="000000"/>
        </w:rPr>
        <w:t>(</w:t>
      </w:r>
      <w:r>
        <w:rPr>
          <w:color w:val="000000"/>
        </w:rPr>
        <w:t>the “</w:t>
      </w:r>
      <w:r>
        <w:rPr>
          <w:b/>
          <w:i/>
          <w:color w:val="000000"/>
          <w:u w:val="single"/>
        </w:rPr>
        <w:t>Amendment</w:t>
      </w:r>
      <w:r>
        <w:rPr>
          <w:color w:val="000000"/>
        </w:rPr>
        <w:t>”) is entered into this August 3, 2026 (the “</w:t>
      </w:r>
      <w:r>
        <w:rPr>
          <w:b/>
          <w:i/>
          <w:color w:val="000000"/>
          <w:u w:val="single"/>
        </w:rPr>
        <w:t>Amendment Effective Date</w:t>
      </w:r>
      <w:r>
        <w:rPr>
          <w:color w:val="000000"/>
        </w:rPr>
        <w:t>”), by and between Paul Terence Kohler, Jr.</w:t>
      </w:r>
      <w:r>
        <w:rPr>
          <w:smallCaps/>
          <w:color w:val="000000"/>
        </w:rPr>
        <w:t> </w:t>
      </w:r>
      <w:r>
        <w:rPr>
          <w:color w:val="000000"/>
        </w:rPr>
        <w:t>(the “</w:t>
      </w:r>
      <w:r>
        <w:rPr>
          <w:b/>
          <w:i/>
          <w:color w:val="000000"/>
          <w:u w:val="single"/>
        </w:rPr>
        <w:t>Executive</w:t>
      </w:r>
      <w:r>
        <w:rPr>
          <w:color w:val="000000"/>
        </w:rPr>
        <w:t>”) and ADMA Biologics, Inc., a Delaware corporation (the “</w:t>
      </w:r>
      <w:r>
        <w:rPr>
          <w:b/>
          <w:i/>
          <w:color w:val="000000"/>
          <w:u w:val="single"/>
        </w:rPr>
        <w:t>Company</w:t>
      </w:r>
      <w:r>
        <w:rPr>
          <w:color w:val="000000"/>
        </w:rPr>
        <w:t xml:space="preserve">”). </w:t>
      </w:r>
    </w:p>
    <w:p>
      <w:pPr>
        <w:pStyle w:val="TextBody"/>
        <w:bidi w:val="0"/>
        <w:spacing w:lineRule="atLeast" w:line="240" w:before="0" w:after="0"/>
        <w:jc w:val="both"/>
        <w:rPr>
          <w:color w:val="000000"/>
        </w:rPr>
      </w:pPr>
      <w:r>
        <w:rPr>
          <w:color w:val="000000"/>
        </w:rPr>
        <w:t xml:space="preserve">  </w:t>
      </w:r>
    </w:p>
    <w:p>
      <w:pPr>
        <w:pStyle w:val="TextBody"/>
        <w:bidi w:val="0"/>
        <w:spacing w:lineRule="atLeast" w:line="240" w:before="0" w:after="0"/>
        <w:jc w:val="center"/>
        <w:rPr>
          <w:b/>
          <w:color w:val="000000"/>
        </w:rPr>
      </w:pPr>
      <w:r>
        <w:rPr>
          <w:b/>
          <w:caps/>
          <w:color w:val="000000"/>
        </w:rPr>
        <w:t>Recitals</w:t>
      </w:r>
      <w:r>
        <w:rPr>
          <w:b/>
          <w:color w:val="000000"/>
        </w:rPr>
        <w:t xml:space="preserve"> </w:t>
      </w:r>
    </w:p>
    <w:p>
      <w:pPr>
        <w:pStyle w:val="TextBody"/>
        <w:bidi w:val="0"/>
        <w:spacing w:lineRule="atLeast" w:line="240" w:before="0" w:after="0"/>
        <w:jc w:val="center"/>
        <w:rPr>
          <w:color w:val="000000"/>
        </w:rPr>
      </w:pPr>
      <w:r>
        <w:rPr>
          <w:color w:val="000000"/>
        </w:rPr>
        <w:t xml:space="preserve">  </w:t>
      </w:r>
    </w:p>
    <w:p>
      <w:pPr>
        <w:pStyle w:val="TextBody"/>
        <w:bidi w:val="0"/>
        <w:spacing w:lineRule="atLeast" w:line="240" w:before="0" w:after="0"/>
        <w:ind w:left="0" w:right="0" w:firstLine="750"/>
        <w:jc w:val="both"/>
        <w:rPr>
          <w:color w:val="000000"/>
          <w:sz w:val="20"/>
        </w:rPr>
      </w:pPr>
      <w:r>
        <w:rPr>
          <w:b/>
          <w:color w:val="000000"/>
          <w:sz w:val="20"/>
        </w:rPr>
        <w:t xml:space="preserve">WHEREAS, </w:t>
      </w:r>
      <w:r>
        <w:rPr>
          <w:color w:val="000000"/>
          <w:sz w:val="20"/>
        </w:rPr>
        <w:t>the Company and Executive have entered into that certain Employment Agreement dated November 25, 2025 (the “</w:t>
      </w:r>
      <w:r>
        <w:rPr>
          <w:b/>
          <w:i/>
          <w:color w:val="000000"/>
          <w:sz w:val="20"/>
          <w:u w:val="single"/>
        </w:rPr>
        <w:t>Executive Agreement</w:t>
      </w:r>
      <w:r>
        <w:rPr>
          <w:color w:val="000000"/>
          <w:sz w:val="20"/>
        </w:rPr>
        <w:t xml:space="preserve">”); and </w:t>
      </w:r>
    </w:p>
    <w:p>
      <w:pPr>
        <w:pStyle w:val="TextBody"/>
        <w:bidi w:val="0"/>
        <w:spacing w:lineRule="atLeast" w:line="240" w:before="0" w:after="0"/>
        <w:jc w:val="both"/>
        <w:rPr>
          <w:color w:val="000000"/>
        </w:rPr>
      </w:pPr>
      <w:r>
        <w:rPr>
          <w:color w:val="000000"/>
        </w:rPr>
        <w:t xml:space="preserve">  </w:t>
      </w:r>
    </w:p>
    <w:p>
      <w:pPr>
        <w:pStyle w:val="TextBody"/>
        <w:bidi w:val="0"/>
        <w:spacing w:lineRule="atLeast" w:line="240" w:before="0" w:after="0"/>
        <w:ind w:left="0" w:right="0" w:firstLine="765"/>
        <w:jc w:val="both"/>
        <w:rPr>
          <w:color w:val="000000"/>
          <w:sz w:val="20"/>
        </w:rPr>
      </w:pPr>
      <w:r>
        <w:rPr>
          <w:b/>
          <w:color w:val="000000"/>
          <w:sz w:val="20"/>
        </w:rPr>
        <w:t xml:space="preserve">WHEREAS, </w:t>
      </w:r>
      <w:r>
        <w:rPr>
          <w:color w:val="000000"/>
          <w:sz w:val="20"/>
        </w:rPr>
        <w:t xml:space="preserve">the Company and Executive wish to amend the Executive Agreement as set forth in this Amendment. </w:t>
      </w:r>
    </w:p>
    <w:p>
      <w:pPr>
        <w:pStyle w:val="TextBody"/>
        <w:bidi w:val="0"/>
        <w:spacing w:lineRule="atLeast" w:line="240" w:before="0" w:after="0"/>
        <w:jc w:val="both"/>
        <w:rPr>
          <w:color w:val="000000"/>
        </w:rPr>
      </w:pPr>
      <w:r>
        <w:rPr>
          <w:color w:val="000000"/>
        </w:rPr>
        <w:t xml:space="preserve">  </w:t>
      </w:r>
    </w:p>
    <w:p>
      <w:pPr>
        <w:pStyle w:val="TextBody"/>
        <w:bidi w:val="0"/>
        <w:spacing w:lineRule="atLeast" w:line="240" w:before="0" w:after="0"/>
        <w:ind w:left="0" w:right="0" w:firstLine="765"/>
        <w:jc w:val="both"/>
        <w:rPr>
          <w:color w:val="000000"/>
          <w:sz w:val="20"/>
        </w:rPr>
      </w:pPr>
      <w:r>
        <w:rPr>
          <w:b/>
          <w:color w:val="000000"/>
          <w:sz w:val="20"/>
        </w:rPr>
        <w:t>NOW, THEREFORE</w:t>
      </w:r>
      <w:r>
        <w:rPr>
          <w:color w:val="000000"/>
          <w:sz w:val="20"/>
        </w:rPr>
        <w:t xml:space="preserve">, in consideration of the mutual covenants contained herein and other valid consideration, the sufficiency of which is acknowledged, the parties hereto agree as follows: </w:t>
      </w:r>
    </w:p>
    <w:p>
      <w:pPr>
        <w:pStyle w:val="TextBody"/>
        <w:bidi w:val="0"/>
        <w:spacing w:lineRule="atLeast" w:line="240" w:before="0" w:after="0"/>
        <w:jc w:val="both"/>
        <w:rPr>
          <w:color w:val="000000"/>
        </w:rPr>
      </w:pPr>
      <w:r>
        <w:rPr>
          <w:color w:val="000000"/>
        </w:rPr>
        <w:t xml:space="preserve">  </w:t>
      </w:r>
    </w:p>
    <w:p>
      <w:pPr>
        <w:pStyle w:val="TextBody"/>
        <w:bidi w:val="0"/>
        <w:spacing w:lineRule="atLeast" w:line="240" w:before="0" w:after="0"/>
        <w:jc w:val="center"/>
        <w:rPr>
          <w:b/>
          <w:color w:val="000000"/>
        </w:rPr>
      </w:pPr>
      <w:r>
        <w:rPr>
          <w:b/>
          <w:caps/>
          <w:color w:val="000000"/>
        </w:rPr>
        <w:t>Agreement</w:t>
      </w:r>
      <w:r>
        <w:rPr>
          <w:b/>
          <w:color w:val="000000"/>
        </w:rPr>
        <w:t xml:space="preserve"> </w:t>
      </w:r>
    </w:p>
    <w:p>
      <w:pPr>
        <w:pStyle w:val="TextBody"/>
        <w:bidi w:val="0"/>
        <w:spacing w:lineRule="atLeast" w:line="240" w:before="0" w:after="0"/>
        <w:jc w:val="center"/>
        <w:rPr>
          <w:color w:val="000000"/>
        </w:rPr>
      </w:pPr>
      <w:r>
        <w:rPr>
          <w:color w:val="000000"/>
        </w:rPr>
        <w:t xml:space="preserve">  </w:t>
      </w:r>
    </w:p>
    <w:p>
      <w:pPr>
        <w:pStyle w:val="TextBody"/>
        <w:bidi w:val="0"/>
        <w:spacing w:lineRule="atLeast" w:line="240" w:before="0" w:after="0"/>
        <w:ind w:left="0" w:right="0" w:hanging="720"/>
        <w:jc w:val="both"/>
        <w:rPr>
          <w:rFonts w:ascii="Times New Roman" w:hAnsi="Times New Roman"/>
          <w:sz w:val="20"/>
        </w:rPr>
      </w:pPr>
      <w:r>
        <w:rPr>
          <w:rFonts w:ascii="Times New Roman" w:hAnsi="Times New Roman"/>
          <w:b/>
          <w:sz w:val="20"/>
          <w:u w:val="single"/>
        </w:rPr>
        <w:t>Amendment to Section 2.6</w:t>
      </w:r>
      <w:r>
        <w:rPr>
          <w:rFonts w:ascii="Times New Roman" w:hAnsi="Times New Roman"/>
          <w:b/>
          <w:sz w:val="20"/>
        </w:rPr>
        <w:t xml:space="preserve">. </w:t>
      </w:r>
      <w:r>
        <w:rPr>
          <w:rFonts w:ascii="Times New Roman" w:hAnsi="Times New Roman"/>
          <w:sz w:val="20"/>
        </w:rPr>
        <w:t xml:space="preserve">Section 2.6 of the Executive Agreement is hereby amended by replacing Section 2.6 in its </w:t>
      </w:r>
      <w:r>
        <w:rPr>
          <w:rFonts w:ascii="Times New Roman" w:hAnsi="Times New Roman"/>
          <w:sz w:val="20"/>
          <w:u w:val="single"/>
        </w:rPr>
        <w:t>entirety</w:t>
      </w:r>
      <w:r>
        <w:rPr>
          <w:rFonts w:ascii="Times New Roman" w:hAnsi="Times New Roman"/>
          <w:sz w:val="20"/>
        </w:rPr>
        <w:t xml:space="preserve"> with the following: </w: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457200" cy="146685"/>
                <wp:effectExtent l="0" t="0" r="0" b="0"/>
                <wp:wrapSquare wrapText="right"/>
                <wp:docPr id="182" name="Frame182"/>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color w:val="000000"/>
                                <w:sz w:val="20"/>
                              </w:rPr>
                              <w:t>1.</w:t>
                            </w:r>
                            <w:r>
                              <w:rPr>
                                <w:sz w:val="20"/>
                              </w:rPr>
                              <w:t xml:space="preserve">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1.</w:t>
                      </w:r>
                      <w:r>
                        <w:rPr>
                          <w:sz w:val="20"/>
                        </w:rPr>
                        <w:t xml:space="preserve"> </w:t>
                      </w:r>
                    </w:p>
                  </w:txbxContent>
                </v:textbox>
                <w10:wrap type="square" side="right"/>
              </v:rect>
            </w:pict>
          </mc:Fallback>
        </mc:AlternateContent>
      </w:r>
    </w:p>
    <w:p>
      <w:pPr>
        <w:pStyle w:val="TextBody"/>
        <w:bidi w:val="0"/>
        <w:spacing w:lineRule="atLeast" w:line="240" w:before="0" w:after="0"/>
        <w:ind w:left="720" w:right="0" w:hanging="0"/>
        <w:jc w:val="both"/>
        <w:rPr/>
      </w:pPr>
      <w:r>
        <w:rPr/>
        <w:t xml:space="preserve">  </w:t>
      </w:r>
    </w:p>
    <w:p>
      <w:pPr>
        <w:pStyle w:val="TextBody"/>
        <w:bidi w:val="0"/>
        <w:spacing w:lineRule="atLeast" w:line="240" w:before="0" w:after="0"/>
        <w:ind w:left="1440" w:right="0" w:hanging="0"/>
        <w:jc w:val="both"/>
        <w:rPr>
          <w:sz w:val="20"/>
        </w:rPr>
      </w:pPr>
      <w:r>
        <w:rPr>
          <w:sz w:val="20"/>
          <w:u w:val="single"/>
        </w:rPr>
        <w:t>Temporary Housing Stipend; Relocation Payment</w:t>
      </w:r>
      <w:r>
        <w:rPr>
          <w:sz w:val="20"/>
        </w:rPr>
        <w:t>. The Company shall provide Executive a monthly stipend of ten thousand dollars ($10,000), net of taxes (“</w:t>
      </w:r>
      <w:r>
        <w:rPr>
          <w:b/>
          <w:i/>
          <w:sz w:val="20"/>
        </w:rPr>
        <w:t>Temporary Housing Payments</w:t>
      </w:r>
      <w:r>
        <w:rPr>
          <w:sz w:val="20"/>
        </w:rPr>
        <w:t>”), for a period of up to eighteen (18) months starting as of August 1, 2026, which period may be extended from time to time upon approval by the Company’s Board of Directors (the “</w:t>
      </w:r>
      <w:r>
        <w:rPr>
          <w:b/>
          <w:i/>
          <w:sz w:val="20"/>
        </w:rPr>
        <w:t>Temporary Housing Period</w:t>
      </w:r>
      <w:r>
        <w:rPr>
          <w:sz w:val="20"/>
        </w:rPr>
        <w:t>”) to be used by Executive for temporary housing in the Boca Raton, Florida area. If Executive relocates full-time to the Boca Raton, Florida area during the Temporary Housing Period, the Company shall cease providing the Temporary Housing Payments and, in lieu of such further payments, provide Executive with a one-time payment of $150,000, net of taxes (the “</w:t>
      </w:r>
      <w:r>
        <w:rPr>
          <w:b/>
          <w:i/>
          <w:sz w:val="20"/>
        </w:rPr>
        <w:t>Relocation Payment</w:t>
      </w:r>
      <w:r>
        <w:rPr>
          <w:sz w:val="20"/>
        </w:rPr>
        <w:t xml:space="preserve">”); provided, however, that in the event Executive voluntarily terminates employment with the Company or is terminated for Cause within eighteen (18) months following the date the Relocation Payment is made to Executive, Executive shall reimburse the Company for the Relocation Payment on or prior to Executive’s last day of employment with the Company. For the avoidance of doubt, nothing herein shall be interpreted as requiring Executive to relocate to the Boca Raton, Florida area. For the further avoidance of doubt, in order to receive the Relocation Payment, Executive must be actively employed and in good standing at the Company and not having given notice of resignation. </w:t>
      </w:r>
    </w:p>
    <w:p>
      <w:pPr>
        <w:pStyle w:val="TextBody"/>
        <w:bidi w:val="0"/>
        <w:spacing w:lineRule="atLeast" w:line="240" w:before="0" w:after="0"/>
        <w:ind w:left="1440" w:right="0" w:hanging="0"/>
        <w:jc w:val="both"/>
        <w:rPr/>
      </w:pPr>
      <w:r>
        <w:rPr/>
        <w:t xml:space="preserve">  </w:t>
      </w:r>
    </w:p>
    <w:p>
      <w:pPr>
        <w:pStyle w:val="TextBody"/>
        <w:bidi w:val="0"/>
        <w:spacing w:lineRule="atLeast" w:line="240" w:before="0" w:after="0"/>
        <w:ind w:left="0" w:right="0" w:hanging="720"/>
        <w:jc w:val="both"/>
        <w:rPr>
          <w:rFonts w:ascii="Times New Roman" w:hAnsi="Times New Roman"/>
          <w:sz w:val="20"/>
        </w:rPr>
      </w:pPr>
      <w:r>
        <w:rPr>
          <w:rFonts w:ascii="Times New Roman" w:hAnsi="Times New Roman"/>
          <w:b/>
          <w:sz w:val="20"/>
          <w:u w:val="single"/>
        </w:rPr>
        <w:t>Amendment to Section 3.2(b)</w:t>
      </w:r>
      <w:r>
        <w:rPr>
          <w:rFonts w:ascii="Times New Roman" w:hAnsi="Times New Roman"/>
          <w:sz w:val="20"/>
        </w:rPr>
        <w:t>. Section 3.2(b) of the Executive Agreement is hereby amended by replacing Section 3.2(b) in its entirety with the following:</w: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457200" cy="146685"/>
                <wp:effectExtent l="0" t="0" r="0" b="0"/>
                <wp:wrapSquare wrapText="right"/>
                <wp:docPr id="183" name="Frame183"/>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color w:val="000000"/>
                                <w:sz w:val="20"/>
                              </w:rPr>
                              <w:t>2.</w:t>
                            </w:r>
                            <w:r>
                              <w:rPr>
                                <w:sz w:val="20"/>
                              </w:rPr>
                              <w:t xml:space="preserve">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2.</w:t>
                      </w:r>
                      <w:r>
                        <w:rPr>
                          <w:sz w:val="20"/>
                        </w:rPr>
                        <w:t xml:space="preserve"> </w:t>
                      </w:r>
                    </w:p>
                  </w:txbxContent>
                </v:textbox>
                <w10:wrap type="square" side="right"/>
              </v:rect>
            </w:pict>
          </mc:Fallback>
        </mc:AlternateContent>
      </w:r>
    </w:p>
    <w:p>
      <w:pPr>
        <w:pStyle w:val="TextBody"/>
        <w:bidi w:val="0"/>
        <w:spacing w:lineRule="atLeast" w:line="240" w:before="0" w:after="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hanging="0"/>
        <w:jc w:val="both"/>
        <w:rPr/>
      </w:pPr>
      <w:r>
        <w:rPr/>
        <w:t xml:space="preserve">In the event that Executive’s employment is terminated (i) by the Company pursuant to Section 3.1(e) without Cause or (ii) due to a resignation by Executive pursuant to Section 3.4 for Good Reason, the Company shall have no further obligation to Executive under this Agreement except for payment to Executive of (A) Executive’s accrued, but unpaid Base Salary through the date of termination, (B) any unreimbursed expenses, subject to any right of set-off, (C) in the event the Executive elects continued coverage under COBRA, the Company will reimburse Executive for the same portion of Executive’s family COBRA health insurance premium that it paid during the Executive’s employment up until the earlier of (i) the date twelve (12) months after the date of Executive’s termination and (ii) the date on which the Executive is eligible for comparable health benefits with another company or business entity; (D) any Target Bonus that has not been paid from the prior performance year to the extent the Board of Directors has determined in good faith that the goals have been attained, payable within 30 days of the date of termination, (E) a severance payment equal to twelve (12) months Base Salary payable in twelve (12) monthly, equal installments after termination; and (F) the accelerated vesting of the Shares underlying the Options and Restricted Stock Units as provided under Section 2.5, as applicable; provided, however, that in the event Executive’s employment is terminated for the reasons stated above in this Section 3.2(b) immediately preceding or within one year following a Change of Control (including, without limitation, the failure of a successor to assume), in addition to receiving the benefits set forth in (A), (B), (C), (D), and (F) above, the severance set forth in (E) above will be equal to fifteen (15) months Base Salary plus Executive’s prorated annual Target Bonus for the calendar year when the termination occurs, payable in a lump sum within five (5) business days of Executive’s termination. Executive’s entitlement to, and receipt of the post-termination severance, bonus and COBRA payments described in this Section is expressly contingent on Executive’s execution and non-revocation of a separation agreement and general release in a form acceptable to the Company which shall be required to be fully enforceable within sixty (60) days of Executive’s termination date. </w:t>
      </w:r>
    </w:p>
    <w:p>
      <w:pPr>
        <w:pStyle w:val="TextBody"/>
        <w:bidi w:val="0"/>
        <w:spacing w:before="0" w:after="0"/>
        <w:ind w:left="720" w:right="0" w:hanging="0"/>
        <w:jc w:val="both"/>
        <w:rPr/>
      </w:pPr>
      <w:r>
        <w:rPr/>
        <w:t xml:space="preserve">  </w:t>
      </w:r>
    </w:p>
    <w:p>
      <w:pPr>
        <w:pStyle w:val="TextBody"/>
        <w:bidi w:val="0"/>
        <w:spacing w:lineRule="atLeast" w:line="240" w:before="0" w:after="0"/>
        <w:ind w:left="0" w:right="0" w:hanging="720"/>
        <w:jc w:val="both"/>
        <w:rPr>
          <w:rFonts w:ascii="Times New Roman" w:hAnsi="Times New Roman"/>
          <w:sz w:val="20"/>
        </w:rPr>
      </w:pPr>
      <w:r>
        <w:rPr>
          <w:rFonts w:ascii="Times New Roman" w:hAnsi="Times New Roman"/>
          <w:sz w:val="20"/>
        </w:rPr>
        <w:t>Except as modified or amended in this Amendment, no other term or provision of the Executive Agreement is amended or modified in any respect. Executive remains employed “at will.” The Executive Agreement and this Amendment set forth the entire understanding between the parties with regard to the subject matter hereof and supersedes any prior oral discussions or written communications and agreements. This Amendment cannot be modified or amended except in writing signed by Executive and an authorized officer of the Company. Executive further agrees that nothing herein shall constitute “Good Reason” as defined in the Executive Agreement.</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457200" cy="146685"/>
                <wp:effectExtent l="0" t="0" r="0" b="0"/>
                <wp:wrapSquare wrapText="right"/>
                <wp:docPr id="184" name="Frame184"/>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color w:val="000000"/>
                                <w:sz w:val="20"/>
                              </w:rPr>
                              <w:t>3.</w:t>
                            </w:r>
                            <w:r>
                              <w:rPr>
                                <w:sz w:val="20"/>
                              </w:rPr>
                              <w:t xml:space="preserve">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3.</w:t>
                      </w:r>
                      <w:r>
                        <w:rPr>
                          <w:sz w:val="20"/>
                        </w:rPr>
                        <w:t xml:space="preserve"> </w:t>
                      </w:r>
                    </w:p>
                  </w:txbxContent>
                </v:textbox>
                <w10:wrap type="square" side="right"/>
              </v:rect>
            </w:pict>
          </mc:Fallback>
        </mc:AlternateContent>
      </w:r>
    </w:p>
    <w:p>
      <w:pPr>
        <w:pStyle w:val="TextBody"/>
        <w:bidi w:val="0"/>
        <w:spacing w:lineRule="atLeast" w:line="240" w:before="0" w:after="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tLeast" w:line="240" w:before="0" w:after="0"/>
        <w:ind w:left="0" w:right="0" w:firstLine="690"/>
        <w:jc w:val="both"/>
        <w:rPr>
          <w:color w:val="000000"/>
        </w:rPr>
      </w:pPr>
      <w:r>
        <w:rPr>
          <w:color w:val="000000"/>
        </w:rPr>
        <w:t>The parties have executed this First Amendment to Employment Agreement on the day and year first written above.</w:t>
      </w:r>
    </w:p>
    <w:p>
      <w:pPr>
        <w:pStyle w:val="TextBody"/>
        <w:bidi w:val="0"/>
        <w:spacing w:lineRule="atLeast" w:line="240" w:before="0" w:after="0"/>
        <w:ind w:left="0" w:right="0" w:firstLine="690"/>
        <w:jc w:val="both"/>
        <w:rPr>
          <w:color w:val="000000"/>
        </w:rPr>
      </w:pPr>
      <w:r>
        <w:rPr>
          <w:color w:val="000000"/>
        </w:rPr>
        <w:t> </w:t>
      </w:r>
    </w:p>
    <w:tbl>
      <w:tblPr>
        <w:tblW w:w="4513" w:type="dxa"/>
        <w:jc w:val="left"/>
        <w:tblInd w:w="0" w:type="dxa"/>
        <w:tblLayout w:type="fixed"/>
        <w:tblCellMar>
          <w:top w:w="28" w:type="dxa"/>
          <w:left w:w="28" w:type="dxa"/>
          <w:bottom w:w="28" w:type="dxa"/>
          <w:right w:w="28" w:type="dxa"/>
        </w:tblCellMar>
      </w:tblPr>
      <w:tblGrid>
        <w:gridCol w:w="161"/>
        <w:gridCol w:w="601"/>
        <w:gridCol w:w="3751"/>
      </w:tblGrid>
      <w:tr>
        <w:trPr/>
        <w:tc>
          <w:tcPr>
            <w:tcW w:w="16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both"/>
              <w:rPr/>
            </w:pPr>
            <w:r>
              <w:rPr/>
              <w:t> </w:t>
            </w:r>
          </w:p>
        </w:tc>
        <w:tc>
          <w:tcPr>
            <w:tcW w:w="4352" w:type="dxa"/>
            <w:gridSpan w:val="2"/>
            <w:tcBorders/>
            <w:vAlign w:val="center"/>
          </w:tcPr>
          <w:p>
            <w:pPr>
              <w:pStyle w:val="TableContents"/>
              <w:bidi w:val="0"/>
              <w:spacing w:before="0" w:after="283"/>
              <w:jc w:val="both"/>
              <w:rPr>
                <w:b/>
              </w:rPr>
            </w:pPr>
            <w:r>
              <w:rPr>
                <w:b/>
                <w:spacing w:val="0"/>
              </w:rPr>
              <w:t>ADMA BIOLOGICS, INC.</w:t>
            </w:r>
            <w:r>
              <w:rPr>
                <w:b/>
              </w:rPr>
              <w:t xml:space="preserve"> </w:t>
            </w:r>
          </w:p>
        </w:tc>
      </w:tr>
      <w:tr>
        <w:trPr/>
        <w:tc>
          <w:tcPr>
            <w:tcW w:w="161" w:type="dxa"/>
            <w:tcBorders/>
            <w:vAlign w:val="center"/>
          </w:tcPr>
          <w:p>
            <w:pPr>
              <w:pStyle w:val="TableContents"/>
              <w:bidi w:val="0"/>
              <w:spacing w:before="0" w:after="283"/>
              <w:jc w:val="both"/>
              <w:rPr/>
            </w:pPr>
            <w:r>
              <w:rPr/>
              <w:t> </w:t>
            </w:r>
          </w:p>
        </w:tc>
        <w:tc>
          <w:tcPr>
            <w:tcW w:w="4352" w:type="dxa"/>
            <w:gridSpan w:val="2"/>
            <w:tcBorders/>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352" w:type="dxa"/>
            <w:gridSpan w:val="2"/>
            <w:tcBorders>
              <w:bottom w:val="single" w:sz="12" w:space="0" w:color="000000"/>
            </w:tcBorders>
            <w:tcMar>
              <w:top w:w="0" w:type="dxa"/>
              <w:left w:w="0" w:type="dxa"/>
              <w:right w:w="0" w:type="dxa"/>
            </w:tcMar>
            <w:vAlign w:val="center"/>
          </w:tcPr>
          <w:p>
            <w:pPr>
              <w:pStyle w:val="TableContents"/>
              <w:bidi w:val="0"/>
              <w:spacing w:lineRule="atLeast" w:line="240" w:before="0" w:after="0"/>
              <w:jc w:val="both"/>
              <w:rPr/>
            </w:pPr>
            <w:r>
              <w:rPr/>
              <w:t xml:space="preserve">/s/ Adam S. Grossman </w:t>
            </w:r>
          </w:p>
        </w:tc>
      </w:tr>
      <w:tr>
        <w:trPr/>
        <w:tc>
          <w:tcPr>
            <w:tcW w:w="161" w:type="dxa"/>
            <w:tcBorders/>
            <w:vAlign w:val="center"/>
          </w:tcPr>
          <w:p>
            <w:pPr>
              <w:pStyle w:val="TableContents"/>
              <w:bidi w:val="0"/>
              <w:spacing w:before="0" w:after="283"/>
              <w:jc w:val="both"/>
              <w:rPr/>
            </w:pPr>
            <w:r>
              <w:rPr/>
              <w:t> </w:t>
            </w:r>
          </w:p>
        </w:tc>
        <w:tc>
          <w:tcPr>
            <w:tcW w:w="601" w:type="dxa"/>
            <w:tcBorders/>
            <w:tcMar>
              <w:top w:w="0" w:type="dxa"/>
              <w:left w:w="0" w:type="dxa"/>
              <w:bottom w:w="0" w:type="dxa"/>
              <w:right w:w="0" w:type="dxa"/>
            </w:tcMar>
            <w:vAlign w:val="center"/>
          </w:tcPr>
          <w:p>
            <w:pPr>
              <w:pStyle w:val="TableContents"/>
              <w:bidi w:val="0"/>
              <w:spacing w:before="0" w:after="283"/>
              <w:jc w:val="both"/>
              <w:rPr>
                <w:spacing w:val="0"/>
              </w:rPr>
            </w:pPr>
            <w:r>
              <w:rPr>
                <w:spacing w:val="0"/>
              </w:rPr>
              <w:t>By:</w:t>
            </w:r>
          </w:p>
        </w:tc>
        <w:tc>
          <w:tcPr>
            <w:tcW w:w="3751" w:type="dxa"/>
            <w:tcBorders/>
            <w:tcMar>
              <w:top w:w="0" w:type="dxa"/>
              <w:left w:w="0" w:type="dxa"/>
              <w:bottom w:w="0" w:type="dxa"/>
              <w:right w:w="0" w:type="dxa"/>
            </w:tcMar>
            <w:vAlign w:val="center"/>
          </w:tcPr>
          <w:p>
            <w:pPr>
              <w:pStyle w:val="TableContents"/>
              <w:bidi w:val="0"/>
              <w:spacing w:before="0" w:after="283"/>
              <w:jc w:val="both"/>
              <w:rPr>
                <w:spacing w:val="0"/>
              </w:rPr>
            </w:pPr>
            <w:r>
              <w:rPr>
                <w:spacing w:val="0"/>
              </w:rPr>
              <w:t>Adam S. Grossman</w:t>
            </w:r>
          </w:p>
        </w:tc>
      </w:tr>
      <w:tr>
        <w:trPr/>
        <w:tc>
          <w:tcPr>
            <w:tcW w:w="161" w:type="dxa"/>
            <w:tcBorders/>
            <w:vAlign w:val="center"/>
          </w:tcPr>
          <w:p>
            <w:pPr>
              <w:pStyle w:val="TableContents"/>
              <w:bidi w:val="0"/>
              <w:spacing w:before="0" w:after="283"/>
              <w:jc w:val="both"/>
              <w:rPr/>
            </w:pPr>
            <w:r>
              <w:rPr/>
              <w:t> </w:t>
            </w:r>
          </w:p>
        </w:tc>
        <w:tc>
          <w:tcPr>
            <w:tcW w:w="601" w:type="dxa"/>
            <w:tcBorders/>
            <w:tcMar>
              <w:top w:w="0" w:type="dxa"/>
              <w:left w:w="0" w:type="dxa"/>
              <w:bottom w:w="0" w:type="dxa"/>
              <w:right w:w="0" w:type="dxa"/>
            </w:tcMar>
            <w:vAlign w:val="center"/>
          </w:tcPr>
          <w:p>
            <w:pPr>
              <w:pStyle w:val="TableContents"/>
              <w:bidi w:val="0"/>
              <w:spacing w:before="0" w:after="283"/>
              <w:jc w:val="both"/>
              <w:rPr>
                <w:spacing w:val="0"/>
              </w:rPr>
            </w:pPr>
            <w:r>
              <w:rPr>
                <w:spacing w:val="0"/>
              </w:rPr>
              <w:t>Title:</w:t>
            </w:r>
          </w:p>
        </w:tc>
        <w:tc>
          <w:tcPr>
            <w:tcW w:w="3751" w:type="dxa"/>
            <w:tcBorders/>
            <w:tcMar>
              <w:top w:w="0" w:type="dxa"/>
              <w:left w:w="0" w:type="dxa"/>
              <w:bottom w:w="0" w:type="dxa"/>
              <w:right w:w="0" w:type="dxa"/>
            </w:tcMar>
            <w:vAlign w:val="center"/>
          </w:tcPr>
          <w:p>
            <w:pPr>
              <w:pStyle w:val="TableContents"/>
              <w:bidi w:val="0"/>
              <w:spacing w:before="0" w:after="283"/>
              <w:jc w:val="both"/>
              <w:rPr>
                <w:spacing w:val="0"/>
              </w:rPr>
            </w:pPr>
            <w:r>
              <w:rPr>
                <w:spacing w:val="0"/>
              </w:rPr>
              <w:t>President and Chief Executive Officer</w:t>
            </w:r>
          </w:p>
        </w:tc>
      </w:tr>
    </w:tbl>
    <w:p>
      <w:pPr>
        <w:pStyle w:val="TextBody"/>
        <w:bidi w:val="0"/>
        <w:spacing w:before="0" w:after="0"/>
        <w:jc w:val="both"/>
        <w:rPr/>
      </w:pPr>
      <w:r>
        <w:rPr/>
        <w:t> </w:t>
      </w:r>
    </w:p>
    <w:tbl>
      <w:tblPr>
        <w:tblW w:w="3147" w:type="dxa"/>
        <w:jc w:val="left"/>
        <w:tblInd w:w="0" w:type="dxa"/>
        <w:tblLayout w:type="fixed"/>
        <w:tblCellMar>
          <w:top w:w="0" w:type="dxa"/>
          <w:left w:w="0" w:type="dxa"/>
          <w:bottom w:w="0" w:type="dxa"/>
          <w:right w:w="0" w:type="dxa"/>
        </w:tblCellMar>
      </w:tblPr>
      <w:tblGrid>
        <w:gridCol w:w="161"/>
        <w:gridCol w:w="2986"/>
      </w:tblGrid>
      <w:tr>
        <w:trPr/>
        <w:tc>
          <w:tcPr>
            <w:tcW w:w="161"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both"/>
              <w:rPr/>
            </w:pPr>
            <w:r>
              <w:rPr/>
              <w:t> </w:t>
            </w:r>
          </w:p>
        </w:tc>
        <w:tc>
          <w:tcPr>
            <w:tcW w:w="2986" w:type="dxa"/>
            <w:tcBorders/>
            <w:vAlign w:val="center"/>
          </w:tcPr>
          <w:p>
            <w:pPr>
              <w:pStyle w:val="TableContents"/>
              <w:bidi w:val="0"/>
              <w:spacing w:lineRule="atLeast" w:line="240" w:before="0" w:after="0"/>
              <w:jc w:val="both"/>
              <w:rPr>
                <w:sz w:val="20"/>
              </w:rPr>
            </w:pPr>
            <w:r>
              <w:rPr>
                <w:b/>
                <w:sz w:val="20"/>
              </w:rPr>
              <w:t>PAUL TERENCE KOHLER, JR.</w:t>
            </w:r>
            <w:r>
              <w:rPr>
                <w:sz w:val="20"/>
              </w:rPr>
              <w:t xml:space="preserve"> </w:t>
            </w:r>
          </w:p>
        </w:tc>
      </w:tr>
      <w:tr>
        <w:trPr/>
        <w:tc>
          <w:tcPr>
            <w:tcW w:w="161" w:type="dxa"/>
            <w:tcBorders/>
            <w:vAlign w:val="center"/>
          </w:tcPr>
          <w:p>
            <w:pPr>
              <w:pStyle w:val="TableContents"/>
              <w:bidi w:val="0"/>
              <w:spacing w:before="0" w:after="283"/>
              <w:jc w:val="both"/>
              <w:rPr/>
            </w:pPr>
            <w:r>
              <w:rPr/>
              <w:t> </w:t>
            </w:r>
          </w:p>
        </w:tc>
        <w:tc>
          <w:tcPr>
            <w:tcW w:w="2986" w:type="dxa"/>
            <w:tcBorders/>
            <w:vAlign w:val="center"/>
          </w:tcPr>
          <w:p>
            <w:pPr>
              <w:pStyle w:val="TableContents"/>
              <w:bidi w:val="0"/>
              <w:spacing w:before="0" w:after="283"/>
              <w:jc w:val="both"/>
              <w:rPr/>
            </w:pPr>
            <w:r>
              <w:rPr/>
              <w:t> </w:t>
            </w:r>
          </w:p>
        </w:tc>
      </w:tr>
      <w:tr>
        <w:trPr/>
        <w:tc>
          <w:tcPr>
            <w:tcW w:w="161" w:type="dxa"/>
            <w:tcBorders/>
            <w:vAlign w:val="center"/>
          </w:tcPr>
          <w:p>
            <w:pPr>
              <w:pStyle w:val="TableContents"/>
              <w:bidi w:val="0"/>
              <w:spacing w:before="0" w:after="283"/>
              <w:jc w:val="both"/>
              <w:rPr/>
            </w:pPr>
            <w:r>
              <w:rPr/>
              <w:t> </w:t>
            </w:r>
          </w:p>
        </w:tc>
        <w:tc>
          <w:tcPr>
            <w:tcW w:w="2986" w:type="dxa"/>
            <w:tcBorders>
              <w:bottom w:val="single" w:sz="12" w:space="0" w:color="000000"/>
            </w:tcBorders>
            <w:tcMar>
              <w:bottom w:w="28" w:type="dxa"/>
            </w:tcMar>
            <w:vAlign w:val="center"/>
          </w:tcPr>
          <w:p>
            <w:pPr>
              <w:pStyle w:val="TableContents"/>
              <w:bidi w:val="0"/>
              <w:spacing w:lineRule="atLeast" w:line="240" w:before="0" w:after="0"/>
              <w:jc w:val="both"/>
              <w:rPr/>
            </w:pPr>
            <w:r>
              <w:rPr>
                <w:sz w:val="20"/>
              </w:rPr>
              <w:t>/s/ Paul Terence Kohler, Jr.</w:t>
            </w:r>
            <w:r>
              <w:rPr/>
              <w:t xml:space="preserve"> </w:t>
            </w:r>
          </w:p>
        </w:tc>
      </w:tr>
      <w:tr>
        <w:trPr/>
        <w:tc>
          <w:tcPr>
            <w:tcW w:w="161" w:type="dxa"/>
            <w:tcBorders/>
            <w:vAlign w:val="center"/>
          </w:tcPr>
          <w:p>
            <w:pPr>
              <w:pStyle w:val="TableContents"/>
              <w:bidi w:val="0"/>
              <w:spacing w:before="0" w:after="283"/>
              <w:jc w:val="both"/>
              <w:rPr/>
            </w:pPr>
            <w:r>
              <w:rPr/>
              <w:t> </w:t>
            </w:r>
          </w:p>
        </w:tc>
        <w:tc>
          <w:tcPr>
            <w:tcW w:w="2986" w:type="dxa"/>
            <w:tcBorders/>
            <w:vAlign w:val="center"/>
          </w:tcPr>
          <w:p>
            <w:pPr>
              <w:pStyle w:val="TableContents"/>
              <w:bidi w:val="0"/>
              <w:spacing w:lineRule="atLeast" w:line="240" w:before="0" w:after="0"/>
              <w:jc w:val="both"/>
              <w:rPr>
                <w:sz w:val="24"/>
              </w:rPr>
            </w:pPr>
            <w:r>
              <w:rPr>
                <w:sz w:val="24"/>
              </w:rPr>
              <w:t xml:space="preserve">Paul Terence Kohler, Jr.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sz w:val="16"/>
        </w:rPr>
      </w:pPr>
      <w:r>
        <w:rPr>
          <w:sz w:val="16"/>
        </w:rPr>
        <w:t>3</w:t>
      </w:r>
    </w:p>
    <w:p>
      <w:pPr>
        <w:pStyle w:val="HorizontalLine"/>
        <w:pBdr>
          <w:bottom w:val="double" w:sz="2" w:space="0" w:color="808080"/>
        </w:pBdr>
        <w:bidi w:val="0"/>
        <w:spacing w:before="0" w:after="283"/>
        <w:jc w:val="left"/>
        <w:rPr/>
      </w:pPr>
      <w:r>
        <w:rPr/>
      </w:r>
    </w:p>
    <w:p>
      <w:pPr>
        <w:pStyle w:val="HorizontalLine"/>
        <w:bidi w:val="0"/>
        <w:jc w:val="left"/>
        <w:rPr/>
      </w:pPr>
      <w:r>
        <w:rPr/>
      </w:r>
      <w:bookmarkStart w:id="31" w:name="ef20075111_ex31-1.htm"/>
      <w:bookmarkStart w:id="32" w:name="ksef20075111_ex311"/>
      <w:bookmarkStart w:id="33" w:name="ef20075111_ex31-1.htm"/>
      <w:bookmarkStart w:id="34" w:name="ksef20075111_ex311"/>
      <w:bookmarkEnd w:id="33"/>
      <w:bookmarkEnd w:id="34"/>
      <w:r>
        <w:br w:type="page"/>
      </w:r>
    </w:p>
    <w:p>
      <w:pPr>
        <w:pStyle w:val="TextBody"/>
        <w:bidi w:val="0"/>
        <w:spacing w:before="0" w:after="0"/>
        <w:ind w:left="0" w:right="0" w:firstLine="720"/>
        <w:jc w:val="right"/>
        <w:rPr/>
      </w:pPr>
      <w:r>
        <w:rPr>
          <w:b/>
          <w:sz w:val="20"/>
        </w:rPr>
        <w:t>Exhibit 31.1</w:t>
      </w:r>
      <w:r>
        <w:rPr/>
        <w:t xml:space="preserve"> </w:t>
      </w:r>
    </w:p>
    <w:p>
      <w:pPr>
        <w:pStyle w:val="TextBody"/>
        <w:bidi w:val="0"/>
        <w:spacing w:before="0" w:after="0"/>
        <w:jc w:val="right"/>
        <w:rPr/>
      </w:pPr>
      <w:r>
        <w:rPr/>
        <w:t xml:space="preserve">  </w:t>
      </w:r>
    </w:p>
    <w:p>
      <w:pPr>
        <w:pStyle w:val="TextBody"/>
        <w:bidi w:val="0"/>
        <w:spacing w:before="0" w:after="0"/>
        <w:jc w:val="center"/>
        <w:rPr/>
      </w:pPr>
      <w:r>
        <w:rPr>
          <w:b/>
          <w:sz w:val="20"/>
        </w:rPr>
        <w:t>CERTIFICATIONS</w:t>
      </w:r>
      <w:r>
        <w:rPr/>
        <w:t xml:space="preserve"> </w:t>
      </w:r>
    </w:p>
    <w:p>
      <w:pPr>
        <w:pStyle w:val="TextBody"/>
        <w:bidi w:val="0"/>
        <w:spacing w:before="0" w:after="0"/>
        <w:jc w:val="center"/>
        <w:rPr/>
      </w:pPr>
      <w:r>
        <w:rPr/>
        <w:t xml:space="preserve">  </w:t>
      </w:r>
    </w:p>
    <w:p>
      <w:pPr>
        <w:pStyle w:val="TextBody"/>
        <w:bidi w:val="0"/>
        <w:spacing w:before="0" w:after="0"/>
        <w:jc w:val="both"/>
        <w:rPr/>
      </w:pPr>
      <w:r>
        <w:rPr>
          <w:sz w:val="20"/>
        </w:rPr>
        <w:t>I, Adam S. Grossman, certify that:</w:t>
      </w:r>
      <w:r>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pPr>
      <w:r>
        <w:rPr>
          <w:sz w:val="20"/>
        </w:rPr>
        <w:t>I have reviewed this Quarterly Report on Form 10-Q of ADMA Biologics, Inc. (the “registrant”);</w:t>
      </w:r>
      <w:r>
        <w:rPr/>
        <w:t xml:space="preserve"> </w: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228600" cy="175260"/>
                <wp:effectExtent l="0" t="0" r="0" b="0"/>
                <wp:wrapSquare wrapText="right"/>
                <wp:docPr id="185" name="Frame18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1.</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t xml:space="preserve"> </w:t>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228600" cy="175260"/>
                <wp:effectExtent l="0" t="0" r="0" b="0"/>
                <wp:wrapSquare wrapText="right"/>
                <wp:docPr id="186" name="Frame18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2.</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t xml:space="preserve"> </w: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228600" cy="175260"/>
                <wp:effectExtent l="0" t="0" r="0" b="0"/>
                <wp:wrapSquare wrapText="right"/>
                <wp:docPr id="187" name="Frame18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3.</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3.</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t xml:space="preserve"> </w:t>
      </w:r>
      <w:r>
        <mc:AlternateContent>
          <mc:Choice Requires="wps">
            <w:drawing>
              <wp:anchor behindDoc="0" distT="0" distB="0" distL="0" distR="0" simplePos="0" locked="0" layoutInCell="1" allowOverlap="1" relativeHeight="189">
                <wp:simplePos x="0" y="0"/>
                <wp:positionH relativeFrom="column">
                  <wp:align>left</wp:align>
                </wp:positionH>
                <wp:positionV relativeFrom="line">
                  <wp:posOffset>635</wp:posOffset>
                </wp:positionV>
                <wp:extent cx="228600" cy="175260"/>
                <wp:effectExtent l="0" t="0" r="0" b="0"/>
                <wp:wrapSquare wrapText="right"/>
                <wp:docPr id="188" name="Frame18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4.</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4.</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t xml:space="preserve"> </w: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228600" cy="175260"/>
                <wp:effectExtent l="0" t="0" r="0" b="0"/>
                <wp:wrapSquare wrapText="right"/>
                <wp:docPr id="189" name="Frame18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p>
      <w:pPr>
        <w:pStyle w:val="TextBody"/>
        <w:bidi w:val="0"/>
        <w:spacing w:before="0" w:after="0"/>
        <w:ind w:left="0" w:right="0" w:hanging="360"/>
        <w:jc w:val="both"/>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t xml:space="preserve"> </w:t>
      </w:r>
      <w:r>
        <mc:AlternateContent>
          <mc:Choice Requires="wps">
            <w:drawing>
              <wp:anchor behindDoc="0" distT="0" distB="0" distL="0" distR="0" simplePos="0" locked="0" layoutInCell="1" allowOverlap="1" relativeHeight="191">
                <wp:simplePos x="0" y="0"/>
                <wp:positionH relativeFrom="column">
                  <wp:align>left</wp:align>
                </wp:positionH>
                <wp:positionV relativeFrom="line">
                  <wp:posOffset>635</wp:posOffset>
                </wp:positionV>
                <wp:extent cx="228600" cy="175260"/>
                <wp:effectExtent l="0" t="0" r="0" b="0"/>
                <wp:wrapSquare wrapText="right"/>
                <wp:docPr id="190" name="Frame19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p>
      <w:pPr>
        <w:pStyle w:val="TextBody"/>
        <w:bidi w:val="0"/>
        <w:spacing w:before="0" w:after="0"/>
        <w:ind w:left="0" w:right="0" w:hanging="360"/>
        <w:jc w:val="both"/>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t xml:space="preserve"> </w:t>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228600" cy="175260"/>
                <wp:effectExtent l="0" t="0" r="0" b="0"/>
                <wp:wrapSquare wrapText="right"/>
                <wp:docPr id="191" name="Frame19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c)</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c)</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p>
      <w:pPr>
        <w:pStyle w:val="TextBody"/>
        <w:bidi w:val="0"/>
        <w:spacing w:before="0" w:after="0"/>
        <w:ind w:left="0" w:right="0" w:hanging="360"/>
        <w:jc w:val="both"/>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t xml:space="preserve"> </w:t>
      </w:r>
      <w:r>
        <mc:AlternateContent>
          <mc:Choice Requires="wps">
            <w:drawing>
              <wp:anchor behindDoc="0" distT="0" distB="0" distL="0" distR="0" simplePos="0" locked="0" layoutInCell="1" allowOverlap="1" relativeHeight="193">
                <wp:simplePos x="0" y="0"/>
                <wp:positionH relativeFrom="column">
                  <wp:align>left</wp:align>
                </wp:positionH>
                <wp:positionV relativeFrom="line">
                  <wp:posOffset>635</wp:posOffset>
                </wp:positionV>
                <wp:extent cx="228600" cy="175260"/>
                <wp:effectExtent l="0" t="0" r="0" b="0"/>
                <wp:wrapSquare wrapText="right"/>
                <wp:docPr id="192" name="Frame19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d)</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d)</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p>
      <w:pPr>
        <w:pStyle w:val="TextBody"/>
        <w:bidi w:val="0"/>
        <w:spacing w:before="0" w:after="0"/>
        <w:ind w:left="0" w:right="0" w:hanging="360"/>
        <w:jc w:val="both"/>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t xml:space="preserve"> </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228600" cy="175260"/>
                <wp:effectExtent l="0" t="0" r="0" b="0"/>
                <wp:wrapSquare wrapText="right"/>
                <wp:docPr id="193" name="Frame19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5.</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5.</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r>
        <w:rPr/>
        <w:t xml:space="preserve"> </w:t>
      </w:r>
      <w:r>
        <mc:AlternateContent>
          <mc:Choice Requires="wps">
            <w:drawing>
              <wp:anchor behindDoc="0" distT="0" distB="0" distL="0" distR="0" simplePos="0" locked="0" layoutInCell="1" allowOverlap="1" relativeHeight="195">
                <wp:simplePos x="0" y="0"/>
                <wp:positionH relativeFrom="column">
                  <wp:align>left</wp:align>
                </wp:positionH>
                <wp:positionV relativeFrom="line">
                  <wp:posOffset>635</wp:posOffset>
                </wp:positionV>
                <wp:extent cx="228600" cy="175260"/>
                <wp:effectExtent l="0" t="0" r="0" b="0"/>
                <wp:wrapSquare wrapText="right"/>
                <wp:docPr id="194" name="Frame19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p>
      <w:pPr>
        <w:pStyle w:val="TextBody"/>
        <w:bidi w:val="0"/>
        <w:spacing w:before="0" w:after="0"/>
        <w:ind w:left="0" w:right="0" w:hanging="360"/>
        <w:jc w:val="both"/>
        <w:rPr/>
      </w:pPr>
      <w:r>
        <w:rPr>
          <w:sz w:val="20"/>
        </w:rPr>
        <w:t>Any fraud, whether or not material, that involves management or other employees who have a significant role in the registrant’s internal control over financial reporting.</w:t>
      </w:r>
      <w:r>
        <w:rPr/>
        <w:t xml:space="preserve"> </w: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228600" cy="175260"/>
                <wp:effectExtent l="0" t="0" r="0" b="0"/>
                <wp:wrapSquare wrapText="right"/>
                <wp:docPr id="195" name="Frame19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tbl>
      <w:tblPr>
        <w:tblW w:w="6828" w:type="dxa"/>
        <w:jc w:val="left"/>
        <w:tblInd w:w="0" w:type="dxa"/>
        <w:tblLayout w:type="fixed"/>
        <w:tblCellMar>
          <w:top w:w="28" w:type="dxa"/>
          <w:left w:w="28" w:type="dxa"/>
          <w:bottom w:w="28" w:type="dxa"/>
          <w:right w:w="28" w:type="dxa"/>
        </w:tblCellMar>
      </w:tblPr>
      <w:tblGrid>
        <w:gridCol w:w="2221"/>
        <w:gridCol w:w="796"/>
        <w:gridCol w:w="3811"/>
      </w:tblGrid>
      <w:tr>
        <w:trPr/>
        <w:tc>
          <w:tcPr>
            <w:tcW w:w="222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3811" w:type="dxa"/>
            <w:tcBorders/>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0"/>
              <w:jc w:val="left"/>
              <w:rPr/>
            </w:pPr>
            <w:r>
              <w:rPr/>
              <w:t xml:space="preserve">Date: August 5, 2026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381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Adam S. Grossman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Name: </w:t>
            </w:r>
          </w:p>
        </w:tc>
        <w:tc>
          <w:tcPr>
            <w:tcW w:w="3811" w:type="dxa"/>
            <w:tcBorders/>
            <w:tcMar>
              <w:top w:w="0" w:type="dxa"/>
              <w:left w:w="0" w:type="dxa"/>
              <w:bottom w:w="0" w:type="dxa"/>
              <w:right w:w="0" w:type="dxa"/>
            </w:tcMar>
            <w:vAlign w:val="center"/>
          </w:tcPr>
          <w:p>
            <w:pPr>
              <w:pStyle w:val="TableContents"/>
              <w:bidi w:val="0"/>
              <w:spacing w:before="0" w:after="0"/>
              <w:jc w:val="left"/>
              <w:rPr/>
            </w:pPr>
            <w:r>
              <w:rPr/>
              <w:t xml:space="preserve">Adam S. Grossman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Title: </w:t>
            </w:r>
          </w:p>
        </w:tc>
        <w:tc>
          <w:tcPr>
            <w:tcW w:w="3811" w:type="dxa"/>
            <w:tcBorders/>
            <w:tcMar>
              <w:top w:w="0" w:type="dxa"/>
              <w:left w:w="0" w:type="dxa"/>
              <w:bottom w:w="0" w:type="dxa"/>
              <w:right w:w="0" w:type="dxa"/>
            </w:tcMar>
            <w:vAlign w:val="center"/>
          </w:tcPr>
          <w:p>
            <w:pPr>
              <w:pStyle w:val="TableContents"/>
              <w:bidi w:val="0"/>
              <w:spacing w:before="0" w:after="0"/>
              <w:jc w:val="left"/>
              <w:rPr/>
            </w:pPr>
            <w:r>
              <w:rPr/>
              <w:t xml:space="preserve">President and Chief Executive Officer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0"/>
              <w:jc w:val="left"/>
              <w:rPr/>
            </w:pPr>
            <w:r>
              <w:rPr/>
              <w:t xml:space="preserve">(Principal Executive Officer) </w:t>
            </w:r>
          </w:p>
        </w:tc>
      </w:tr>
    </w:tbl>
    <w:p>
      <w:pPr>
        <w:pStyle w:val="TextBody"/>
        <w:bidi w:val="0"/>
        <w:spacing w:before="0" w:after="0"/>
        <w:jc w:val="righ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35" w:name="ef20075111_ex31-2.htm"/>
      <w:bookmarkStart w:id="36" w:name="ksef20075111_ex312"/>
      <w:bookmarkStart w:id="37" w:name="ef20075111_ex31-2.htm"/>
      <w:bookmarkStart w:id="38" w:name="ksef20075111_ex312"/>
      <w:bookmarkEnd w:id="37"/>
      <w:bookmarkEnd w:id="38"/>
      <w:r>
        <w:br w:type="page"/>
      </w:r>
    </w:p>
    <w:p>
      <w:pPr>
        <w:pStyle w:val="TextBody"/>
        <w:bidi w:val="0"/>
        <w:spacing w:before="0" w:after="0"/>
        <w:ind w:left="0" w:right="0" w:firstLine="720"/>
        <w:jc w:val="right"/>
        <w:rPr/>
      </w:pPr>
      <w:r>
        <w:rPr>
          <w:b/>
          <w:sz w:val="20"/>
        </w:rPr>
        <w:t>Exhibit 31.2</w:t>
      </w:r>
      <w:r>
        <w:rPr/>
        <w:t xml:space="preserve"> </w:t>
      </w:r>
    </w:p>
    <w:p>
      <w:pPr>
        <w:pStyle w:val="TextBody"/>
        <w:bidi w:val="0"/>
        <w:spacing w:before="0" w:after="0"/>
        <w:jc w:val="right"/>
        <w:rPr/>
      </w:pPr>
      <w:r>
        <w:rPr/>
        <w:t xml:space="preserve">  </w:t>
      </w:r>
    </w:p>
    <w:p>
      <w:pPr>
        <w:pStyle w:val="TextBody"/>
        <w:bidi w:val="0"/>
        <w:spacing w:before="0" w:after="0"/>
        <w:jc w:val="center"/>
        <w:rPr/>
      </w:pPr>
      <w:r>
        <w:rPr>
          <w:b/>
          <w:sz w:val="20"/>
        </w:rPr>
        <w:t>CERTIFICATIONS</w:t>
      </w:r>
      <w:r>
        <w:rPr/>
        <w:t xml:space="preserve"> </w:t>
      </w:r>
    </w:p>
    <w:p>
      <w:pPr>
        <w:pStyle w:val="TextBody"/>
        <w:bidi w:val="0"/>
        <w:spacing w:before="0" w:after="0"/>
        <w:jc w:val="center"/>
        <w:rPr/>
      </w:pPr>
      <w:r>
        <w:rPr/>
        <w:t xml:space="preserve">  </w:t>
      </w:r>
    </w:p>
    <w:p>
      <w:pPr>
        <w:pStyle w:val="TextBody"/>
        <w:bidi w:val="0"/>
        <w:spacing w:before="0" w:after="0"/>
        <w:jc w:val="both"/>
        <w:rPr/>
      </w:pPr>
      <w:r>
        <w:rPr>
          <w:sz w:val="20"/>
        </w:rPr>
        <w:t>I, Paul Terence Kohler, Jr., certify that:</w:t>
      </w:r>
      <w:r>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pPr>
      <w:r>
        <w:rPr>
          <w:sz w:val="20"/>
        </w:rPr>
        <w:t>I have reviewed this Quarterly Report on Form 10-Q of ADMA Biologics, Inc. (the “registrant”);</w:t>
      </w:r>
      <w:r>
        <w:rPr/>
        <w:t xml:space="preserve"> </w:t>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228600" cy="175260"/>
                <wp:effectExtent l="0" t="0" r="0" b="0"/>
                <wp:wrapSquare wrapText="right"/>
                <wp:docPr id="196" name="Frame19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1.</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t xml:space="preserve"> </w:t>
      </w:r>
      <w:r>
        <mc:AlternateContent>
          <mc:Choice Requires="wps">
            <w:drawing>
              <wp:anchor behindDoc="0" distT="0" distB="0" distL="0" distR="0" simplePos="0" locked="0" layoutInCell="1" allowOverlap="1" relativeHeight="198">
                <wp:simplePos x="0" y="0"/>
                <wp:positionH relativeFrom="column">
                  <wp:align>left</wp:align>
                </wp:positionH>
                <wp:positionV relativeFrom="line">
                  <wp:posOffset>635</wp:posOffset>
                </wp:positionV>
                <wp:extent cx="228600" cy="175260"/>
                <wp:effectExtent l="0" t="0" r="0" b="0"/>
                <wp:wrapSquare wrapText="right"/>
                <wp:docPr id="197" name="Frame19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2.</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t xml:space="preserve"> </w:t>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228600" cy="175260"/>
                <wp:effectExtent l="0" t="0" r="0" b="0"/>
                <wp:wrapSquare wrapText="right"/>
                <wp:docPr id="198" name="Frame19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3.</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3.</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t xml:space="preserve"> </w:t>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228600" cy="175260"/>
                <wp:effectExtent l="0" t="0" r="0" b="0"/>
                <wp:wrapSquare wrapText="right"/>
                <wp:docPr id="199" name="Frame19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4.</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4.</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t xml:space="preserve"> </w:t>
      </w:r>
      <w:r>
        <mc:AlternateContent>
          <mc:Choice Requires="wps">
            <w:drawing>
              <wp:anchor behindDoc="0" distT="0" distB="0" distL="0" distR="0" simplePos="0" locked="0" layoutInCell="1" allowOverlap="1" relativeHeight="201">
                <wp:simplePos x="0" y="0"/>
                <wp:positionH relativeFrom="column">
                  <wp:align>left</wp:align>
                </wp:positionH>
                <wp:positionV relativeFrom="line">
                  <wp:posOffset>635</wp:posOffset>
                </wp:positionV>
                <wp:extent cx="228600" cy="175260"/>
                <wp:effectExtent l="0" t="0" r="0" b="0"/>
                <wp:wrapSquare wrapText="right"/>
                <wp:docPr id="200" name="Frame20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p>
      <w:pPr>
        <w:pStyle w:val="TextBody"/>
        <w:bidi w:val="0"/>
        <w:spacing w:before="0" w:after="0"/>
        <w:ind w:left="0" w:right="0" w:hanging="360"/>
        <w:jc w:val="both"/>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t xml:space="preserve"> </w: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228600" cy="175260"/>
                <wp:effectExtent l="0" t="0" r="0" b="0"/>
                <wp:wrapSquare wrapText="right"/>
                <wp:docPr id="201" name="Frame20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p>
      <w:pPr>
        <w:pStyle w:val="TextBody"/>
        <w:bidi w:val="0"/>
        <w:spacing w:before="0" w:after="0"/>
        <w:ind w:left="0" w:right="0" w:hanging="360"/>
        <w:jc w:val="both"/>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t xml:space="preserve"> </w:t>
      </w:r>
      <w:r>
        <mc:AlternateContent>
          <mc:Choice Requires="wps">
            <w:drawing>
              <wp:anchor behindDoc="0" distT="0" distB="0" distL="0" distR="0" simplePos="0" locked="0" layoutInCell="1" allowOverlap="1" relativeHeight="203">
                <wp:simplePos x="0" y="0"/>
                <wp:positionH relativeFrom="column">
                  <wp:align>left</wp:align>
                </wp:positionH>
                <wp:positionV relativeFrom="line">
                  <wp:posOffset>635</wp:posOffset>
                </wp:positionV>
                <wp:extent cx="228600" cy="175260"/>
                <wp:effectExtent l="0" t="0" r="0" b="0"/>
                <wp:wrapSquare wrapText="right"/>
                <wp:docPr id="202" name="Frame20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c)</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c)</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p>
      <w:pPr>
        <w:pStyle w:val="TextBody"/>
        <w:bidi w:val="0"/>
        <w:spacing w:before="0" w:after="0"/>
        <w:ind w:left="0" w:right="0" w:hanging="360"/>
        <w:jc w:val="both"/>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t xml:space="preserve"> </w:t>
      </w:r>
      <w:r>
        <mc:AlternateContent>
          <mc:Choice Requires="wps">
            <w:drawing>
              <wp:anchor behindDoc="0" distT="0" distB="0" distL="0" distR="0" simplePos="0" locked="0" layoutInCell="1" allowOverlap="1" relativeHeight="204">
                <wp:simplePos x="0" y="0"/>
                <wp:positionH relativeFrom="column">
                  <wp:align>left</wp:align>
                </wp:positionH>
                <wp:positionV relativeFrom="line">
                  <wp:posOffset>635</wp:posOffset>
                </wp:positionV>
                <wp:extent cx="228600" cy="175260"/>
                <wp:effectExtent l="0" t="0" r="0" b="0"/>
                <wp:wrapSquare wrapText="right"/>
                <wp:docPr id="203" name="Frame20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d)</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d)</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p>
      <w:pPr>
        <w:pStyle w:val="TextBody"/>
        <w:bidi w:val="0"/>
        <w:spacing w:before="0" w:after="0"/>
        <w:ind w:left="0" w:right="0" w:hanging="360"/>
        <w:jc w:val="both"/>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t xml:space="preserve"> </w:t>
      </w:r>
      <w:r>
        <mc:AlternateContent>
          <mc:Choice Requires="wps">
            <w:drawing>
              <wp:anchor behindDoc="0" distT="0" distB="0" distL="0" distR="0" simplePos="0" locked="0" layoutInCell="1" allowOverlap="1" relativeHeight="205">
                <wp:simplePos x="0" y="0"/>
                <wp:positionH relativeFrom="column">
                  <wp:align>left</wp:align>
                </wp:positionH>
                <wp:positionV relativeFrom="line">
                  <wp:posOffset>635</wp:posOffset>
                </wp:positionV>
                <wp:extent cx="228600" cy="175260"/>
                <wp:effectExtent l="0" t="0" r="0" b="0"/>
                <wp:wrapSquare wrapText="right"/>
                <wp:docPr id="204" name="Frame20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5.</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5.</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r>
        <w:rPr/>
        <w:t xml:space="preserve"> </w:t>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228600" cy="175260"/>
                <wp:effectExtent l="0" t="0" r="0" b="0"/>
                <wp:wrapSquare wrapText="right"/>
                <wp:docPr id="205" name="Frame20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p>
      <w:pPr>
        <w:pStyle w:val="TextBody"/>
        <w:bidi w:val="0"/>
        <w:spacing w:before="0" w:after="0"/>
        <w:ind w:left="0" w:right="0" w:hanging="360"/>
        <w:jc w:val="both"/>
        <w:rPr/>
      </w:pPr>
      <w:r>
        <w:rPr>
          <w:sz w:val="20"/>
        </w:rPr>
        <w:t>Any fraud, whether or not material, that involves management or other employees who have a significant role in the registrant’s internal control over financial reporting.</w:t>
      </w:r>
      <w:r>
        <w:rPr/>
        <w:t xml:space="preserve"> </w:t>
      </w:r>
      <w:r>
        <mc:AlternateContent>
          <mc:Choice Requires="wps">
            <w:drawing>
              <wp:anchor behindDoc="0" distT="0" distB="0" distL="0" distR="0" simplePos="0" locked="0" layoutInCell="1" allowOverlap="1" relativeHeight="207">
                <wp:simplePos x="0" y="0"/>
                <wp:positionH relativeFrom="column">
                  <wp:align>left</wp:align>
                </wp:positionH>
                <wp:positionV relativeFrom="line">
                  <wp:posOffset>635</wp:posOffset>
                </wp:positionV>
                <wp:extent cx="228600" cy="175260"/>
                <wp:effectExtent l="0" t="0" r="0" b="0"/>
                <wp:wrapSquare wrapText="right"/>
                <wp:docPr id="206" name="Frame20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ind w:left="1260" w:right="0" w:hanging="0"/>
        <w:jc w:val="both"/>
        <w:rPr/>
      </w:pPr>
      <w:r>
        <w:rPr/>
        <w:t xml:space="preserve">  </w:t>
      </w:r>
    </w:p>
    <w:tbl>
      <w:tblPr>
        <w:tblW w:w="5073" w:type="dxa"/>
        <w:jc w:val="left"/>
        <w:tblInd w:w="0" w:type="dxa"/>
        <w:tblLayout w:type="fixed"/>
        <w:tblCellMar>
          <w:top w:w="28" w:type="dxa"/>
          <w:left w:w="28" w:type="dxa"/>
          <w:bottom w:w="28" w:type="dxa"/>
          <w:right w:w="28" w:type="dxa"/>
        </w:tblCellMar>
      </w:tblPr>
      <w:tblGrid>
        <w:gridCol w:w="1906"/>
        <w:gridCol w:w="691"/>
        <w:gridCol w:w="2476"/>
      </w:tblGrid>
      <w:tr>
        <w:trPr/>
        <w:tc>
          <w:tcPr>
            <w:tcW w:w="190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0"/>
              <w:jc w:val="left"/>
              <w:rPr/>
            </w:pPr>
            <w:r>
              <w:rPr>
                <w:sz w:val="20"/>
              </w:rPr>
              <w:t>Date: August 5, 2026</w:t>
            </w:r>
            <w:r>
              <w:rPr/>
              <w:t xml:space="preserve"> </w:t>
            </w:r>
          </w:p>
        </w:tc>
        <w:tc>
          <w:tcPr>
            <w:tcW w:w="691" w:type="dxa"/>
            <w:tcBorders/>
            <w:tcMar>
              <w:top w:w="0" w:type="dxa"/>
              <w:left w:w="0" w:type="dxa"/>
              <w:bottom w:w="0" w:type="dxa"/>
              <w:right w:w="0" w:type="dxa"/>
            </w:tcMar>
            <w:vAlign w:val="center"/>
          </w:tcPr>
          <w:p>
            <w:pPr>
              <w:pStyle w:val="TableContents"/>
              <w:bidi w:val="0"/>
              <w:spacing w:before="0" w:after="0"/>
              <w:jc w:val="left"/>
              <w:rPr/>
            </w:pPr>
            <w:r>
              <w:rPr>
                <w:sz w:val="20"/>
              </w:rPr>
              <w:t>By:</w:t>
            </w:r>
            <w:r>
              <w:rPr/>
              <w:t xml:space="preserve"> </w:t>
            </w:r>
          </w:p>
        </w:tc>
        <w:tc>
          <w:tcPr>
            <w:tcW w:w="2476" w:type="dxa"/>
            <w:tcBorders>
              <w:bottom w:val="single" w:sz="12" w:space="0" w:color="000000"/>
            </w:tcBorders>
            <w:tcMar>
              <w:top w:w="0" w:type="dxa"/>
              <w:left w:w="0" w:type="dxa"/>
              <w:right w:w="0" w:type="dxa"/>
            </w:tcMar>
            <w:vAlign w:val="center"/>
          </w:tcPr>
          <w:p>
            <w:pPr>
              <w:pStyle w:val="TableContents"/>
              <w:bidi w:val="0"/>
              <w:spacing w:before="0" w:after="0"/>
              <w:jc w:val="left"/>
              <w:rPr/>
            </w:pPr>
            <w:r>
              <w:rPr>
                <w:sz w:val="20"/>
              </w:rPr>
              <w:t>/s/ Paul Terence Kohler, Jr.</w:t>
            </w:r>
            <w:r>
              <w:rPr/>
              <w:t xml:space="preserve"> </w:t>
            </w:r>
          </w:p>
        </w:tc>
      </w:tr>
      <w:tr>
        <w:trPr/>
        <w:tc>
          <w:tcPr>
            <w:tcW w:w="19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cMar>
              <w:top w:w="0" w:type="dxa"/>
              <w:left w:w="0" w:type="dxa"/>
              <w:bottom w:w="0" w:type="dxa"/>
              <w:right w:w="0" w:type="dxa"/>
            </w:tcMar>
            <w:vAlign w:val="center"/>
          </w:tcPr>
          <w:p>
            <w:pPr>
              <w:pStyle w:val="TableContents"/>
              <w:bidi w:val="0"/>
              <w:spacing w:before="0" w:after="0"/>
              <w:jc w:val="left"/>
              <w:rPr/>
            </w:pPr>
            <w:r>
              <w:rPr>
                <w:sz w:val="20"/>
              </w:rPr>
              <w:t>Name:</w:t>
            </w:r>
            <w:r>
              <w:rPr/>
              <w:t xml:space="preserve"> </w:t>
            </w:r>
          </w:p>
        </w:tc>
        <w:tc>
          <w:tcPr>
            <w:tcW w:w="2476" w:type="dxa"/>
            <w:tcBorders/>
            <w:tcMar>
              <w:top w:w="0" w:type="dxa"/>
              <w:left w:w="0" w:type="dxa"/>
              <w:bottom w:w="0" w:type="dxa"/>
              <w:right w:w="0" w:type="dxa"/>
            </w:tcMar>
            <w:vAlign w:val="center"/>
          </w:tcPr>
          <w:p>
            <w:pPr>
              <w:pStyle w:val="TableContents"/>
              <w:bidi w:val="0"/>
              <w:spacing w:before="0" w:after="0"/>
              <w:jc w:val="left"/>
              <w:rPr/>
            </w:pPr>
            <w:r>
              <w:rPr>
                <w:sz w:val="20"/>
              </w:rPr>
              <w:t>Paul Terence Kohler, Jr.</w:t>
            </w:r>
            <w:r>
              <w:rPr/>
              <w:t xml:space="preserve"> </w:t>
            </w:r>
          </w:p>
        </w:tc>
      </w:tr>
      <w:tr>
        <w:trPr/>
        <w:tc>
          <w:tcPr>
            <w:tcW w:w="19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cMar>
              <w:top w:w="0" w:type="dxa"/>
              <w:left w:w="0" w:type="dxa"/>
              <w:bottom w:w="0" w:type="dxa"/>
              <w:right w:w="0" w:type="dxa"/>
            </w:tcMar>
            <w:vAlign w:val="center"/>
          </w:tcPr>
          <w:p>
            <w:pPr>
              <w:pStyle w:val="TableContents"/>
              <w:bidi w:val="0"/>
              <w:spacing w:before="0" w:after="0"/>
              <w:jc w:val="left"/>
              <w:rPr/>
            </w:pPr>
            <w:r>
              <w:rPr>
                <w:sz w:val="20"/>
              </w:rPr>
              <w:t>Title:</w:t>
            </w:r>
            <w:r>
              <w:rPr/>
              <w:t xml:space="preserve"> </w:t>
            </w:r>
          </w:p>
        </w:tc>
        <w:tc>
          <w:tcPr>
            <w:tcW w:w="2476" w:type="dxa"/>
            <w:tcBorders/>
            <w:tcMar>
              <w:top w:w="0" w:type="dxa"/>
              <w:left w:w="0" w:type="dxa"/>
              <w:bottom w:w="0" w:type="dxa"/>
              <w:right w:w="0" w:type="dxa"/>
            </w:tcMar>
            <w:vAlign w:val="center"/>
          </w:tcPr>
          <w:p>
            <w:pPr>
              <w:pStyle w:val="TableContents"/>
              <w:bidi w:val="0"/>
              <w:spacing w:before="0" w:after="0"/>
              <w:jc w:val="left"/>
              <w:rPr/>
            </w:pPr>
            <w:r>
              <w:rPr>
                <w:sz w:val="20"/>
              </w:rPr>
              <w:t>Chief Financial Officer</w:t>
            </w:r>
            <w:r>
              <w:rPr/>
              <w:t xml:space="preserve"> </w:t>
            </w:r>
          </w:p>
        </w:tc>
      </w:tr>
      <w:tr>
        <w:trPr/>
        <w:tc>
          <w:tcPr>
            <w:tcW w:w="19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9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476" w:type="dxa"/>
            <w:tcBorders/>
            <w:tcMar>
              <w:top w:w="0" w:type="dxa"/>
              <w:left w:w="0" w:type="dxa"/>
              <w:bottom w:w="0" w:type="dxa"/>
              <w:right w:w="0" w:type="dxa"/>
            </w:tcMar>
            <w:vAlign w:val="center"/>
          </w:tcPr>
          <w:p>
            <w:pPr>
              <w:pStyle w:val="TableContents"/>
              <w:bidi w:val="0"/>
              <w:spacing w:before="0" w:after="0"/>
              <w:jc w:val="left"/>
              <w:rPr/>
            </w:pPr>
            <w:r>
              <w:rPr>
                <w:sz w:val="20"/>
              </w:rPr>
              <w:t>(Principal Financial Officer)</w:t>
            </w:r>
            <w:r>
              <w:rPr/>
              <w:t xml:space="preserve"> </w:t>
            </w:r>
          </w:p>
        </w:tc>
      </w:tr>
    </w:tbl>
    <w:p>
      <w:pPr>
        <w:pStyle w:val="TextBody"/>
        <w:bidi w:val="0"/>
        <w:spacing w:before="0" w:after="0"/>
        <w:jc w:val="righ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39" w:name="ef20075111_ex32-1.htm"/>
      <w:bookmarkStart w:id="40" w:name="ksef20075111_ex321"/>
      <w:bookmarkStart w:id="41" w:name="ef20075111_ex32-1.htm"/>
      <w:bookmarkStart w:id="42" w:name="ksef20075111_ex321"/>
      <w:bookmarkEnd w:id="41"/>
      <w:bookmarkEnd w:id="42"/>
      <w:r>
        <w:br w:type="page"/>
      </w:r>
    </w:p>
    <w:p>
      <w:pPr>
        <w:pStyle w:val="TextBody"/>
        <w:bidi w:val="0"/>
        <w:spacing w:before="0" w:after="0"/>
        <w:ind w:left="0" w:right="0" w:firstLine="720"/>
        <w:jc w:val="right"/>
        <w:rPr/>
      </w:pPr>
      <w:r>
        <w:rPr>
          <w:b/>
          <w:sz w:val="20"/>
        </w:rPr>
        <w:t>Exhibit 32.1</w:t>
      </w:r>
      <w:r>
        <w:rPr/>
        <w:t xml:space="preserve"> </w:t>
      </w:r>
    </w:p>
    <w:p>
      <w:pPr>
        <w:pStyle w:val="TextBody"/>
        <w:bidi w:val="0"/>
        <w:spacing w:before="0" w:after="0"/>
        <w:jc w:val="right"/>
        <w:rPr/>
      </w:pPr>
      <w:r>
        <w:rPr/>
        <w:t xml:space="preserve">  </w:t>
      </w:r>
    </w:p>
    <w:p>
      <w:pPr>
        <w:pStyle w:val="TextBody"/>
        <w:bidi w:val="0"/>
        <w:spacing w:before="0" w:after="0"/>
        <w:jc w:val="center"/>
        <w:rPr/>
      </w:pPr>
      <w:r>
        <w:rPr>
          <w:b/>
          <w:sz w:val="20"/>
        </w:rPr>
        <w:t>CERTIFICATIONS</w:t>
      </w:r>
      <w:r>
        <w:rPr/>
        <w:t xml:space="preserve"> </w:t>
      </w:r>
    </w:p>
    <w:p>
      <w:pPr>
        <w:pStyle w:val="TextBody"/>
        <w:bidi w:val="0"/>
        <w:spacing w:before="0" w:after="0"/>
        <w:jc w:val="center"/>
        <w:rPr/>
      </w:pPr>
      <w:r>
        <w:rPr/>
        <w:t xml:space="preserve">  </w:t>
      </w:r>
    </w:p>
    <w:p>
      <w:pPr>
        <w:pStyle w:val="TextBody"/>
        <w:bidi w:val="0"/>
        <w:spacing w:before="0" w:after="0"/>
        <w:jc w:val="both"/>
        <w:rPr/>
      </w:pPr>
      <w:r>
        <w:rPr>
          <w:sz w:val="20"/>
        </w:rPr>
        <w:t>In connection with the Quarterly Report of ADMA Biologics, Inc., a Delaware corporation (the “Company”), on Form 10-Q for the quarter ended June 30, 2026,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r>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pPr>
      <w:r>
        <w:rPr>
          <w:sz w:val="20"/>
        </w:rPr>
        <w:t>The Report fully complies with the requirements of Section 13(a) or 15(d) of the Securities Exchange Act of 1934, as amended; and</w:t>
      </w:r>
      <w:r>
        <w:rPr/>
        <w:t xml:space="preserve"> </w:t>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228600" cy="175260"/>
                <wp:effectExtent l="0" t="0" r="0" b="0"/>
                <wp:wrapSquare wrapText="right"/>
                <wp:docPr id="207" name="Frame20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1.</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pPr>
      <w:r>
        <w:rPr>
          <w:sz w:val="20"/>
        </w:rPr>
        <w:t>The information contained in the Report fairly presents, in all material respects, the financial condition and results of operations of the Company.</w:t>
      </w:r>
      <w:r>
        <w:rPr/>
        <w:t xml:space="preserve"> </w:t>
      </w:r>
      <w:r>
        <mc:AlternateContent>
          <mc:Choice Requires="wps">
            <w:drawing>
              <wp:anchor behindDoc="0" distT="0" distB="0" distL="0" distR="0" simplePos="0" locked="0" layoutInCell="1" allowOverlap="1" relativeHeight="209">
                <wp:simplePos x="0" y="0"/>
                <wp:positionH relativeFrom="column">
                  <wp:align>left</wp:align>
                </wp:positionH>
                <wp:positionV relativeFrom="line">
                  <wp:posOffset>635</wp:posOffset>
                </wp:positionV>
                <wp:extent cx="228600" cy="175260"/>
                <wp:effectExtent l="0" t="0" r="0" b="0"/>
                <wp:wrapSquare wrapText="right"/>
                <wp:docPr id="208" name="Frame20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2.</w:t>
                      </w:r>
                      <w:r>
                        <w:rPr/>
                        <w:t xml:space="preserve"> </w:t>
                      </w:r>
                    </w:p>
                  </w:txbxContent>
                </v:textbox>
                <w10:wrap type="square" side="right"/>
              </v:rect>
            </w:pict>
          </mc:Fallback>
        </mc:AlternateContent>
      </w:r>
    </w:p>
    <w:p>
      <w:pPr>
        <w:pStyle w:val="TextBody"/>
        <w:bidi w:val="0"/>
        <w:spacing w:before="0" w:after="0"/>
        <w:jc w:val="left"/>
        <w:rPr/>
      </w:pPr>
      <w:r>
        <w:rPr/>
        <w:t xml:space="preserve">  </w:t>
      </w:r>
    </w:p>
    <w:tbl>
      <w:tblPr>
        <w:tblW w:w="6828" w:type="dxa"/>
        <w:jc w:val="left"/>
        <w:tblInd w:w="0" w:type="dxa"/>
        <w:tblLayout w:type="fixed"/>
        <w:tblCellMar>
          <w:top w:w="28" w:type="dxa"/>
          <w:left w:w="28" w:type="dxa"/>
          <w:bottom w:w="28" w:type="dxa"/>
          <w:right w:w="28" w:type="dxa"/>
        </w:tblCellMar>
      </w:tblPr>
      <w:tblGrid>
        <w:gridCol w:w="2221"/>
        <w:gridCol w:w="796"/>
        <w:gridCol w:w="3811"/>
      </w:tblGrid>
      <w:tr>
        <w:trPr/>
        <w:tc>
          <w:tcPr>
            <w:tcW w:w="222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3811" w:type="dxa"/>
            <w:tcBorders/>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0"/>
              <w:jc w:val="left"/>
              <w:rPr/>
            </w:pPr>
            <w:r>
              <w:rPr/>
              <w:t xml:space="preserve">Date: August 5, 2026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381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Adam S. Grossman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Name: </w:t>
            </w:r>
          </w:p>
        </w:tc>
        <w:tc>
          <w:tcPr>
            <w:tcW w:w="3811" w:type="dxa"/>
            <w:tcBorders/>
            <w:tcMar>
              <w:top w:w="0" w:type="dxa"/>
              <w:left w:w="0" w:type="dxa"/>
              <w:bottom w:w="0" w:type="dxa"/>
              <w:right w:w="0" w:type="dxa"/>
            </w:tcMar>
            <w:vAlign w:val="center"/>
          </w:tcPr>
          <w:p>
            <w:pPr>
              <w:pStyle w:val="TableContents"/>
              <w:bidi w:val="0"/>
              <w:spacing w:before="0" w:after="0"/>
              <w:jc w:val="left"/>
              <w:rPr/>
            </w:pPr>
            <w:r>
              <w:rPr/>
              <w:t xml:space="preserve">Adam S. Grossman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Title: </w:t>
            </w:r>
          </w:p>
        </w:tc>
        <w:tc>
          <w:tcPr>
            <w:tcW w:w="3811" w:type="dxa"/>
            <w:tcBorders/>
            <w:tcMar>
              <w:top w:w="0" w:type="dxa"/>
              <w:left w:w="0" w:type="dxa"/>
              <w:bottom w:w="0" w:type="dxa"/>
              <w:right w:w="0" w:type="dxa"/>
            </w:tcMar>
            <w:vAlign w:val="center"/>
          </w:tcPr>
          <w:p>
            <w:pPr>
              <w:pStyle w:val="TableContents"/>
              <w:bidi w:val="0"/>
              <w:spacing w:before="0" w:after="0"/>
              <w:jc w:val="left"/>
              <w:rPr/>
            </w:pPr>
            <w:r>
              <w:rPr/>
              <w:t xml:space="preserve">President and Chief Executive Officer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0"/>
              <w:jc w:val="left"/>
              <w:rPr/>
            </w:pPr>
            <w:r>
              <w:rPr/>
              <w:t xml:space="preserve">(Principal Executive Officer) </w:t>
            </w:r>
          </w:p>
        </w:tc>
      </w:tr>
    </w:tbl>
    <w:p>
      <w:pPr>
        <w:pStyle w:val="TextBody"/>
        <w:bidi w:val="0"/>
        <w:spacing w:before="0" w:after="0"/>
        <w:jc w:val="left"/>
        <w:rPr/>
      </w:pPr>
      <w:r>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43" w:name="ef20075111_ex32-2.htm"/>
      <w:bookmarkStart w:id="44" w:name="ksef20075111_ex322"/>
      <w:bookmarkStart w:id="45" w:name="ef20075111_ex32-2.htm"/>
      <w:bookmarkStart w:id="46" w:name="ksef20075111_ex322"/>
      <w:bookmarkEnd w:id="45"/>
      <w:bookmarkEnd w:id="46"/>
      <w:r>
        <w:br w:type="page"/>
      </w:r>
    </w:p>
    <w:p>
      <w:pPr>
        <w:pStyle w:val="TextBody"/>
        <w:bidi w:val="0"/>
        <w:spacing w:before="0" w:after="0"/>
        <w:ind w:left="0" w:right="0" w:firstLine="720"/>
        <w:jc w:val="right"/>
        <w:rPr/>
      </w:pPr>
      <w:r>
        <w:rPr>
          <w:b/>
          <w:sz w:val="20"/>
        </w:rPr>
        <w:t>Exhibit 32.2</w:t>
      </w:r>
      <w:r>
        <w:rPr/>
        <w:t xml:space="preserve"> </w:t>
      </w:r>
    </w:p>
    <w:p>
      <w:pPr>
        <w:pStyle w:val="TextBody"/>
        <w:bidi w:val="0"/>
        <w:spacing w:before="0" w:after="0"/>
        <w:jc w:val="right"/>
        <w:rPr/>
      </w:pPr>
      <w:r>
        <w:rPr/>
        <w:t xml:space="preserve">  </w:t>
      </w:r>
    </w:p>
    <w:p>
      <w:pPr>
        <w:pStyle w:val="TextBody"/>
        <w:bidi w:val="0"/>
        <w:spacing w:before="0" w:after="0"/>
        <w:jc w:val="center"/>
        <w:rPr/>
      </w:pPr>
      <w:r>
        <w:rPr>
          <w:b/>
          <w:sz w:val="20"/>
        </w:rPr>
        <w:t>CERTIFICATIONS</w:t>
      </w:r>
      <w:r>
        <w:rPr/>
        <w:t xml:space="preserve"> </w:t>
      </w:r>
    </w:p>
    <w:p>
      <w:pPr>
        <w:pStyle w:val="TextBody"/>
        <w:bidi w:val="0"/>
        <w:spacing w:before="0" w:after="0"/>
        <w:jc w:val="center"/>
        <w:rPr/>
      </w:pPr>
      <w:r>
        <w:rPr/>
        <w:t xml:space="preserve">  </w:t>
      </w:r>
    </w:p>
    <w:p>
      <w:pPr>
        <w:pStyle w:val="TextBody"/>
        <w:bidi w:val="0"/>
        <w:spacing w:before="0" w:after="0"/>
        <w:jc w:val="both"/>
        <w:rPr/>
      </w:pPr>
      <w:r>
        <w:rPr>
          <w:sz w:val="20"/>
        </w:rPr>
        <w:t>In connection with the Quarterly Report of ADMA Biologics, Inc., a Delaware corporation (the “Company”), on Form 10-Q for the quarter ended June 30, 2026, as filed with the Securities and Exchange Commission on the date hereof (the “Report”), I, Paul Terence Kohler, Jr., Chief Financial Officer of the Company, hereby certify, pursuant to 18 U.S.C. § 1350, as adopted pursuant to Section 906 of the Sarbanes-Oxley Act of 2002, that to my knowledge:</w:t>
      </w:r>
      <w:r>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pPr>
      <w:r>
        <w:rPr>
          <w:sz w:val="20"/>
        </w:rPr>
        <w:t>The Report fully complies with the requirements of Section 13(a) or 15(d) of the Securities Exchange Act of 1934, as amended; and</w:t>
      </w:r>
      <w:r>
        <w:rPr/>
        <w:t xml:space="preserve"> </w: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228600" cy="175260"/>
                <wp:effectExtent l="0" t="0" r="0" b="0"/>
                <wp:wrapSquare wrapText="right"/>
                <wp:docPr id="209" name="Frame20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1.</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pPr>
      <w:r>
        <w:rPr>
          <w:sz w:val="20"/>
        </w:rPr>
        <w:t>The information contained in the Report fairly presents, in all material respects, the financial condition and results of operations of the Company.</w:t>
      </w:r>
      <w:r>
        <w:rPr/>
        <w:t xml:space="preserve"> </w:t>
      </w:r>
      <w:r>
        <mc:AlternateContent>
          <mc:Choice Requires="wps">
            <w:drawing>
              <wp:anchor behindDoc="0" distT="0" distB="0" distL="0" distR="0" simplePos="0" locked="0" layoutInCell="1" allowOverlap="1" relativeHeight="211">
                <wp:simplePos x="0" y="0"/>
                <wp:positionH relativeFrom="column">
                  <wp:align>left</wp:align>
                </wp:positionH>
                <wp:positionV relativeFrom="line">
                  <wp:posOffset>635</wp:posOffset>
                </wp:positionV>
                <wp:extent cx="228600" cy="175260"/>
                <wp:effectExtent l="0" t="0" r="0" b="0"/>
                <wp:wrapSquare wrapText="right"/>
                <wp:docPr id="210" name="Frame21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2.</w:t>
                      </w:r>
                      <w:r>
                        <w:rPr/>
                        <w:t xml:space="preserve"> </w:t>
                      </w:r>
                    </w:p>
                  </w:txbxContent>
                </v:textbox>
                <w10:wrap type="square" side="right"/>
              </v:rect>
            </w:pict>
          </mc:Fallback>
        </mc:AlternateContent>
      </w:r>
    </w:p>
    <w:p>
      <w:pPr>
        <w:pStyle w:val="TextBody"/>
        <w:bidi w:val="0"/>
        <w:spacing w:before="0" w:after="0"/>
        <w:jc w:val="left"/>
        <w:rPr/>
      </w:pPr>
      <w:r>
        <w:rPr/>
        <w:t xml:space="preserve">  </w:t>
      </w:r>
    </w:p>
    <w:tbl>
      <w:tblPr>
        <w:tblW w:w="5883" w:type="dxa"/>
        <w:jc w:val="left"/>
        <w:tblInd w:w="0" w:type="dxa"/>
        <w:tblLayout w:type="fixed"/>
        <w:tblCellMar>
          <w:top w:w="28" w:type="dxa"/>
          <w:left w:w="28" w:type="dxa"/>
          <w:bottom w:w="28" w:type="dxa"/>
          <w:right w:w="28" w:type="dxa"/>
        </w:tblCellMar>
      </w:tblPr>
      <w:tblGrid>
        <w:gridCol w:w="2221"/>
        <w:gridCol w:w="796"/>
        <w:gridCol w:w="2866"/>
      </w:tblGrid>
      <w:tr>
        <w:trPr/>
        <w:tc>
          <w:tcPr>
            <w:tcW w:w="222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2866" w:type="dxa"/>
            <w:tcBorders/>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0"/>
              <w:jc w:val="left"/>
              <w:rPr/>
            </w:pPr>
            <w:r>
              <w:rPr/>
              <w:t xml:space="preserve">Date: August 5, 2026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286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Paul Terence Kohler, Jr.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Name: </w:t>
            </w:r>
          </w:p>
        </w:tc>
        <w:tc>
          <w:tcPr>
            <w:tcW w:w="2866" w:type="dxa"/>
            <w:tcBorders/>
            <w:tcMar>
              <w:top w:w="0" w:type="dxa"/>
              <w:left w:w="0" w:type="dxa"/>
              <w:bottom w:w="0" w:type="dxa"/>
              <w:right w:w="0" w:type="dxa"/>
            </w:tcMar>
            <w:vAlign w:val="center"/>
          </w:tcPr>
          <w:p>
            <w:pPr>
              <w:pStyle w:val="TableContents"/>
              <w:bidi w:val="0"/>
              <w:spacing w:before="0" w:after="0"/>
              <w:jc w:val="left"/>
              <w:rPr/>
            </w:pPr>
            <w:r>
              <w:rPr/>
              <w:t xml:space="preserve">Paul Terence Kohler, Jr.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Title: </w:t>
            </w:r>
          </w:p>
        </w:tc>
        <w:tc>
          <w:tcPr>
            <w:tcW w:w="2866" w:type="dxa"/>
            <w:tcBorders/>
            <w:tcMar>
              <w:top w:w="0" w:type="dxa"/>
              <w:left w:w="0" w:type="dxa"/>
              <w:bottom w:w="0" w:type="dxa"/>
              <w:right w:w="0" w:type="dxa"/>
            </w:tcMar>
            <w:vAlign w:val="center"/>
          </w:tcPr>
          <w:p>
            <w:pPr>
              <w:pStyle w:val="TableContents"/>
              <w:bidi w:val="0"/>
              <w:spacing w:before="0" w:after="0"/>
              <w:jc w:val="left"/>
              <w:rPr/>
            </w:pPr>
            <w:r>
              <w:rPr/>
              <w:t xml:space="preserve">Chief Financial Officer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tcMar>
              <w:top w:w="0" w:type="dxa"/>
              <w:left w:w="0" w:type="dxa"/>
              <w:bottom w:w="0" w:type="dxa"/>
              <w:right w:w="0" w:type="dxa"/>
            </w:tcMar>
            <w:vAlign w:val="center"/>
          </w:tcPr>
          <w:p>
            <w:pPr>
              <w:pStyle w:val="TableContents"/>
              <w:bidi w:val="0"/>
              <w:spacing w:before="0" w:after="0"/>
              <w:jc w:val="left"/>
              <w:rPr/>
            </w:pPr>
            <w:r>
              <w:rPr/>
              <w:t xml:space="preserve">(Principal Financial Officer) </w:t>
            </w:r>
          </w:p>
        </w:tc>
      </w:tr>
    </w:tbl>
    <w:p>
      <w:pPr>
        <w:pStyle w:val="TextBody"/>
        <w:bidi w:val="0"/>
        <w:spacing w:before="0" w:after="0"/>
        <w:jc w:val="both"/>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 w:name="Arial">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68514/000119380519000774/e618626_ex3-1.htm" TargetMode="External"/><Relationship Id="rId3" Type="http://schemas.openxmlformats.org/officeDocument/2006/relationships/hyperlink" Target="https://www.sec.gov/Archives/edgar/data/1368514/000119380521000749/e620651_ex3-1.htm" TargetMode="External"/><Relationship Id="rId4" Type="http://schemas.openxmlformats.org/officeDocument/2006/relationships/hyperlink" Target="https://www.sec.gov/Archives/edgar/data/1368514/000114036124031778/ef20031848_ex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47010</Words>
  <Characters>261329</Characters>
  <CharactersWithSpaces>315592</CharactersWithSpaces>
  <Paragraphs>11082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