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QUARTERLY REPORT PURSUANT TO SECTION 13 OR 15(d) OF THE SECURITIES EXCHANGE ACT OF 1934</w:t>
            </w:r>
          </w:p>
        </w:tc>
      </w:tr>
    </w:tbl>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 xml:space="preserve">For the quarterly period ended </w:t>
      </w:r>
      <w:r>
        <w:rPr>
          <w:rFonts w:ascii="Times New Roman" w:hAnsi="Times New Roman"/>
          <w:color w:val="000000"/>
          <w:sz w:val="20"/>
          <w:u w:val="single"/>
          <w:shd w:fill="FFFFFF" w:val="clear"/>
        </w:rPr>
        <w:t>March 31, 2024</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TRANSITION REPORT PURSUANT TO SECTION 13 OR 15(d) OF THE SECURITIES EXCHANGE ACT OF 1934</w:t>
            </w:r>
          </w:p>
        </w:tc>
      </w:tr>
    </w:tbl>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 xml:space="preserve">For the transition period from ________ to ________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color w:val="000000"/>
          <w:sz w:val="20"/>
          <w:u w:val="single"/>
          <w:shd w:fill="FFFFFF" w:val="clear"/>
        </w:rPr>
        <w:t>001-36728</w:t>
      </w:r>
    </w:p>
    <w:p>
      <w:pPr>
        <w:pStyle w:val="TextBody"/>
        <w:bidi w:val="0"/>
        <w:spacing w:before="0" w:after="0"/>
        <w:jc w:val="center"/>
        <w:rPr>
          <w:rFonts w:ascii="Times New Roman" w:hAnsi="Times New Roman"/>
          <w:b/>
          <w:color w:val="000000"/>
          <w:sz w:val="48"/>
          <w:u w:val="single"/>
          <w:shd w:fill="FFFFFF" w:val="clear"/>
        </w:rPr>
      </w:pPr>
      <w:r>
        <w:rPr>
          <w:rFonts w:ascii="Times New Roman" w:hAnsi="Times New Roman"/>
          <w:b/>
          <w:color w:val="000000"/>
          <w:sz w:val="48"/>
          <w:u w:val="single"/>
          <w:shd w:fill="FFFFFF" w:val="clear"/>
        </w:rPr>
        <w:t>ADMA BIOLOGICS,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9265" w:type="dxa"/>
        <w:jc w:val="left"/>
        <w:tblInd w:w="0" w:type="dxa"/>
        <w:tblLayout w:type="fixed"/>
        <w:tblCellMar>
          <w:top w:w="0" w:type="dxa"/>
          <w:left w:w="0" w:type="dxa"/>
          <w:bottom w:w="0" w:type="dxa"/>
          <w:right w:w="0" w:type="dxa"/>
        </w:tblCellMar>
      </w:tblPr>
      <w:tblGrid>
        <w:gridCol w:w="5765"/>
        <w:gridCol w:w="60"/>
        <w:gridCol w:w="3440"/>
      </w:tblGrid>
      <w:tr>
        <w:trPr/>
        <w:tc>
          <w:tcPr>
            <w:tcW w:w="5765" w:type="dxa"/>
            <w:tcBorders/>
            <w:vAlign w:val="center"/>
          </w:tcPr>
          <w:p>
            <w:pPr>
              <w:pStyle w:val="TableContents"/>
              <w:bidi w:val="0"/>
              <w:spacing w:before="0" w:after="0"/>
              <w:jc w:val="center"/>
              <w:rPr>
                <w:color w:val="000000"/>
                <w:u w:val="single"/>
              </w:rPr>
            </w:pPr>
            <w:r>
              <w:rPr>
                <w:color w:val="000000"/>
                <w:u w:val="single"/>
              </w:rPr>
              <w:t>Delaware</w:t>
            </w:r>
          </w:p>
        </w:tc>
        <w:tc>
          <w:tcPr>
            <w:tcW w:w="60" w:type="dxa"/>
            <w:tcBorders/>
            <w:vAlign w:val="center"/>
          </w:tcPr>
          <w:p>
            <w:pPr>
              <w:pStyle w:val="TableContents"/>
              <w:bidi w:val="0"/>
              <w:spacing w:before="0" w:after="0"/>
              <w:ind w:left="180" w:right="0" w:hanging="0"/>
              <w:jc w:val="left"/>
              <w:rPr/>
            </w:pPr>
            <w:r>
              <w:rPr/>
              <w:t> </w:t>
            </w:r>
          </w:p>
        </w:tc>
        <w:tc>
          <w:tcPr>
            <w:tcW w:w="3440" w:type="dxa"/>
            <w:tcBorders/>
            <w:vAlign w:val="center"/>
          </w:tcPr>
          <w:p>
            <w:pPr>
              <w:pStyle w:val="TableContents"/>
              <w:bidi w:val="0"/>
              <w:spacing w:before="0" w:after="0"/>
              <w:jc w:val="center"/>
              <w:rPr>
                <w:color w:val="000000"/>
                <w:u w:val="single"/>
              </w:rPr>
            </w:pPr>
            <w:r>
              <w:rPr>
                <w:color w:val="000000"/>
                <w:u w:val="single"/>
              </w:rPr>
              <w:t>56-2590442</w:t>
            </w:r>
          </w:p>
        </w:tc>
      </w:tr>
      <w:tr>
        <w:trPr/>
        <w:tc>
          <w:tcPr>
            <w:tcW w:w="5765" w:type="dxa"/>
            <w:tcBorders/>
            <w:vAlign w:val="center"/>
          </w:tcPr>
          <w:p>
            <w:pPr>
              <w:pStyle w:val="TableContents"/>
              <w:bidi w:val="0"/>
              <w:spacing w:before="0" w:after="0"/>
              <w:jc w:val="center"/>
              <w:rPr>
                <w:color w:val="000000"/>
              </w:rPr>
            </w:pPr>
            <w:r>
              <w:rPr>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tbl>
      <w:tblPr>
        <w:tblW w:w="5080" w:type="dxa"/>
        <w:jc w:val="left"/>
        <w:tblInd w:w="0" w:type="dxa"/>
        <w:tblLayout w:type="fixed"/>
        <w:tblCellMar>
          <w:top w:w="0" w:type="dxa"/>
          <w:left w:w="0" w:type="dxa"/>
          <w:bottom w:w="0" w:type="dxa"/>
          <w:right w:w="0" w:type="dxa"/>
        </w:tblCellMar>
      </w:tblPr>
      <w:tblGrid>
        <w:gridCol w:w="3950"/>
        <w:gridCol w:w="60"/>
        <w:gridCol w:w="1070"/>
      </w:tblGrid>
      <w:tr>
        <w:trPr/>
        <w:tc>
          <w:tcPr>
            <w:tcW w:w="3950" w:type="dxa"/>
            <w:tcBorders/>
            <w:vAlign w:val="center"/>
          </w:tcPr>
          <w:p>
            <w:pPr>
              <w:pStyle w:val="TableContents"/>
              <w:bidi w:val="0"/>
              <w:spacing w:before="0" w:after="0"/>
              <w:jc w:val="center"/>
              <w:rPr>
                <w:color w:val="000000"/>
                <w:u w:val="single"/>
              </w:rPr>
            </w:pPr>
            <w:r>
              <w:rPr>
                <w:color w:val="000000"/>
                <w:u w:val="single"/>
              </w:rPr>
              <w:t>465 State Route 17, Ramsey, New Jersey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u w:val="single"/>
              </w:rPr>
            </w:pPr>
            <w:r>
              <w:rPr>
                <w:color w:val="000000"/>
                <w:u w:val="single"/>
              </w:rPr>
              <w:t>07446</w:t>
            </w:r>
          </w:p>
        </w:tc>
      </w:tr>
      <w:tr>
        <w:trPr/>
        <w:tc>
          <w:tcPr>
            <w:tcW w:w="3950" w:type="dxa"/>
            <w:tcBorders/>
            <w:vAlign w:val="center"/>
          </w:tcPr>
          <w:p>
            <w:pPr>
              <w:pStyle w:val="TableContents"/>
              <w:bidi w:val="0"/>
              <w:spacing w:before="0" w:after="0"/>
              <w:jc w:val="center"/>
              <w:rPr>
                <w:color w:val="000000"/>
              </w:rPr>
            </w:pPr>
            <w:r>
              <w:rPr>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shd w:fill="FFFFFF" w:val="clear"/>
        </w:rPr>
      </w:pPr>
      <w:r>
        <w:rPr>
          <w:rFonts w:ascii="Times New Roman" w:hAnsi="Times New Roman"/>
          <w:color w:val="000000"/>
          <w:sz w:val="20"/>
          <w:u w:val="single"/>
          <w:shd w:fill="FFFFFF" w:val="clear"/>
        </w:rPr>
        <w:t>(201) 478-5552</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center"/>
        <w:rPr>
          <w:color w:val="000000"/>
        </w:rPr>
      </w:pPr>
      <w:r>
        <w:rPr>
          <w:color w:val="00000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center"/>
        <w:rPr>
          <w:color w:val="000000"/>
        </w:rPr>
      </w:pPr>
      <w:r>
        <w:rPr>
          <w:color w:val="000000"/>
        </w:rPr>
      </w:r>
    </w:p>
    <w:tbl>
      <w:tblPr>
        <w:tblW w:w="7740" w:type="dxa"/>
        <w:jc w:val="left"/>
        <w:tblInd w:w="-15" w:type="dxa"/>
        <w:tblLayout w:type="fixed"/>
        <w:tblCellMar>
          <w:top w:w="28" w:type="dxa"/>
          <w:left w:w="28" w:type="dxa"/>
          <w:bottom w:w="28" w:type="dxa"/>
          <w:right w:w="28" w:type="dxa"/>
        </w:tblCellMar>
      </w:tblPr>
      <w:tblGrid>
        <w:gridCol w:w="1715"/>
        <w:gridCol w:w="1805"/>
        <w:gridCol w:w="4220"/>
      </w:tblGrid>
      <w:tr>
        <w:trPr/>
        <w:tc>
          <w:tcPr>
            <w:tcW w:w="171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8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2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17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Common Stock</w:t>
            </w:r>
          </w:p>
        </w:tc>
        <w:tc>
          <w:tcPr>
            <w:tcW w:w="18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ADMA</w:t>
            </w:r>
          </w:p>
        </w:tc>
        <w:tc>
          <w:tcPr>
            <w:tcW w:w="42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Nasdaq Global Market</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5695" w:type="dxa"/>
        <w:jc w:val="left"/>
        <w:tblInd w:w="0" w:type="dxa"/>
        <w:tblLayout w:type="fixed"/>
        <w:tblCellMar>
          <w:top w:w="0" w:type="dxa"/>
          <w:left w:w="0" w:type="dxa"/>
          <w:bottom w:w="0" w:type="dxa"/>
          <w:right w:w="0" w:type="dxa"/>
        </w:tblCellMar>
      </w:tblPr>
      <w:tblGrid>
        <w:gridCol w:w="60"/>
        <w:gridCol w:w="2570"/>
        <w:gridCol w:w="3065"/>
      </w:tblGrid>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color w:val="000000"/>
              </w:rPr>
            </w:pPr>
            <w:r>
              <w:rPr>
                <w:color w:val="000000"/>
              </w:rPr>
              <w:t>Large accelerated filer    ☒</w:t>
            </w:r>
          </w:p>
        </w:tc>
        <w:tc>
          <w:tcPr>
            <w:tcW w:w="3065" w:type="dxa"/>
            <w:tcBorders/>
            <w:vAlign w:val="center"/>
          </w:tcPr>
          <w:p>
            <w:pPr>
              <w:pStyle w:val="TableContents"/>
              <w:bidi w:val="0"/>
              <w:spacing w:before="0" w:after="0"/>
              <w:jc w:val="left"/>
              <w:rPr>
                <w:color w:val="000000"/>
              </w:rPr>
            </w:pPr>
            <w:r>
              <w:rPr>
                <w:color w:val="000000"/>
              </w:rPr>
              <w:t>Accelerated filer    ☐</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pPr>
            <w:r>
              <w:rPr>
                <w:color w:val="000000"/>
              </w:rPr>
              <w:t xml:space="preserve">Non-accelerated filer    </w:t>
            </w:r>
            <w:r>
              <w:rPr/>
              <w:t>☐</w:t>
            </w:r>
          </w:p>
        </w:tc>
        <w:tc>
          <w:tcPr>
            <w:tcW w:w="3065" w:type="dxa"/>
            <w:tcBorders/>
            <w:vAlign w:val="center"/>
          </w:tcPr>
          <w:p>
            <w:pPr>
              <w:pStyle w:val="TableContents"/>
              <w:bidi w:val="0"/>
              <w:spacing w:before="0" w:after="0"/>
              <w:jc w:val="left"/>
              <w:rPr/>
            </w:pPr>
            <w:r>
              <w:rPr>
                <w:color w:val="000000"/>
              </w:rPr>
              <w:t xml:space="preserve">Smaller reporting company    </w:t>
            </w:r>
            <w:r>
              <w:rPr/>
              <w:t>☐</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pPr>
            <w:r>
              <w:rPr>
                <w:color w:val="000000"/>
              </w:rPr>
              <w:t xml:space="preserve">Emerging growth company    </w:t>
            </w:r>
            <w:r>
              <w:rPr/>
              <w:t>☐</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i w:val="false"/>
          <w:caps w:val="false"/>
          <w:smallCaps w:val="false"/>
          <w:color w:val="000000"/>
          <w:spacing w:val="0"/>
          <w:sz w:val="20"/>
          <w:shd w:fill="FFFFFF" w:val="clear"/>
        </w:rPr>
        <w:t>May 3, 2024</w:t>
      </w:r>
      <w:r>
        <w:rPr>
          <w:rFonts w:ascii="Times New Roman" w:hAnsi="Times New Roman"/>
          <w:color w:val="000000"/>
          <w:sz w:val="20"/>
          <w:shd w:fill="FFFFFF" w:val="clear"/>
        </w:rPr>
        <w:t>, there were 231,809,197 shares of the issuer’s common stock outstanding.</w:t>
      </w:r>
    </w:p>
    <w:p>
      <w:pPr>
        <w:pStyle w:val="TextBody"/>
        <w:bidi w:val="0"/>
        <w:spacing w:before="0" w:after="0"/>
        <w:ind w:left="0" w:right="0" w:firstLine="720"/>
        <w:jc w:val="both"/>
        <w:rPr/>
      </w:pPr>
      <w:r>
        <w:rPr/>
      </w:r>
    </w:p>
    <w:p>
      <w:pPr>
        <w:pStyle w:val="HorizontalLine"/>
        <w:bidi w:val="0"/>
        <w:ind w:left="0" w:right="0" w:firstLine="72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0" w:name="INDEX"/>
      <w:bookmarkEnd w:id="0"/>
      <w:r>
        <w:rPr>
          <w:rFonts w:ascii="Times New Roman" w:hAnsi="Times New Roman"/>
          <w:b/>
          <w:color w:val="000000"/>
          <w:sz w:val="20"/>
          <w:shd w:fill="FFFFFF" w:val="clear"/>
        </w:rPr>
        <w:t>INDEX</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0"/>
        <w:gridCol w:w="689"/>
        <w:gridCol w:w="9195"/>
        <w:gridCol w:w="261"/>
      </w:tblGrid>
      <w:tr>
        <w:trPr/>
        <w:tc>
          <w:tcPr>
            <w:tcW w:w="10205" w:type="dxa"/>
            <w:gridSpan w:val="4"/>
            <w:tcBorders/>
            <w:vAlign w:val="center"/>
          </w:tcPr>
          <w:p>
            <w:pPr>
              <w:pStyle w:val="TableContents"/>
              <w:bidi w:val="0"/>
              <w:spacing w:before="0" w:after="0"/>
              <w:jc w:val="left"/>
              <w:rPr/>
            </w:pPr>
            <w:r>
              <w:rPr/>
              <w:t>PART I FINANCIAL INFORMATION</w:t>
            </w:r>
          </w:p>
        </w:tc>
      </w:tr>
      <w:tr>
        <w:trPr/>
        <w:tc>
          <w:tcPr>
            <w:tcW w:w="10205"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0"/>
              <w:jc w:val="left"/>
              <w:rPr/>
            </w:pPr>
            <w:r>
              <w:rPr/>
              <w:t>Item 1.</w:t>
            </w:r>
          </w:p>
        </w:tc>
        <w:tc>
          <w:tcPr>
            <w:tcW w:w="9195" w:type="dxa"/>
            <w:tcBorders/>
            <w:vAlign w:val="center"/>
          </w:tcPr>
          <w:p>
            <w:pPr>
              <w:pStyle w:val="TableContents"/>
              <w:bidi w:val="0"/>
              <w:spacing w:before="0" w:after="0"/>
              <w:ind w:left="0" w:right="720" w:hanging="0"/>
              <w:jc w:val="left"/>
              <w:rPr/>
            </w:pPr>
            <w:r>
              <w:rPr/>
              <w:t>Financial Statements</w:t>
            </w:r>
          </w:p>
        </w:tc>
        <w:tc>
          <w:tcPr>
            <w:tcW w:w="2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195" w:type="dxa"/>
            <w:tcBorders/>
            <w:shd w:fill="CCEEFF" w:val="clear"/>
            <w:vAlign w:val="center"/>
          </w:tcPr>
          <w:p>
            <w:pPr>
              <w:pStyle w:val="TableContents"/>
              <w:bidi w:val="0"/>
              <w:spacing w:before="0" w:after="0"/>
              <w:ind w:left="0" w:right="720" w:hanging="0"/>
              <w:jc w:val="left"/>
              <w:rPr/>
            </w:pPr>
            <w:hyperlink w:anchor="CONDENSEDCONSOLIDATEDBALA">
              <w:r>
                <w:rPr>
                  <w:rStyle w:val="InternetLink"/>
                </w:rPr>
                <w:t>Condensed Consolidated Balance Sheets as of March 31, 2024 (Unaudited) and December 31, 2023</w:t>
              </w:r>
            </w:hyperlink>
          </w:p>
        </w:tc>
        <w:tc>
          <w:tcPr>
            <w:tcW w:w="261" w:type="dxa"/>
            <w:tcBorders/>
            <w:shd w:fill="CCEEFF" w:val="clear"/>
            <w:vAlign w:val="center"/>
          </w:tcPr>
          <w:p>
            <w:pPr>
              <w:pStyle w:val="TableContents"/>
              <w:bidi w:val="0"/>
              <w:spacing w:before="0" w:after="0"/>
              <w:jc w:val="right"/>
              <w:rPr/>
            </w:pPr>
            <w:r>
              <w:rPr/>
              <w:t>1</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r>
          </w:p>
        </w:tc>
        <w:tc>
          <w:tcPr>
            <w:tcW w:w="9195" w:type="dxa"/>
            <w:tcBorders/>
            <w:shd w:fill="CCEEFF" w:val="clear"/>
            <w:vAlign w:val="center"/>
          </w:tcPr>
          <w:p>
            <w:pPr>
              <w:pStyle w:val="TableContents"/>
              <w:bidi w:val="0"/>
              <w:spacing w:before="0" w:after="0"/>
              <w:ind w:left="0" w:right="720" w:hanging="0"/>
              <w:jc w:val="left"/>
              <w:rPr/>
            </w:pPr>
            <w:hyperlink w:anchor="CONDENSEDCONSOLIDATEDSTAT">
              <w:r>
                <w:rPr>
                  <w:rStyle w:val="InternetLink"/>
                </w:rPr>
                <w:t>Condensed Consolidated Statements of Operations (Unaudited) for the Three Months Ended March 31, 2024 and 2023</w:t>
              </w:r>
            </w:hyperlink>
          </w:p>
        </w:tc>
        <w:tc>
          <w:tcPr>
            <w:tcW w:w="261"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195" w:type="dxa"/>
            <w:tcBorders/>
            <w:shd w:fill="CCEEFF" w:val="clear"/>
            <w:vAlign w:val="center"/>
          </w:tcPr>
          <w:p>
            <w:pPr>
              <w:pStyle w:val="TableContents"/>
              <w:bidi w:val="0"/>
              <w:spacing w:before="0" w:after="0"/>
              <w:ind w:left="0" w:right="720" w:hanging="0"/>
              <w:jc w:val="left"/>
              <w:rPr/>
            </w:pPr>
            <w:hyperlink w:anchor="ADMABIOLOGICSINC.ANDSUBSI">
              <w:r>
                <w:rPr>
                  <w:rStyle w:val="InternetLink"/>
                </w:rPr>
                <w:t>Condensed Consolidated Statements of Changes in Stockholders’ Equity (Unaudited) forthe Three Months Ended March 31, 2024 and 2023</w:t>
              </w:r>
            </w:hyperlink>
          </w:p>
        </w:tc>
        <w:tc>
          <w:tcPr>
            <w:tcW w:w="261" w:type="dxa"/>
            <w:tcBorders/>
            <w:shd w:fill="CCEEFF" w:val="clear"/>
            <w:vAlign w:val="center"/>
          </w:tcPr>
          <w:p>
            <w:pPr>
              <w:pStyle w:val="TableContents"/>
              <w:bidi w:val="0"/>
              <w:spacing w:before="0" w:after="0"/>
              <w:jc w:val="right"/>
              <w:rPr/>
            </w:pPr>
            <w:r>
              <w:rPr/>
              <w:t>3</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195" w:type="dxa"/>
            <w:tcBorders/>
            <w:shd w:fill="CCEEFF" w:val="clear"/>
            <w:vAlign w:val="center"/>
          </w:tcPr>
          <w:p>
            <w:pPr>
              <w:pStyle w:val="TableContents"/>
              <w:bidi w:val="0"/>
              <w:spacing w:before="0" w:after="0"/>
              <w:ind w:left="0" w:right="720" w:hanging="0"/>
              <w:jc w:val="left"/>
              <w:rPr/>
            </w:pPr>
            <w:hyperlink w:anchor="CASHFLOWS">
              <w:r>
                <w:rPr>
                  <w:rStyle w:val="InternetLink"/>
                </w:rPr>
                <w:t>Condensed Consolidated Statements of Cash Flows (Unaudited) for the Three Months Ended March 31, 2024 and 2023</w:t>
              </w:r>
            </w:hyperlink>
          </w:p>
        </w:tc>
        <w:tc>
          <w:tcPr>
            <w:tcW w:w="261" w:type="dxa"/>
            <w:tcBorders/>
            <w:shd w:fill="CCEEFF" w:val="clear"/>
            <w:vAlign w:val="center"/>
          </w:tcPr>
          <w:p>
            <w:pPr>
              <w:pStyle w:val="TableContents"/>
              <w:bidi w:val="0"/>
              <w:spacing w:before="0" w:after="0"/>
              <w:jc w:val="right"/>
              <w:rPr/>
            </w:pPr>
            <w:r>
              <w:rPr/>
              <w:t>4</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195" w:type="dxa"/>
            <w:tcBorders/>
            <w:shd w:fill="CCEEFF" w:val="clear"/>
            <w:vAlign w:val="center"/>
          </w:tcPr>
          <w:p>
            <w:pPr>
              <w:pStyle w:val="TableContents"/>
              <w:bidi w:val="0"/>
              <w:spacing w:before="0" w:after="0"/>
              <w:ind w:left="0" w:right="720" w:hanging="0"/>
              <w:jc w:val="left"/>
              <w:rPr/>
            </w:pPr>
            <w:hyperlink w:anchor="NOTESTOCONDENSEDCONSOLIDA">
              <w:r>
                <w:rPr>
                  <w:rStyle w:val="InternetLink"/>
                </w:rPr>
                <w:t>Notes to Unaudited Condensed Consolidated Financial Statements</w:t>
              </w:r>
            </w:hyperlink>
          </w:p>
        </w:tc>
        <w:tc>
          <w:tcPr>
            <w:tcW w:w="261" w:type="dxa"/>
            <w:tcBorders/>
            <w:shd w:fill="CCEEFF" w:val="clear"/>
            <w:vAlign w:val="center"/>
          </w:tcPr>
          <w:p>
            <w:pPr>
              <w:pStyle w:val="TableContents"/>
              <w:bidi w:val="0"/>
              <w:spacing w:before="0" w:after="0"/>
              <w:jc w:val="right"/>
              <w:rPr/>
            </w:pPr>
            <w:r>
              <w:rPr/>
              <w:t>5</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2.</w:t>
            </w:r>
          </w:p>
        </w:tc>
        <w:tc>
          <w:tcPr>
            <w:tcW w:w="9195" w:type="dxa"/>
            <w:tcBorders/>
            <w:shd w:fill="CCEEFF" w:val="clear"/>
            <w:vAlign w:val="center"/>
          </w:tcPr>
          <w:p>
            <w:pPr>
              <w:pStyle w:val="TableContents"/>
              <w:bidi w:val="0"/>
              <w:spacing w:before="0" w:after="0"/>
              <w:ind w:left="0" w:right="720" w:hanging="0"/>
              <w:jc w:val="left"/>
              <w:rPr/>
            </w:pPr>
            <w:hyperlink w:anchor="ManagementsDiscussionandA">
              <w:r>
                <w:rPr>
                  <w:rStyle w:val="InternetLink"/>
                </w:rPr>
                <w:t>Management’s Discussion and Analysis of Financial Condition and Results of Operations.</w:t>
              </w:r>
            </w:hyperlink>
          </w:p>
        </w:tc>
        <w:tc>
          <w:tcPr>
            <w:tcW w:w="261" w:type="dxa"/>
            <w:tcBorders/>
            <w:shd w:fill="CCEEFF" w:val="clear"/>
            <w:vAlign w:val="center"/>
          </w:tcPr>
          <w:p>
            <w:pPr>
              <w:pStyle w:val="TableContents"/>
              <w:bidi w:val="0"/>
              <w:spacing w:before="0" w:after="0"/>
              <w:jc w:val="right"/>
              <w:rPr/>
            </w:pPr>
            <w:r>
              <w:rPr/>
              <w:t>19</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3.</w:t>
            </w:r>
          </w:p>
        </w:tc>
        <w:tc>
          <w:tcPr>
            <w:tcW w:w="9195" w:type="dxa"/>
            <w:tcBorders/>
            <w:shd w:fill="CCEEFF" w:val="clear"/>
            <w:vAlign w:val="center"/>
          </w:tcPr>
          <w:p>
            <w:pPr>
              <w:pStyle w:val="TableContents"/>
              <w:bidi w:val="0"/>
              <w:spacing w:before="0" w:after="0"/>
              <w:ind w:left="0" w:right="720" w:hanging="0"/>
              <w:jc w:val="left"/>
              <w:rPr/>
            </w:pPr>
            <w:hyperlink w:anchor="QuantitativeandQualitativ">
              <w:r>
                <w:rPr>
                  <w:rStyle w:val="InternetLink"/>
                </w:rPr>
                <w:t>Quantitative and Qualitative Disclosures About Market Risk.</w:t>
              </w:r>
            </w:hyperlink>
          </w:p>
        </w:tc>
        <w:tc>
          <w:tcPr>
            <w:tcW w:w="261"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4.</w:t>
            </w:r>
          </w:p>
        </w:tc>
        <w:tc>
          <w:tcPr>
            <w:tcW w:w="9195" w:type="dxa"/>
            <w:tcBorders/>
            <w:shd w:fill="CCEEFF" w:val="clear"/>
            <w:vAlign w:val="center"/>
          </w:tcPr>
          <w:p>
            <w:pPr>
              <w:pStyle w:val="TableContents"/>
              <w:bidi w:val="0"/>
              <w:spacing w:before="0" w:after="0"/>
              <w:ind w:left="0" w:right="720" w:hanging="0"/>
              <w:jc w:val="left"/>
              <w:rPr/>
            </w:pPr>
            <w:hyperlink w:anchor="ControlsandProcedures.">
              <w:r>
                <w:rPr>
                  <w:rStyle w:val="InternetLink"/>
                </w:rPr>
                <w:t>Controls and Procedures.</w:t>
              </w:r>
            </w:hyperlink>
          </w:p>
        </w:tc>
        <w:tc>
          <w:tcPr>
            <w:tcW w:w="261" w:type="dxa"/>
            <w:tcBorders/>
            <w:shd w:fill="CCEEFF" w:val="clear"/>
            <w:vAlign w:val="center"/>
          </w:tcPr>
          <w:p>
            <w:pPr>
              <w:pStyle w:val="TableContents"/>
              <w:bidi w:val="0"/>
              <w:spacing w:before="0" w:after="0"/>
              <w:jc w:val="right"/>
              <w:rPr/>
            </w:pPr>
            <w:r>
              <w:rPr/>
              <w:t>30</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9944" w:type="dxa"/>
            <w:gridSpan w:val="3"/>
            <w:tcBorders/>
            <w:shd w:fill="CCEEFF" w:val="clear"/>
            <w:vAlign w:val="center"/>
          </w:tcPr>
          <w:p>
            <w:pPr>
              <w:pStyle w:val="TableContents"/>
              <w:bidi w:val="0"/>
              <w:spacing w:before="0" w:after="0"/>
              <w:jc w:val="left"/>
              <w:rPr/>
            </w:pPr>
            <w:hyperlink w:anchor="PARTIIOTHERINFORMATION">
              <w:r>
                <w:rPr>
                  <w:rStyle w:val="InternetLink"/>
                </w:rPr>
                <w:t>PART II OTHER INFORMATION</w:t>
              </w:r>
            </w:hyperlink>
          </w:p>
        </w:tc>
        <w:tc>
          <w:tcPr>
            <w:tcW w:w="261" w:type="dxa"/>
            <w:tcBorders/>
            <w:shd w:fill="CCEEFF" w:val="clear"/>
            <w:vAlign w:val="center"/>
          </w:tcPr>
          <w:p>
            <w:pPr>
              <w:pStyle w:val="TableContents"/>
              <w:bidi w:val="0"/>
              <w:spacing w:before="0" w:after="0"/>
              <w:jc w:val="right"/>
              <w:rPr/>
            </w:pPr>
            <w:r>
              <w:rPr/>
              <w:t>32</w:t>
            </w:r>
          </w:p>
        </w:tc>
      </w:tr>
      <w:tr>
        <w:trPr/>
        <w:tc>
          <w:tcPr>
            <w:tcW w:w="9944" w:type="dxa"/>
            <w:gridSpan w:val="3"/>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1.</w:t>
            </w:r>
          </w:p>
        </w:tc>
        <w:tc>
          <w:tcPr>
            <w:tcW w:w="9195" w:type="dxa"/>
            <w:tcBorders/>
            <w:shd w:fill="CCEEFF" w:val="clear"/>
            <w:vAlign w:val="center"/>
          </w:tcPr>
          <w:p>
            <w:pPr>
              <w:pStyle w:val="TableContents"/>
              <w:bidi w:val="0"/>
              <w:spacing w:before="0" w:after="0"/>
              <w:ind w:left="0" w:right="720" w:hanging="0"/>
              <w:jc w:val="left"/>
              <w:rPr/>
            </w:pPr>
            <w:hyperlink w:anchor="LegalProceedings.">
              <w:r>
                <w:rPr>
                  <w:rStyle w:val="InternetLink"/>
                </w:rPr>
                <w:t>Legal Proceedings.</w:t>
              </w:r>
            </w:hyperlink>
          </w:p>
        </w:tc>
        <w:tc>
          <w:tcPr>
            <w:tcW w:w="261" w:type="dxa"/>
            <w:tcBorders/>
            <w:shd w:fill="CCEEFF" w:val="clear"/>
            <w:vAlign w:val="center"/>
          </w:tcPr>
          <w:p>
            <w:pPr>
              <w:pStyle w:val="TableContents"/>
              <w:bidi w:val="0"/>
              <w:spacing w:before="0" w:after="0"/>
              <w:jc w:val="right"/>
              <w:rPr/>
            </w:pPr>
            <w:r>
              <w:rPr/>
              <w:t>32</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1A.</w:t>
            </w:r>
          </w:p>
        </w:tc>
        <w:tc>
          <w:tcPr>
            <w:tcW w:w="9195" w:type="dxa"/>
            <w:tcBorders/>
            <w:shd w:fill="CCEEFF" w:val="clear"/>
            <w:vAlign w:val="center"/>
          </w:tcPr>
          <w:p>
            <w:pPr>
              <w:pStyle w:val="TableContents"/>
              <w:bidi w:val="0"/>
              <w:spacing w:before="0" w:after="0"/>
              <w:ind w:left="0" w:right="720" w:hanging="0"/>
              <w:jc w:val="left"/>
              <w:rPr/>
            </w:pPr>
            <w:hyperlink w:anchor="RiskFactors">
              <w:r>
                <w:rPr>
                  <w:rStyle w:val="InternetLink"/>
                </w:rPr>
                <w:t>Risk Factors.</w:t>
              </w:r>
            </w:hyperlink>
          </w:p>
        </w:tc>
        <w:tc>
          <w:tcPr>
            <w:tcW w:w="261" w:type="dxa"/>
            <w:tcBorders/>
            <w:shd w:fill="CCEEFF" w:val="clear"/>
            <w:vAlign w:val="center"/>
          </w:tcPr>
          <w:p>
            <w:pPr>
              <w:pStyle w:val="TableContents"/>
              <w:bidi w:val="0"/>
              <w:spacing w:before="0" w:after="0"/>
              <w:jc w:val="right"/>
              <w:rPr/>
            </w:pPr>
            <w:r>
              <w:rPr/>
              <w:t>32</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2.</w:t>
            </w:r>
          </w:p>
        </w:tc>
        <w:tc>
          <w:tcPr>
            <w:tcW w:w="9195" w:type="dxa"/>
            <w:tcBorders/>
            <w:shd w:fill="CCEEFF" w:val="clear"/>
            <w:vAlign w:val="center"/>
          </w:tcPr>
          <w:p>
            <w:pPr>
              <w:pStyle w:val="TableContents"/>
              <w:bidi w:val="0"/>
              <w:spacing w:before="0" w:after="0"/>
              <w:ind w:left="0" w:right="720" w:hanging="0"/>
              <w:jc w:val="left"/>
              <w:rPr/>
            </w:pPr>
            <w:hyperlink w:anchor="UnregisteredSalesofEquity">
              <w:r>
                <w:rPr>
                  <w:rStyle w:val="InternetLink"/>
                </w:rPr>
                <w:t>Unregistered Sales of Equity Securities and Use of Proceeds.</w:t>
              </w:r>
            </w:hyperlink>
          </w:p>
        </w:tc>
        <w:tc>
          <w:tcPr>
            <w:tcW w:w="261" w:type="dxa"/>
            <w:tcBorders/>
            <w:shd w:fill="CCEEFF" w:val="clear"/>
            <w:vAlign w:val="center"/>
          </w:tcPr>
          <w:p>
            <w:pPr>
              <w:pStyle w:val="TableContents"/>
              <w:bidi w:val="0"/>
              <w:spacing w:before="0" w:after="0"/>
              <w:jc w:val="right"/>
              <w:rPr/>
            </w:pPr>
            <w:r>
              <w:rPr/>
              <w:t>61</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3.</w:t>
            </w:r>
          </w:p>
        </w:tc>
        <w:tc>
          <w:tcPr>
            <w:tcW w:w="9195" w:type="dxa"/>
            <w:tcBorders/>
            <w:shd w:fill="CCEEFF" w:val="clear"/>
            <w:vAlign w:val="center"/>
          </w:tcPr>
          <w:p>
            <w:pPr>
              <w:pStyle w:val="TableContents"/>
              <w:bidi w:val="0"/>
              <w:spacing w:before="0" w:after="0"/>
              <w:ind w:left="0" w:right="720" w:hanging="0"/>
              <w:jc w:val="left"/>
              <w:rPr/>
            </w:pPr>
            <w:hyperlink w:anchor="DefaultsUponSeniorSecurit">
              <w:r>
                <w:rPr>
                  <w:rStyle w:val="InternetLink"/>
                </w:rPr>
                <w:t>Defaults Upon Senior Securities.</w:t>
              </w:r>
            </w:hyperlink>
          </w:p>
        </w:tc>
        <w:tc>
          <w:tcPr>
            <w:tcW w:w="261" w:type="dxa"/>
            <w:tcBorders/>
            <w:shd w:fill="CCEEFF" w:val="clear"/>
            <w:vAlign w:val="center"/>
          </w:tcPr>
          <w:p>
            <w:pPr>
              <w:pStyle w:val="TableContents"/>
              <w:bidi w:val="0"/>
              <w:spacing w:before="0" w:after="0"/>
              <w:jc w:val="right"/>
              <w:rPr/>
            </w:pPr>
            <w:r>
              <w:rPr/>
              <w:t>61</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4.</w:t>
            </w:r>
          </w:p>
        </w:tc>
        <w:tc>
          <w:tcPr>
            <w:tcW w:w="9195" w:type="dxa"/>
            <w:tcBorders/>
            <w:shd w:fill="CCEEFF" w:val="clear"/>
            <w:vAlign w:val="center"/>
          </w:tcPr>
          <w:p>
            <w:pPr>
              <w:pStyle w:val="TableContents"/>
              <w:bidi w:val="0"/>
              <w:spacing w:before="0" w:after="0"/>
              <w:ind w:left="0" w:right="720" w:hanging="0"/>
              <w:jc w:val="left"/>
              <w:rPr/>
            </w:pPr>
            <w:hyperlink w:anchor="MineSafetyDisclosures.">
              <w:r>
                <w:rPr>
                  <w:rStyle w:val="InternetLink"/>
                </w:rPr>
                <w:t>Mine Safety Disclosures.</w:t>
              </w:r>
            </w:hyperlink>
          </w:p>
        </w:tc>
        <w:tc>
          <w:tcPr>
            <w:tcW w:w="261" w:type="dxa"/>
            <w:tcBorders/>
            <w:shd w:fill="CCEEFF" w:val="clear"/>
            <w:vAlign w:val="center"/>
          </w:tcPr>
          <w:p>
            <w:pPr>
              <w:pStyle w:val="TableContents"/>
              <w:bidi w:val="0"/>
              <w:spacing w:before="0" w:after="0"/>
              <w:jc w:val="right"/>
              <w:rPr/>
            </w:pPr>
            <w:r>
              <w:rPr/>
              <w:t>61</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5.</w:t>
            </w:r>
          </w:p>
        </w:tc>
        <w:tc>
          <w:tcPr>
            <w:tcW w:w="9195" w:type="dxa"/>
            <w:tcBorders/>
            <w:shd w:fill="CCEEFF" w:val="clear"/>
            <w:vAlign w:val="center"/>
          </w:tcPr>
          <w:p>
            <w:pPr>
              <w:pStyle w:val="TableContents"/>
              <w:bidi w:val="0"/>
              <w:spacing w:before="0" w:after="0"/>
              <w:ind w:left="0" w:right="720" w:hanging="0"/>
              <w:jc w:val="left"/>
              <w:rPr/>
            </w:pPr>
            <w:hyperlink w:anchor="OtherInformation.">
              <w:r>
                <w:rPr>
                  <w:rStyle w:val="InternetLink"/>
                </w:rPr>
                <w:t>Other Information.</w:t>
              </w:r>
            </w:hyperlink>
          </w:p>
        </w:tc>
        <w:tc>
          <w:tcPr>
            <w:tcW w:w="261" w:type="dxa"/>
            <w:tcBorders/>
            <w:shd w:fill="CCEEFF" w:val="clear"/>
            <w:vAlign w:val="center"/>
          </w:tcPr>
          <w:p>
            <w:pPr>
              <w:pStyle w:val="TableContents"/>
              <w:bidi w:val="0"/>
              <w:spacing w:before="0" w:after="0"/>
              <w:jc w:val="right"/>
              <w:rPr/>
            </w:pPr>
            <w:r>
              <w:rPr/>
              <w:t>62</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0"/>
              <w:jc w:val="left"/>
              <w:rPr/>
            </w:pPr>
            <w:r>
              <w:rPr/>
              <w:t>Item 6.</w:t>
            </w:r>
          </w:p>
        </w:tc>
        <w:tc>
          <w:tcPr>
            <w:tcW w:w="9195" w:type="dxa"/>
            <w:tcBorders/>
            <w:shd w:fill="CCEEFF" w:val="clear"/>
            <w:vAlign w:val="center"/>
          </w:tcPr>
          <w:p>
            <w:pPr>
              <w:pStyle w:val="TableContents"/>
              <w:bidi w:val="0"/>
              <w:spacing w:before="0" w:after="0"/>
              <w:ind w:left="0" w:right="720" w:hanging="0"/>
              <w:jc w:val="left"/>
              <w:rPr/>
            </w:pPr>
            <w:hyperlink w:anchor="Exhibits">
              <w:r>
                <w:rPr>
                  <w:rStyle w:val="InternetLink"/>
                </w:rPr>
                <w:t>Exhibits.</w:t>
              </w:r>
            </w:hyperlink>
          </w:p>
        </w:tc>
        <w:tc>
          <w:tcPr>
            <w:tcW w:w="261" w:type="dxa"/>
            <w:tcBorders/>
            <w:shd w:fill="CCEEFF" w:val="clear"/>
            <w:vAlign w:val="center"/>
          </w:tcPr>
          <w:p>
            <w:pPr>
              <w:pStyle w:val="TableContents"/>
              <w:bidi w:val="0"/>
              <w:spacing w:before="0" w:after="0"/>
              <w:jc w:val="right"/>
              <w:rPr/>
            </w:pPr>
            <w:r>
              <w:rPr/>
              <w:t>62</w:t>
            </w:r>
          </w:p>
        </w:tc>
      </w:tr>
      <w:tr>
        <w:trPr/>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shd w:fill="CCEEFF" w:val="clear"/>
            <w:vAlign w:val="center"/>
          </w:tcPr>
          <w:p>
            <w:pPr>
              <w:pStyle w:val="TableContents"/>
              <w:bidi w:val="0"/>
              <w:spacing w:before="0" w:after="0"/>
              <w:jc w:val="left"/>
              <w:rPr/>
            </w:pPr>
            <w:hyperlink w:anchor="SIGNATURES">
              <w:r>
                <w:rPr>
                  <w:rStyle w:val="InternetLink"/>
                </w:rPr>
                <w:t>SIGNATURE</w:t>
              </w:r>
            </w:hyperlink>
          </w:p>
        </w:tc>
        <w:tc>
          <w:tcPr>
            <w:tcW w:w="261" w:type="dxa"/>
            <w:tcBorders/>
            <w:shd w:fill="CCEEFF" w:val="clear"/>
            <w:vAlign w:val="center"/>
          </w:tcPr>
          <w:p>
            <w:pPr>
              <w:pStyle w:val="TableContents"/>
              <w:bidi w:val="0"/>
              <w:spacing w:before="0" w:after="0"/>
              <w:jc w:val="right"/>
              <w:rPr/>
            </w:pPr>
            <w:r>
              <w:rPr/>
              <w:t>62</w:t>
            </w:r>
          </w:p>
        </w:tc>
      </w:tr>
    </w:tbl>
    <w:p>
      <w:pPr>
        <w:pStyle w:val="TextBody"/>
        <w:bidi w:val="0"/>
        <w:spacing w:before="0" w:after="0"/>
        <w:jc w:val="left"/>
        <w:rPr/>
      </w:pPr>
      <w:r>
        <w:rPr/>
      </w:r>
    </w:p>
    <w:p>
      <w:pPr>
        <w:pStyle w:val="TextBody"/>
        <w:bidi w:val="0"/>
        <w:spacing w:lineRule="auto" w:line="240"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includes our trademarks, trade names and service marks, such as “ASCENIV™,”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Special Note Regarding Forward-Looking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manufacture ASCENIV and BIVIGAM on a commercial scale and further commercialize these products as a result of their approval by the U.S. Food and Drug Administration (the “FDA”) in 2019;</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develop, manufacture, market, launch and expand our commercial infrastructure and commercialize our current and future products and the success of such efforts;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safety, efficacy and expected timing of and our ability to obtain and maintain regulatory approvals for our current products and product candidates, and the labeling or nature of any such approvals;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achievement of or expected timing, progress and results of clinical development, clinical trials and potential regulatory approvals for our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dependence upon our third-party customers and vendors and their compliance with applicable regulatory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tc>
      </w:tr>
    </w:tbl>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our ability to obtain adequate quantities of FDA-approved plasma with proper specifications;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increase our supplies of source plasma, our ability to obtain and maintain regulatory compliance and reliance on third-party supply agreements as well as any extensions to such agreements;</w:t>
            </w:r>
          </w:p>
        </w:tc>
      </w:tr>
    </w:tbl>
    <w:p>
      <w:pPr>
        <w:pStyle w:val="TextBody"/>
        <w:bidi w:val="0"/>
        <w:spacing w:before="0" w:after="0"/>
        <w:jc w:val="left"/>
        <w:rPr/>
      </w:pPr>
      <w:r>
        <w:rPr/>
      </w:r>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pPr>
            <w:r>
              <w:rPr/>
              <w:t>the potential indications for our products and product candidates;</w:t>
            </w:r>
          </w:p>
        </w:tc>
      </w:tr>
    </w:tbl>
    <w:p>
      <w:pPr>
        <w:pStyle w:val="TextBody"/>
        <w:bidi w:val="0"/>
        <w:spacing w:before="0" w:after="0"/>
        <w:jc w:val="left"/>
        <w:rPr/>
      </w:pPr>
      <w:r>
        <w:rPr/>
      </w:r>
    </w:p>
    <w:tbl>
      <w:tblPr>
        <w:tblW w:w="4908" w:type="dxa"/>
        <w:jc w:val="left"/>
        <w:tblInd w:w="0" w:type="dxa"/>
        <w:tblLayout w:type="fixed"/>
        <w:tblCellMar>
          <w:top w:w="0" w:type="dxa"/>
          <w:left w:w="0" w:type="dxa"/>
          <w:bottom w:w="0" w:type="dxa"/>
          <w:right w:w="0" w:type="dxa"/>
        </w:tblCellMar>
      </w:tblPr>
      <w:tblGrid>
        <w:gridCol w:w="38"/>
        <w:gridCol w:w="110"/>
        <w:gridCol w:w="4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0"/>
              <w:jc w:val="left"/>
              <w:rPr/>
            </w:pPr>
            <w:r>
              <w:rPr/>
              <w:t>potential investigational new product applications;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acceptability of any of our products, including ASCENIV, BIVIGAM and Nabi-HB, for any purpose, including FDA-approved indications, by physicians, patients or payers;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evaluate the clinical and regulatory paths to grow the ASCENIV franchise through expanded FDA-approved uses;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Federal, state and local regulatory and business review processes and timing by such governmental and regulatory agencies of our business and regulatory submissions;</w:t>
            </w:r>
          </w:p>
        </w:tc>
      </w:tr>
    </w:tbl>
    <w:p>
      <w:pPr>
        <w:pStyle w:val="TextBody"/>
        <w:bidi w:val="0"/>
        <w:spacing w:before="0" w:after="0"/>
        <w:jc w:val="left"/>
        <w:rPr/>
      </w:pPr>
      <w:r>
        <w:rPr/>
      </w:r>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pPr>
            <w:r>
              <w:rPr/>
              <w:t>concurrence by the FDA with our conclusions concerning our products and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comparability of results of our hyperimmune and immune globulin (“IG”) products to other comparably run hyperimmune and immune globulin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the potential for ASCENIV and BIVIGAM to provide meaningful clinical improvement for patients living with </w:t>
            </w:r>
            <w:r>
              <w:rPr>
                <w:color w:val="000000"/>
              </w:rPr>
              <w:t>Primary Humoral Immunodeficiency (“PI”), also known as Primary Immunodeficiency Disease (“PIDD”) or Inborn Errors of Immunity,</w:t>
            </w:r>
            <w:r>
              <w:rPr/>
              <w:t xml:space="preserve"> or other immune deficiencies or any other condition for which the products may be prescribed or evaluated;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market and promote Nabi-HB in a highly competitive environment with increasing competition from other antiviral therapies and to generate meaningful revenues from this product;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intellectual property position and the defense thereof, including our expectations regarding the scope of patent protection with respect to ASCENIV or other future pipeline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develop, manufacture, receive regulatory approval and commercialize our potential pipeline of any new hyperimmune globulins;</w:t>
            </w:r>
          </w:p>
        </w:tc>
      </w:tr>
    </w:tbl>
    <w:p>
      <w:pPr>
        <w:pStyle w:val="TextBody"/>
        <w:bidi w:val="0"/>
        <w:spacing w:before="0" w:after="0"/>
        <w:jc w:val="left"/>
        <w:rPr/>
      </w:pPr>
      <w:r>
        <w:rPr/>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our manufacturing capabilities, third-party contractor capabilities and vertical integration strategy;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related to the expansion and efficiencies of our manufacturing capacity, yield improvements, supply-chain robustness, in-house fill-finish capabilities, distribution and other collaborative agreements and the success of such endeavors;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estimates regarding revenues, expenses, capital requirements, timing to profitability and positive cash flows and the potential need for and availability of additional financing;</w:t>
            </w:r>
          </w:p>
        </w:tc>
      </w:tr>
    </w:tbl>
    <w:p>
      <w:pPr>
        <w:pStyle w:val="TextBody"/>
        <w:bidi w:val="0"/>
        <w:spacing w:before="0" w:after="0"/>
        <w:jc w:val="left"/>
        <w:rPr/>
      </w:pPr>
      <w:r>
        <w:rPr/>
      </w:r>
    </w:p>
    <w:tbl>
      <w:tblPr>
        <w:tblW w:w="7308" w:type="dxa"/>
        <w:jc w:val="left"/>
        <w:tblInd w:w="0" w:type="dxa"/>
        <w:tblLayout w:type="fixed"/>
        <w:tblCellMar>
          <w:top w:w="0" w:type="dxa"/>
          <w:left w:w="0" w:type="dxa"/>
          <w:bottom w:w="0" w:type="dxa"/>
          <w:right w:w="0" w:type="dxa"/>
        </w:tblCellMar>
      </w:tblPr>
      <w:tblGrid>
        <w:gridCol w:w="38"/>
        <w:gridCol w:w="110"/>
        <w:gridCol w:w="71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jc w:val="left"/>
              <w:rPr/>
            </w:pPr>
            <w:r>
              <w:rPr/>
              <w:t>possible or likely reimbursement levels for our currently marketed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estimates regarding market size, projected growth and sales of our existing products as well as our expectations of market acceptance of ASCENIV and BIVIGAM;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pandemics, or a resurgence of a pandemic, may adversely affect our business, financial condition, liquidity or results of operations;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future domestic and global economic conditions including, but not limited to, supply chain constraints, inflationary pressures or performance or geopolitical conditions, including the continuing conflict in Europe or the evolving conflict in the Middle East and surrounding areas.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2023 and in this Quarterly Report on Form 10-Q for the quarter ended March 31, 2024.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 w:name="FinancialStatements."/>
      <w:bookmarkStart w:id="2" w:name="FinancialStatements."/>
      <w:bookmarkEnd w:id="2"/>
    </w:p>
    <w:tbl>
      <w:tblPr>
        <w:tblW w:w="2950" w:type="dxa"/>
        <w:jc w:val="left"/>
        <w:tblInd w:w="0" w:type="dxa"/>
        <w:tblLayout w:type="fixed"/>
        <w:tblCellMar>
          <w:top w:w="0" w:type="dxa"/>
          <w:left w:w="0" w:type="dxa"/>
          <w:bottom w:w="0" w:type="dxa"/>
          <w:right w:w="0" w:type="dxa"/>
        </w:tblCellMar>
      </w:tblPr>
      <w:tblGrid>
        <w:gridCol w:w="740"/>
        <w:gridCol w:w="2210"/>
      </w:tblGrid>
      <w:tr>
        <w:trPr/>
        <w:tc>
          <w:tcPr>
            <w:tcW w:w="740" w:type="dxa"/>
            <w:tcBorders/>
            <w:vAlign w:val="center"/>
          </w:tcPr>
          <w:p>
            <w:pPr>
              <w:pStyle w:val="TableContents"/>
              <w:bidi w:val="0"/>
              <w:spacing w:before="0" w:after="283"/>
              <w:jc w:val="left"/>
              <w:rPr>
                <w:b/>
              </w:rPr>
            </w:pPr>
            <w:r>
              <w:rPr>
                <w:b/>
              </w:rPr>
              <w:t>Item 1.</w:t>
            </w:r>
          </w:p>
        </w:tc>
        <w:tc>
          <w:tcPr>
            <w:tcW w:w="221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bookmarkStart w:id="3" w:name="CONDENSEDCONSOLIDATEDBALA"/>
      <w:bookmarkEnd w:id="3"/>
      <w:r>
        <w:rPr>
          <w:rFonts w:ascii="Times New Roman" w:hAnsi="Times New Roman"/>
          <w:b/>
          <w:color w:val="000000"/>
          <w:sz w:val="20"/>
          <w:shd w:fill="FFFFFF" w:val="clear"/>
        </w:rPr>
        <w:t>CONDENSED CONSOLIDATED BALANCE SHEETS</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7562"/>
        <w:gridCol w:w="60"/>
        <w:gridCol w:w="153"/>
        <w:gridCol w:w="966"/>
        <w:gridCol w:w="95"/>
        <w:gridCol w:w="60"/>
        <w:gridCol w:w="164"/>
        <w:gridCol w:w="1032"/>
        <w:gridCol w:w="113"/>
      </w:tblGrid>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19" w:type="dxa"/>
            <w:gridSpan w:val="2"/>
            <w:tcBorders/>
            <w:vAlign w:val="bottom"/>
          </w:tcPr>
          <w:p>
            <w:pPr>
              <w:pStyle w:val="TableContents"/>
              <w:bidi w:val="0"/>
              <w:spacing w:before="0" w:after="283"/>
              <w:jc w:val="center"/>
              <w:rPr>
                <w:b/>
              </w:rPr>
            </w:pPr>
            <w:r>
              <w:rPr>
                <w:b/>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6" w:type="dxa"/>
            <w:gridSpan w:val="2"/>
            <w:tcBorders/>
            <w:vAlign w:val="bottom"/>
          </w:tcPr>
          <w:p>
            <w:pPr>
              <w:pStyle w:val="TableContents"/>
              <w:bidi w:val="0"/>
              <w:spacing w:before="0" w:after="283"/>
              <w:jc w:val="center"/>
              <w:rPr>
                <w:b/>
              </w:rPr>
            </w:pPr>
            <w:r>
              <w:rPr>
                <w:b/>
              </w:rPr>
              <w:t>December 31,</w:t>
            </w:r>
          </w:p>
        </w:tc>
        <w:tc>
          <w:tcPr>
            <w:tcW w:w="113" w:type="dxa"/>
            <w:tcBorders/>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3" w:type="dxa"/>
            <w:tcBorders/>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19" w:type="dxa"/>
            <w:gridSpan w:val="2"/>
            <w:tcBorders/>
            <w:vAlign w:val="bottom"/>
          </w:tcPr>
          <w:p>
            <w:pPr>
              <w:pStyle w:val="TableContents"/>
              <w:bidi w:val="0"/>
              <w:spacing w:before="0" w:after="283"/>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470" w:type="dxa"/>
            <w:gridSpan w:val="6"/>
            <w:tcBorders/>
            <w:vAlign w:val="bottom"/>
          </w:tcPr>
          <w:p>
            <w:pPr>
              <w:pStyle w:val="TableContents"/>
              <w:bidi w:val="0"/>
              <w:spacing w:before="0" w:after="283"/>
              <w:ind w:left="0" w:right="0" w:hanging="0"/>
              <w:jc w:val="center"/>
              <w:rPr/>
            </w:pPr>
            <w:r>
              <w:rPr>
                <w:rFonts w:ascii="Times New Roman" w:hAnsi="Times New Roman"/>
                <w:b w:val="false"/>
                <w:i/>
                <w:color w:val="000000"/>
                <w:spacing w:val="0"/>
                <w:sz w:val="20"/>
              </w:rPr>
              <w:t>(In thousands, except share data)</w:t>
            </w:r>
            <w:r>
              <w:rPr/>
              <w:t xml:space="preserve"> </w:t>
            </w:r>
          </w:p>
        </w:tc>
        <w:tc>
          <w:tcPr>
            <w:tcW w:w="113" w:type="dxa"/>
            <w:tcBorders/>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ASSETS</w:t>
            </w:r>
          </w:p>
        </w:tc>
        <w:tc>
          <w:tcPr>
            <w:tcW w:w="60" w:type="dxa"/>
            <w:tcBorders/>
            <w:vAlign w:val="bottom"/>
          </w:tcPr>
          <w:p>
            <w:pPr>
              <w:pStyle w:val="TableContents"/>
              <w:bidi w:val="0"/>
              <w:spacing w:before="0" w:after="283"/>
              <w:jc w:val="left"/>
              <w:rPr/>
            </w:pPr>
            <w:r>
              <w:rPr/>
              <w:t> </w:t>
            </w:r>
          </w:p>
        </w:tc>
        <w:tc>
          <w:tcPr>
            <w:tcW w:w="1119" w:type="dxa"/>
            <w:gridSpan w:val="2"/>
            <w:tcBorders/>
            <w:vAlign w:val="bottom"/>
          </w:tcPr>
          <w:p>
            <w:pPr>
              <w:pStyle w:val="TableContents"/>
              <w:bidi w:val="0"/>
              <w:spacing w:before="0" w:after="0"/>
              <w:jc w:val="center"/>
              <w:rPr/>
            </w:pPr>
            <w:r>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Current assets:</w:t>
            </w:r>
          </w:p>
        </w:tc>
        <w:tc>
          <w:tcPr>
            <w:tcW w:w="60" w:type="dxa"/>
            <w:tcBorders/>
            <w:vAlign w:val="bottom"/>
          </w:tcPr>
          <w:p>
            <w:pPr>
              <w:pStyle w:val="TableContents"/>
              <w:bidi w:val="0"/>
              <w:spacing w:before="0" w:after="283"/>
              <w:jc w:val="left"/>
              <w:rPr/>
            </w:pPr>
            <w:r>
              <w:rPr/>
              <w:t> </w:t>
            </w:r>
          </w:p>
        </w:tc>
        <w:tc>
          <w:tcPr>
            <w:tcW w:w="111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324" w:right="0" w:hanging="144"/>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pPr>
            <w:r>
              <w:rPr/>
              <w:t>$</w:t>
            </w:r>
          </w:p>
        </w:tc>
        <w:tc>
          <w:tcPr>
            <w:tcW w:w="966" w:type="dxa"/>
            <w:tcBorders/>
            <w:shd w:fill="CCEEFF" w:val="clear"/>
            <w:vAlign w:val="bottom"/>
          </w:tcPr>
          <w:p>
            <w:pPr>
              <w:pStyle w:val="TableContents"/>
              <w:bidi w:val="0"/>
              <w:spacing w:before="0" w:after="0"/>
              <w:jc w:val="right"/>
              <w:rPr/>
            </w:pPr>
            <w:r>
              <w:rPr/>
              <w:t>45,325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pPr>
            <w:r>
              <w:rPr/>
              <w:t>$</w:t>
            </w:r>
          </w:p>
        </w:tc>
        <w:tc>
          <w:tcPr>
            <w:tcW w:w="1032" w:type="dxa"/>
            <w:tcBorders/>
            <w:shd w:fill="CCEEFF" w:val="clear"/>
            <w:vAlign w:val="bottom"/>
          </w:tcPr>
          <w:p>
            <w:pPr>
              <w:pStyle w:val="TableContents"/>
              <w:bidi w:val="0"/>
              <w:spacing w:before="0" w:after="0"/>
              <w:jc w:val="right"/>
              <w:rPr/>
            </w:pPr>
            <w:r>
              <w:rPr/>
              <w:t>51,352</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324" w:right="0" w:hanging="144"/>
              <w:jc w:val="left"/>
              <w:rPr/>
            </w:pPr>
            <w:r>
              <w:rPr/>
              <w:t>Accounts receivable, net</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49,621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27,421</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324" w:right="0" w:hanging="144"/>
              <w:jc w:val="left"/>
              <w:rPr/>
            </w:pPr>
            <w:r>
              <w:rPr/>
              <w:t>Inventories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177,732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172,906</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324" w:right="0" w:hanging="144"/>
              <w:jc w:val="left"/>
              <w:rPr/>
            </w:pPr>
            <w:r>
              <w:rPr/>
              <w:t>Prepaid expenses and other current assets</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pPr>
            <w:r>
              <w:rPr/>
              <w:t>3,741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pPr>
            <w:r>
              <w:rPr/>
              <w:t>5,334</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504" w:right="0" w:hanging="144"/>
              <w:jc w:val="left"/>
              <w:rPr/>
            </w:pPr>
            <w:r>
              <w:rPr/>
              <w:t>Total current assets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276,419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257,013</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Property and equipment, net</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55,317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53,835</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pPr>
            <w:r>
              <w:rPr/>
              <w:t>Intangible assets, net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321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499</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Goodwill</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3,530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3,530</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pPr>
            <w:r>
              <w:rPr/>
              <w:t>Right-to-use assets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9,397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9,635</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Deposits and other assets</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pPr>
            <w:r>
              <w:rPr/>
              <w:t>5,891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pPr>
            <w:r>
              <w:rPr/>
              <w:t>4,670</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TOTAL ASSETS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66" w:type="dxa"/>
            <w:tcBorders>
              <w:bottom w:val="double" w:sz="8" w:space="0" w:color="000000"/>
            </w:tcBorders>
            <w:shd w:fill="CCEEFF" w:val="clear"/>
            <w:tcMar>
              <w:bottom w:w="28" w:type="dxa"/>
            </w:tcMar>
            <w:vAlign w:val="bottom"/>
          </w:tcPr>
          <w:p>
            <w:pPr>
              <w:pStyle w:val="TableContents"/>
              <w:bidi w:val="0"/>
              <w:spacing w:before="0" w:after="0"/>
              <w:jc w:val="right"/>
              <w:rPr/>
            </w:pPr>
            <w:r>
              <w:rPr/>
              <w:t>350,875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2" w:type="dxa"/>
            <w:tcBorders>
              <w:bottom w:val="double" w:sz="8" w:space="0" w:color="000000"/>
            </w:tcBorders>
            <w:shd w:fill="CCEEFF" w:val="clear"/>
            <w:tcMar>
              <w:bottom w:w="28" w:type="dxa"/>
            </w:tcMar>
            <w:vAlign w:val="bottom"/>
          </w:tcPr>
          <w:p>
            <w:pPr>
              <w:pStyle w:val="TableContents"/>
              <w:bidi w:val="0"/>
              <w:spacing w:before="0" w:after="0"/>
              <w:jc w:val="right"/>
              <w:rPr/>
            </w:pPr>
            <w:r>
              <w:rPr/>
              <w:t>329,182</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Current liabilities: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324" w:right="0" w:hanging="144"/>
              <w:jc w:val="left"/>
              <w:rPr/>
            </w:pPr>
            <w:r>
              <w:rPr/>
              <w:t>Accounts payable</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pPr>
            <w:r>
              <w:rPr/>
              <w:t>$</w:t>
            </w:r>
          </w:p>
        </w:tc>
        <w:tc>
          <w:tcPr>
            <w:tcW w:w="966" w:type="dxa"/>
            <w:tcBorders/>
            <w:shd w:fill="CCEEFF" w:val="clear"/>
            <w:vAlign w:val="bottom"/>
          </w:tcPr>
          <w:p>
            <w:pPr>
              <w:pStyle w:val="TableContents"/>
              <w:bidi w:val="0"/>
              <w:spacing w:before="0" w:after="0"/>
              <w:jc w:val="right"/>
              <w:rPr/>
            </w:pPr>
            <w:r>
              <w:rPr/>
              <w:t>17,186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pPr>
            <w:r>
              <w:rPr/>
              <w:t>$</w:t>
            </w:r>
          </w:p>
        </w:tc>
        <w:tc>
          <w:tcPr>
            <w:tcW w:w="1032" w:type="dxa"/>
            <w:tcBorders/>
            <w:shd w:fill="CCEEFF" w:val="clear"/>
            <w:vAlign w:val="bottom"/>
          </w:tcPr>
          <w:p>
            <w:pPr>
              <w:pStyle w:val="TableContents"/>
              <w:bidi w:val="0"/>
              <w:spacing w:before="0" w:after="0"/>
              <w:jc w:val="right"/>
              <w:rPr/>
            </w:pPr>
            <w:r>
              <w:rPr/>
              <w:t>15,660</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324" w:right="0" w:hanging="144"/>
              <w:jc w:val="left"/>
              <w:rPr/>
            </w:pPr>
            <w:r>
              <w:rPr/>
              <w:t>Accrued expenses and other current liabilities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33,691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32,919</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324" w:right="0" w:hanging="144"/>
              <w:jc w:val="left"/>
              <w:rPr/>
            </w:pPr>
            <w:r>
              <w:rPr/>
              <w:t>Current portion of deferred revenue</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1,118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182</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324" w:right="0" w:hanging="144"/>
              <w:jc w:val="left"/>
              <w:rPr/>
            </w:pPr>
            <w:r>
              <w:rPr/>
              <w:t>Current portion of lease obligations</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pPr>
            <w:r>
              <w:rPr/>
              <w:t>1,093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pPr>
            <w:r>
              <w:rPr/>
              <w:t>1,045</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504" w:right="0" w:hanging="144"/>
              <w:jc w:val="left"/>
              <w:rPr/>
            </w:pPr>
            <w:r>
              <w:rPr/>
              <w:t>Total current liabilities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53,088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49,806</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Senior notes payable, net of discount</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130,847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130,594</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pPr>
            <w:r>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1,654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1,690</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End of term fee</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1,688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1,688</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pPr>
            <w:r>
              <w:rPr/>
              <w:t>Lease obligations, net of current portion</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9,487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9,779</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Other non-current liabilities</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pPr>
            <w:r>
              <w:rPr/>
              <w:t>405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pPr>
            <w:r>
              <w:rPr/>
              <w:t>419</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TOTAL LIABILITIES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bottom"/>
          </w:tcPr>
          <w:p>
            <w:pPr>
              <w:pStyle w:val="TableContents"/>
              <w:bidi w:val="0"/>
              <w:spacing w:before="0" w:after="0"/>
              <w:jc w:val="right"/>
              <w:rPr/>
            </w:pPr>
            <w:r>
              <w:rPr/>
              <w:t>197,169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bottom"/>
          </w:tcPr>
          <w:p>
            <w:pPr>
              <w:pStyle w:val="TableContents"/>
              <w:bidi w:val="0"/>
              <w:spacing w:before="0" w:after="0"/>
              <w:jc w:val="right"/>
              <w:rPr/>
            </w:pPr>
            <w:r>
              <w:rPr/>
              <w:t>193,976</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COMMITMENTS AND CONTINGENCIES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STOCKHOLDERS’ EQUITY</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0"/>
              <w:jc w:val="left"/>
              <w:rPr/>
            </w:pPr>
            <w:r>
              <w:rPr/>
              <w:t>Preferred Stock, $0.0001 par value, 10,000,000 shares authorized, no shares issued and outstanding</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0"/>
              <w:jc w:val="left"/>
              <w:rPr/>
            </w:pPr>
            <w:r>
              <w:rPr/>
              <w:t>Common Stock - voting, $0.0001 par value, 300,000,000 shares authorized, 231,769,765 and 226,063,032 shares issued and outstanding at March 31, 2024 and December 31, 2023</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pPr>
            <w:r>
              <w:rPr/>
              <w:t>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pPr>
            <w:r>
              <w:rPr/>
              <w:t>23</w:t>
            </w:r>
          </w:p>
        </w:tc>
        <w:tc>
          <w:tcPr>
            <w:tcW w:w="113" w:type="dxa"/>
            <w:tcBorders/>
            <w:shd w:fill="CCEEFF" w:val="clear"/>
            <w:vAlign w:val="bottom"/>
          </w:tcPr>
          <w:p>
            <w:pPr>
              <w:pStyle w:val="TableContents"/>
              <w:bidi w:val="0"/>
              <w:spacing w:before="0" w:after="283"/>
              <w:jc w:val="left"/>
              <w:rPr/>
            </w:pPr>
            <w:r>
              <w:rPr/>
              <w:t> </w:t>
            </w:r>
          </w:p>
        </w:tc>
      </w:tr>
      <w:tr>
        <w:trPr/>
        <w:tc>
          <w:tcPr>
            <w:tcW w:w="7562" w:type="dxa"/>
            <w:tcBorders/>
            <w:vAlign w:val="bottom"/>
          </w:tcPr>
          <w:p>
            <w:pPr>
              <w:pStyle w:val="TableContents"/>
              <w:bidi w:val="0"/>
              <w:spacing w:before="0" w:after="0"/>
              <w:ind w:left="144" w:right="0" w:hanging="144"/>
              <w:jc w:val="left"/>
              <w:rPr/>
            </w:pPr>
            <w:r>
              <w:rPr/>
              <w:t>Additional paid-in capital</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0"/>
              <w:jc w:val="right"/>
              <w:rPr/>
            </w:pPr>
            <w:r>
              <w:rPr/>
              <w:t>642,133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641,439</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pPr>
            <w:r>
              <w:rPr/>
              <w:t>Accumulated deficit</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bottom"/>
          </w:tcPr>
          <w:p>
            <w:pPr>
              <w:pStyle w:val="TableContents"/>
              <w:bidi w:val="0"/>
              <w:spacing w:before="0" w:after="0"/>
              <w:jc w:val="right"/>
              <w:rPr/>
            </w:pPr>
            <w:r>
              <w:rPr/>
              <w:t>(488,450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bottom"/>
          </w:tcPr>
          <w:p>
            <w:pPr>
              <w:pStyle w:val="TableContents"/>
              <w:bidi w:val="0"/>
              <w:spacing w:before="0" w:after="0"/>
              <w:jc w:val="right"/>
              <w:rPr/>
            </w:pPr>
            <w:r>
              <w:rPr/>
              <w:t>(506,256</w:t>
            </w:r>
          </w:p>
        </w:tc>
        <w:tc>
          <w:tcPr>
            <w:tcW w:w="113" w:type="dxa"/>
            <w:tcBorders/>
            <w:shd w:fill="CCEEFF" w:val="clear"/>
            <w:vAlign w:val="bottom"/>
          </w:tcPr>
          <w:p>
            <w:pPr>
              <w:pStyle w:val="TableContents"/>
              <w:bidi w:val="0"/>
              <w:spacing w:before="0" w:after="0"/>
              <w:jc w:val="left"/>
              <w:rPr/>
            </w:pPr>
            <w:r>
              <w:rPr/>
              <w:t>)</w:t>
            </w:r>
          </w:p>
        </w:tc>
      </w:tr>
      <w:tr>
        <w:trPr/>
        <w:tc>
          <w:tcPr>
            <w:tcW w:w="7562" w:type="dxa"/>
            <w:tcBorders/>
            <w:vAlign w:val="bottom"/>
          </w:tcPr>
          <w:p>
            <w:pPr>
              <w:pStyle w:val="TableContents"/>
              <w:bidi w:val="0"/>
              <w:spacing w:before="0" w:after="0"/>
              <w:ind w:left="144" w:right="0" w:hanging="144"/>
              <w:jc w:val="left"/>
              <w:rPr>
                <w:b/>
              </w:rPr>
            </w:pPr>
            <w:r>
              <w:rPr>
                <w:b/>
              </w:rPr>
              <w:t>TOTAL STOCKHOLDERS’ EQUITY</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pPr>
            <w:r>
              <w:rPr/>
              <w:t>153,706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pPr>
            <w:r>
              <w:rPr/>
              <w:t>135,206</w:t>
            </w:r>
          </w:p>
        </w:tc>
        <w:tc>
          <w:tcPr>
            <w:tcW w:w="113" w:type="dxa"/>
            <w:tcBorders/>
            <w:vAlign w:val="bottom"/>
          </w:tcPr>
          <w:p>
            <w:pPr>
              <w:pStyle w:val="TableContents"/>
              <w:bidi w:val="0"/>
              <w:spacing w:before="0" w:after="283"/>
              <w:jc w:val="left"/>
              <w:rPr/>
            </w:pPr>
            <w:r>
              <w:rPr/>
              <w:t> </w:t>
            </w:r>
          </w:p>
        </w:tc>
      </w:tr>
      <w:tr>
        <w:trPr/>
        <w:tc>
          <w:tcPr>
            <w:tcW w:w="7562" w:type="dxa"/>
            <w:tcBorders/>
            <w:shd w:fill="CCEEFF" w:val="clear"/>
            <w:vAlign w:val="bottom"/>
          </w:tcPr>
          <w:p>
            <w:pPr>
              <w:pStyle w:val="TableContents"/>
              <w:bidi w:val="0"/>
              <w:spacing w:before="0" w:after="0"/>
              <w:ind w:left="144" w:right="0" w:hanging="144"/>
              <w:jc w:val="left"/>
              <w:rPr>
                <w:b/>
              </w:rPr>
            </w:pPr>
            <w:r>
              <w:rPr>
                <w:b/>
              </w:rPr>
              <w:t>TOTAL 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66" w:type="dxa"/>
            <w:tcBorders>
              <w:bottom w:val="double" w:sz="8" w:space="0" w:color="000000"/>
            </w:tcBorders>
            <w:shd w:fill="CCEEFF" w:val="clear"/>
            <w:tcMar>
              <w:bottom w:w="28" w:type="dxa"/>
            </w:tcMar>
            <w:vAlign w:val="bottom"/>
          </w:tcPr>
          <w:p>
            <w:pPr>
              <w:pStyle w:val="TableContents"/>
              <w:bidi w:val="0"/>
              <w:spacing w:before="0" w:after="0"/>
              <w:jc w:val="right"/>
              <w:rPr/>
            </w:pPr>
            <w:r>
              <w:rPr/>
              <w:t>350,875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2" w:type="dxa"/>
            <w:tcBorders>
              <w:bottom w:val="double" w:sz="8" w:space="0" w:color="000000"/>
            </w:tcBorders>
            <w:shd w:fill="CCEEFF" w:val="clear"/>
            <w:tcMar>
              <w:bottom w:w="28" w:type="dxa"/>
            </w:tcMar>
            <w:vAlign w:val="bottom"/>
          </w:tcPr>
          <w:p>
            <w:pPr>
              <w:pStyle w:val="TableContents"/>
              <w:bidi w:val="0"/>
              <w:spacing w:before="0" w:after="0"/>
              <w:jc w:val="right"/>
              <w:rPr/>
            </w:pPr>
            <w:r>
              <w:rPr/>
              <w:t>329,182</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bookmarkStart w:id="4" w:name="CONDENSEDCONSOLIDATEDSTAT"/>
      <w:bookmarkEnd w:id="4"/>
      <w:r>
        <w:rPr>
          <w:rFonts w:ascii="Times New Roman" w:hAnsi="Times New Roman"/>
          <w:b/>
          <w:color w:val="000000"/>
          <w:sz w:val="20"/>
          <w:shd w:fill="FFFFFF" w:val="clear"/>
        </w:rPr>
        <w:t>CONDENSED CONSOLIDATED STATEMENTS OF 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6282"/>
        <w:gridCol w:w="60"/>
        <w:gridCol w:w="182"/>
        <w:gridCol w:w="1600"/>
        <w:gridCol w:w="123"/>
        <w:gridCol w:w="78"/>
        <w:gridCol w:w="182"/>
        <w:gridCol w:w="1600"/>
        <w:gridCol w:w="98"/>
      </w:tblGrid>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98" w:type="dxa"/>
            <w:tcBorders/>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78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8" w:type="dxa"/>
            <w:tcBorders/>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765" w:type="dxa"/>
            <w:gridSpan w:val="6"/>
            <w:tcBorders/>
            <w:vAlign w:val="bottom"/>
          </w:tcPr>
          <w:p>
            <w:pPr>
              <w:pStyle w:val="TableContents"/>
              <w:bidi w:val="0"/>
              <w:spacing w:before="0" w:after="283"/>
              <w:jc w:val="center"/>
              <w:rPr>
                <w:i/>
                <w:sz w:val="20"/>
              </w:rPr>
            </w:pPr>
            <w:r>
              <w:rPr>
                <w:i/>
                <w:sz w:val="20"/>
              </w:rPr>
              <w:t>(In thousands, except share and per share data)</w:t>
            </w:r>
          </w:p>
        </w:tc>
        <w:tc>
          <w:tcPr>
            <w:tcW w:w="98" w:type="dxa"/>
            <w:tcBorders/>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2"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782"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283"/>
              <w:jc w:val="left"/>
              <w:rPr>
                <w:b/>
              </w:rPr>
            </w:pPr>
            <w:r>
              <w:rPr>
                <w:b/>
              </w:rPr>
              <w:t>REVENUES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81,875</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56,914</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pPr>
            <w:r>
              <w:rPr/>
              <w:t>Cost of product revenue</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283"/>
              <w:jc w:val="right"/>
              <w:rPr/>
            </w:pPr>
            <w:r>
              <w:rPr/>
              <w:t>42,767</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283"/>
              <w:jc w:val="right"/>
              <w:rPr/>
            </w:pPr>
            <w:r>
              <w:rPr/>
              <w:t>40,401</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360" w:right="0" w:hanging="0"/>
              <w:jc w:val="left"/>
              <w:rPr>
                <w:b/>
              </w:rPr>
            </w:pPr>
            <w:r>
              <w:rPr>
                <w:b/>
              </w:rPr>
              <w:t>Gross profit</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283"/>
              <w:jc w:val="right"/>
              <w:rPr/>
            </w:pPr>
            <w:r>
              <w:rPr/>
              <w:t>39,108</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283"/>
              <w:jc w:val="right"/>
              <w:rPr/>
            </w:pPr>
            <w:r>
              <w:rPr/>
              <w:t>16,513</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144" w:right="0" w:hanging="144"/>
              <w:jc w:val="left"/>
              <w:rPr>
                <w:b/>
              </w:rPr>
            </w:pPr>
            <w:r>
              <w:rPr>
                <w:b/>
              </w:rPr>
              <w:t>OPERATING EXPENSES: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324" w:right="0" w:hanging="144"/>
              <w:jc w:val="left"/>
              <w:rPr/>
            </w:pPr>
            <w:r>
              <w:rPr/>
              <w:t>Research and development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450</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855</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324" w:right="0" w:hanging="144"/>
              <w:jc w:val="left"/>
              <w:rPr/>
            </w:pPr>
            <w:r>
              <w:rPr/>
              <w:t>Plasma center operating expenses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0"/>
              <w:jc w:val="right"/>
              <w:rPr/>
            </w:pPr>
            <w:r>
              <w:rPr/>
              <w:t>1,005</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0"/>
              <w:jc w:val="right"/>
              <w:rPr/>
            </w:pPr>
            <w:r>
              <w:rPr/>
              <w:t>1,780</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324" w:right="0" w:hanging="144"/>
              <w:jc w:val="left"/>
              <w:rPr/>
            </w:pPr>
            <w:r>
              <w:rPr/>
              <w:t>Amortization of intangible assets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193</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179</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324" w:right="0" w:hanging="144"/>
              <w:jc w:val="left"/>
              <w:rPr/>
            </w:pPr>
            <w:r>
              <w:rPr/>
              <w:t>Selling, general and administrative</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pPr>
            <w:r>
              <w:rPr/>
              <w:t>15,639</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pPr>
            <w:r>
              <w:rPr/>
              <w:t>14,512</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504" w:right="0" w:hanging="144"/>
              <w:jc w:val="left"/>
              <w:rPr>
                <w:b/>
              </w:rPr>
            </w:pPr>
            <w:r>
              <w:rPr>
                <w:b/>
              </w:rPr>
              <w:t>Total operating expenses</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17,287</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17,326</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144" w:right="0" w:hanging="144"/>
              <w:jc w:val="left"/>
              <w:rPr>
                <w:b/>
              </w:rPr>
            </w:pPr>
            <w:r>
              <w:rPr>
                <w:b/>
              </w:rPr>
              <w:t>INCOME (LOSS) FROM OPERATIONS</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21,821</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(813</w:t>
            </w:r>
          </w:p>
        </w:tc>
        <w:tc>
          <w:tcPr>
            <w:tcW w:w="98" w:type="dxa"/>
            <w:tcBorders/>
            <w:vAlign w:val="bottom"/>
          </w:tcPr>
          <w:p>
            <w:pPr>
              <w:pStyle w:val="TableContents"/>
              <w:bidi w:val="0"/>
              <w:spacing w:before="0" w:after="0"/>
              <w:jc w:val="left"/>
              <w:rPr/>
            </w:pPr>
            <w:r>
              <w:rPr/>
              <w:t>)</w:t>
            </w:r>
          </w:p>
        </w:tc>
      </w:tr>
      <w:tr>
        <w:trPr/>
        <w:tc>
          <w:tcPr>
            <w:tcW w:w="6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144" w:right="0" w:hanging="144"/>
              <w:jc w:val="left"/>
              <w:rPr>
                <w:b/>
              </w:rPr>
            </w:pPr>
            <w:r>
              <w:rPr>
                <w:b/>
              </w:rPr>
              <w:t>OTHER INCOME (EXPENSE):</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324" w:right="0" w:hanging="144"/>
              <w:jc w:val="left"/>
              <w:rPr/>
            </w:pPr>
            <w:r>
              <w:rPr/>
              <w:t>Interest income</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0"/>
              <w:jc w:val="right"/>
              <w:rPr/>
            </w:pPr>
            <w:r>
              <w:rPr/>
              <w:t>384</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0"/>
              <w:jc w:val="right"/>
              <w:rPr/>
            </w:pPr>
            <w:r>
              <w:rPr/>
              <w:t>166</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324" w:right="0" w:hanging="144"/>
              <w:jc w:val="left"/>
              <w:rPr/>
            </w:pPr>
            <w:r>
              <w:rPr/>
              <w:t>Interest expense</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(3,769</w:t>
            </w:r>
          </w:p>
        </w:tc>
        <w:tc>
          <w:tcPr>
            <w:tcW w:w="123" w:type="dxa"/>
            <w:tcBorders/>
            <w:vAlign w:val="bottom"/>
          </w:tcPr>
          <w:p>
            <w:pPr>
              <w:pStyle w:val="TableContents"/>
              <w:bidi w:val="0"/>
              <w:spacing w:before="0" w:after="0"/>
              <w:jc w:val="left"/>
              <w:rPr/>
            </w:pPr>
            <w:r>
              <w:rPr/>
              <w:t>)</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pPr>
            <w:r>
              <w:rPr/>
              <w:t>(6,115</w:t>
            </w:r>
          </w:p>
        </w:tc>
        <w:tc>
          <w:tcPr>
            <w:tcW w:w="98" w:type="dxa"/>
            <w:tcBorders/>
            <w:vAlign w:val="bottom"/>
          </w:tcPr>
          <w:p>
            <w:pPr>
              <w:pStyle w:val="TableContents"/>
              <w:bidi w:val="0"/>
              <w:spacing w:before="0" w:after="0"/>
              <w:jc w:val="left"/>
              <w:rPr/>
            </w:pPr>
            <w:r>
              <w:rPr/>
              <w:t>)</w:t>
            </w:r>
          </w:p>
        </w:tc>
      </w:tr>
      <w:tr>
        <w:trPr/>
        <w:tc>
          <w:tcPr>
            <w:tcW w:w="6282" w:type="dxa"/>
            <w:tcBorders/>
            <w:shd w:fill="CCEEFF" w:val="clear"/>
            <w:vAlign w:val="bottom"/>
          </w:tcPr>
          <w:p>
            <w:pPr>
              <w:pStyle w:val="TableContents"/>
              <w:bidi w:val="0"/>
              <w:spacing w:before="0" w:after="0"/>
              <w:ind w:left="324" w:right="0" w:hanging="144"/>
              <w:jc w:val="left"/>
              <w:rPr/>
            </w:pPr>
            <w:r>
              <w:rPr/>
              <w:t>Other expense</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pPr>
            <w:r>
              <w:rPr/>
              <w:t>(35</w:t>
            </w:r>
          </w:p>
        </w:tc>
        <w:tc>
          <w:tcPr>
            <w:tcW w:w="123" w:type="dxa"/>
            <w:tcBorders/>
            <w:shd w:fill="CCEEFF" w:val="clear"/>
            <w:vAlign w:val="bottom"/>
          </w:tcPr>
          <w:p>
            <w:pPr>
              <w:pStyle w:val="TableContents"/>
              <w:bidi w:val="0"/>
              <w:spacing w:before="0" w:after="0"/>
              <w:jc w:val="left"/>
              <w:rPr/>
            </w:pPr>
            <w:r>
              <w:rPr/>
              <w:t>)</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pPr>
            <w:r>
              <w:rPr/>
              <w:t>(27</w:t>
            </w:r>
          </w:p>
        </w:tc>
        <w:tc>
          <w:tcPr>
            <w:tcW w:w="98" w:type="dxa"/>
            <w:tcBorders/>
            <w:shd w:fill="CCEEFF" w:val="clear"/>
            <w:vAlign w:val="bottom"/>
          </w:tcPr>
          <w:p>
            <w:pPr>
              <w:pStyle w:val="TableContents"/>
              <w:bidi w:val="0"/>
              <w:spacing w:before="0" w:after="0"/>
              <w:jc w:val="left"/>
              <w:rPr/>
            </w:pPr>
            <w:r>
              <w:rPr/>
              <w:t>)</w:t>
            </w:r>
          </w:p>
        </w:tc>
      </w:tr>
      <w:tr>
        <w:trPr/>
        <w:tc>
          <w:tcPr>
            <w:tcW w:w="6282" w:type="dxa"/>
            <w:tcBorders/>
            <w:vAlign w:val="bottom"/>
          </w:tcPr>
          <w:p>
            <w:pPr>
              <w:pStyle w:val="TableContents"/>
              <w:bidi w:val="0"/>
              <w:spacing w:before="0" w:after="0"/>
              <w:ind w:left="504" w:right="0" w:hanging="144"/>
              <w:jc w:val="left"/>
              <w:rPr>
                <w:b/>
              </w:rPr>
            </w:pPr>
            <w:r>
              <w:rPr>
                <w:b/>
              </w:rPr>
              <w:t>Other expense, net</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(3,420</w:t>
            </w:r>
          </w:p>
        </w:tc>
        <w:tc>
          <w:tcPr>
            <w:tcW w:w="123" w:type="dxa"/>
            <w:tcBorders/>
            <w:vAlign w:val="bottom"/>
          </w:tcPr>
          <w:p>
            <w:pPr>
              <w:pStyle w:val="TableContents"/>
              <w:bidi w:val="0"/>
              <w:spacing w:before="0" w:after="0"/>
              <w:jc w:val="left"/>
              <w:rPr/>
            </w:pPr>
            <w:r>
              <w:rPr/>
              <w:t>)</w:t>
            </w:r>
          </w:p>
        </w:tc>
        <w:tc>
          <w:tcPr>
            <w:tcW w:w="78"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tcMar>
              <w:bottom w:w="28" w:type="dxa"/>
            </w:tcMar>
            <w:vAlign w:val="bottom"/>
          </w:tcPr>
          <w:p>
            <w:pPr>
              <w:pStyle w:val="TableContents"/>
              <w:bidi w:val="0"/>
              <w:spacing w:before="0" w:after="0"/>
              <w:jc w:val="right"/>
              <w:rPr/>
            </w:pPr>
            <w:r>
              <w:rPr/>
              <w:t>(5,976</w:t>
            </w:r>
          </w:p>
        </w:tc>
        <w:tc>
          <w:tcPr>
            <w:tcW w:w="98" w:type="dxa"/>
            <w:tcBorders/>
            <w:vAlign w:val="bottom"/>
          </w:tcPr>
          <w:p>
            <w:pPr>
              <w:pStyle w:val="TableContents"/>
              <w:bidi w:val="0"/>
              <w:spacing w:before="0" w:after="0"/>
              <w:jc w:val="left"/>
              <w:rPr/>
            </w:pPr>
            <w:r>
              <w:rPr/>
              <w:t>)</w:t>
            </w:r>
          </w:p>
        </w:tc>
      </w:tr>
      <w:tr>
        <w:trPr/>
        <w:tc>
          <w:tcPr>
            <w:tcW w:w="6282"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283"/>
              <w:jc w:val="left"/>
              <w:rPr>
                <w:b/>
              </w:rPr>
            </w:pPr>
            <w:r>
              <w:rPr>
                <w:b/>
              </w:rPr>
              <w:t>INCOME (LOSS) BEFORE INCOME TAXES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18,401</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(6,789</w:t>
            </w:r>
          </w:p>
        </w:tc>
        <w:tc>
          <w:tcPr>
            <w:tcW w:w="98" w:type="dxa"/>
            <w:tcBorders/>
            <w:vAlign w:val="bottom"/>
          </w:tcPr>
          <w:p>
            <w:pPr>
              <w:pStyle w:val="TableContents"/>
              <w:bidi w:val="0"/>
              <w:spacing w:before="0" w:after="283"/>
              <w:jc w:val="left"/>
              <w:rPr/>
            </w:pPr>
            <w:r>
              <w:rPr/>
              <w:t>)</w:t>
            </w:r>
          </w:p>
        </w:tc>
      </w:tr>
      <w:tr>
        <w:trPr/>
        <w:tc>
          <w:tcPr>
            <w:tcW w:w="6282"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180" w:right="0" w:hanging="0"/>
              <w:jc w:val="left"/>
              <w:rPr>
                <w:b w:val="false"/>
              </w:rPr>
            </w:pPr>
            <w:r>
              <w:rPr>
                <w:b w:val="false"/>
              </w:rPr>
              <w:t>Provision for income taxes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595</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144" w:right="0" w:hanging="144"/>
              <w:jc w:val="left"/>
              <w:rPr>
                <w:b/>
              </w:rPr>
            </w:pPr>
            <w:r>
              <w:rPr>
                <w:b/>
              </w:rPr>
              <w:t>NET INCOME (LOSS)</w:t>
            </w:r>
          </w:p>
        </w:tc>
        <w:tc>
          <w:tcPr>
            <w:tcW w:w="60"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600" w:type="dxa"/>
            <w:tcBorders>
              <w:bottom w:val="double" w:sz="8" w:space="0" w:color="000000"/>
            </w:tcBorders>
            <w:tcMar>
              <w:bottom w:w="28" w:type="dxa"/>
            </w:tcMar>
            <w:vAlign w:val="bottom"/>
          </w:tcPr>
          <w:p>
            <w:pPr>
              <w:pStyle w:val="TableContents"/>
              <w:bidi w:val="0"/>
              <w:spacing w:before="0" w:after="0"/>
              <w:jc w:val="right"/>
              <w:rPr/>
            </w:pPr>
            <w:r>
              <w:rPr/>
              <w:t>17,806</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600" w:type="dxa"/>
            <w:tcBorders>
              <w:bottom w:val="double" w:sz="8" w:space="0" w:color="000000"/>
            </w:tcBorders>
            <w:tcMar>
              <w:bottom w:w="28" w:type="dxa"/>
            </w:tcMar>
            <w:vAlign w:val="bottom"/>
          </w:tcPr>
          <w:p>
            <w:pPr>
              <w:pStyle w:val="TableContents"/>
              <w:bidi w:val="0"/>
              <w:spacing w:before="0" w:after="0"/>
              <w:jc w:val="right"/>
              <w:rPr/>
            </w:pPr>
            <w:r>
              <w:rPr/>
              <w:t>(6,789</w:t>
            </w:r>
          </w:p>
        </w:tc>
        <w:tc>
          <w:tcPr>
            <w:tcW w:w="98" w:type="dxa"/>
            <w:tcBorders/>
            <w:vAlign w:val="bottom"/>
          </w:tcPr>
          <w:p>
            <w:pPr>
              <w:pStyle w:val="TableContents"/>
              <w:bidi w:val="0"/>
              <w:spacing w:before="0" w:after="0"/>
              <w:jc w:val="left"/>
              <w:rPr/>
            </w:pPr>
            <w:r>
              <w:rPr/>
              <w:t>)</w:t>
            </w:r>
          </w:p>
        </w:tc>
      </w:tr>
      <w:tr>
        <w:trPr/>
        <w:tc>
          <w:tcPr>
            <w:tcW w:w="6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144" w:right="0" w:hanging="144"/>
              <w:jc w:val="left"/>
              <w:rPr>
                <w:b/>
              </w:rPr>
            </w:pPr>
            <w:r>
              <w:rPr>
                <w:b/>
              </w:rPr>
              <w:t>BASIC EARNINGS (LOSS) PER COMMON SHARE</w:t>
            </w:r>
          </w:p>
        </w:tc>
        <w:tc>
          <w:tcPr>
            <w:tcW w:w="60"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600" w:type="dxa"/>
            <w:tcBorders>
              <w:bottom w:val="double" w:sz="8" w:space="0" w:color="000000"/>
            </w:tcBorders>
            <w:tcMar>
              <w:bottom w:w="28" w:type="dxa"/>
            </w:tcMar>
            <w:vAlign w:val="bottom"/>
          </w:tcPr>
          <w:p>
            <w:pPr>
              <w:pStyle w:val="TableContents"/>
              <w:bidi w:val="0"/>
              <w:spacing w:before="0" w:after="0"/>
              <w:jc w:val="right"/>
              <w:rPr/>
            </w:pPr>
            <w:r>
              <w:rPr/>
              <w:t>0.08</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600" w:type="dxa"/>
            <w:tcBorders>
              <w:bottom w:val="double" w:sz="8" w:space="0" w:color="000000"/>
            </w:tcBorders>
            <w:tcMar>
              <w:bottom w:w="28" w:type="dxa"/>
            </w:tcMar>
            <w:vAlign w:val="bottom"/>
          </w:tcPr>
          <w:p>
            <w:pPr>
              <w:pStyle w:val="TableContents"/>
              <w:bidi w:val="0"/>
              <w:spacing w:before="0" w:after="0"/>
              <w:jc w:val="right"/>
              <w:rPr/>
            </w:pPr>
            <w:r>
              <w:rPr/>
              <w:t>(0.03</w:t>
            </w:r>
          </w:p>
        </w:tc>
        <w:tc>
          <w:tcPr>
            <w:tcW w:w="98" w:type="dxa"/>
            <w:tcBorders/>
            <w:vAlign w:val="bottom"/>
          </w:tcPr>
          <w:p>
            <w:pPr>
              <w:pStyle w:val="TableContents"/>
              <w:bidi w:val="0"/>
              <w:spacing w:before="0" w:after="0"/>
              <w:jc w:val="left"/>
              <w:rPr/>
            </w:pPr>
            <w:r>
              <w:rPr/>
              <w:t>)</w:t>
            </w:r>
          </w:p>
        </w:tc>
      </w:tr>
      <w:tr>
        <w:trPr/>
        <w:tc>
          <w:tcPr>
            <w:tcW w:w="6282" w:type="dxa"/>
            <w:tcBorders/>
            <w:shd w:fill="CCEEFF" w:val="clear"/>
            <w:vAlign w:val="bottom"/>
          </w:tcPr>
          <w:p>
            <w:pPr>
              <w:pStyle w:val="TableContents"/>
              <w:bidi w:val="0"/>
              <w:spacing w:before="0" w:after="283"/>
              <w:jc w:val="left"/>
              <w:rPr>
                <w:b/>
              </w:rPr>
            </w:pPr>
            <w:r>
              <w:rPr>
                <w:b/>
              </w:rPr>
              <w:t>DILUTED EARNINGS (LOSS) PER COMMON SHARE</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600" w:type="dxa"/>
            <w:tcBorders>
              <w:bottom w:val="double" w:sz="8" w:space="0" w:color="000000"/>
            </w:tcBorders>
            <w:shd w:fill="CCEEFF" w:val="clear"/>
            <w:tcMar>
              <w:bottom w:w="28" w:type="dxa"/>
            </w:tcMar>
            <w:vAlign w:val="bottom"/>
          </w:tcPr>
          <w:p>
            <w:pPr>
              <w:pStyle w:val="TableContents"/>
              <w:bidi w:val="0"/>
              <w:spacing w:before="0" w:after="283"/>
              <w:jc w:val="right"/>
              <w:rPr/>
            </w:pPr>
            <w:r>
              <w:rPr/>
              <w:t>0.08</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600" w:type="dxa"/>
            <w:tcBorders>
              <w:bottom w:val="double" w:sz="8" w:space="0" w:color="000000"/>
            </w:tcBorders>
            <w:shd w:fill="CCEEFF" w:val="clear"/>
            <w:tcMar>
              <w:bottom w:w="28" w:type="dxa"/>
            </w:tcMar>
            <w:vAlign w:val="bottom"/>
          </w:tcPr>
          <w:p>
            <w:pPr>
              <w:pStyle w:val="TableContents"/>
              <w:bidi w:val="0"/>
              <w:spacing w:before="0" w:after="283"/>
              <w:jc w:val="right"/>
              <w:rPr/>
            </w:pPr>
            <w:r>
              <w:rPr/>
              <w:t>(0.03</w:t>
            </w:r>
          </w:p>
        </w:tc>
        <w:tc>
          <w:tcPr>
            <w:tcW w:w="98" w:type="dxa"/>
            <w:tcBorders/>
            <w:shd w:fill="CCEEFF" w:val="clear"/>
            <w:vAlign w:val="bottom"/>
          </w:tcPr>
          <w:p>
            <w:pPr>
              <w:pStyle w:val="TableContents"/>
              <w:bidi w:val="0"/>
              <w:spacing w:before="0" w:after="283"/>
              <w:jc w:val="left"/>
              <w:rPr/>
            </w:pPr>
            <w:r>
              <w:rPr/>
              <w:t>)</w:t>
            </w:r>
          </w:p>
        </w:tc>
      </w:tr>
      <w:tr>
        <w:trPr/>
        <w:tc>
          <w:tcPr>
            <w:tcW w:w="6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144" w:right="0" w:hanging="144"/>
              <w:jc w:val="left"/>
              <w:rPr>
                <w:b/>
              </w:rPr>
            </w:pPr>
            <w:r>
              <w:rPr>
                <w:b/>
              </w:rPr>
              <w:t>WEIGHTED AVERAGE COMMON SHARES OUTSTANDING:</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6282" w:type="dxa"/>
            <w:tcBorders/>
            <w:vAlign w:val="bottom"/>
          </w:tcPr>
          <w:p>
            <w:pPr>
              <w:pStyle w:val="TableContents"/>
              <w:bidi w:val="0"/>
              <w:spacing w:before="0" w:after="0"/>
              <w:ind w:left="324" w:right="0" w:hanging="144"/>
              <w:jc w:val="left"/>
              <w:rPr>
                <w:b/>
              </w:rPr>
            </w:pPr>
            <w:r>
              <w:rPr>
                <w:b/>
              </w:rPr>
              <w:t>Basic</w:t>
            </w:r>
          </w:p>
        </w:tc>
        <w:tc>
          <w:tcPr>
            <w:tcW w:w="60"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283"/>
              <w:jc w:val="left"/>
              <w:rPr/>
            </w:pPr>
            <w:r>
              <w:rPr/>
              <w:t> </w:t>
            </w:r>
          </w:p>
        </w:tc>
        <w:tc>
          <w:tcPr>
            <w:tcW w:w="1600" w:type="dxa"/>
            <w:tcBorders>
              <w:bottom w:val="double" w:sz="8" w:space="0" w:color="000000"/>
            </w:tcBorders>
            <w:tcMar>
              <w:bottom w:w="28" w:type="dxa"/>
            </w:tcMar>
            <w:vAlign w:val="bottom"/>
          </w:tcPr>
          <w:p>
            <w:pPr>
              <w:pStyle w:val="TableContents"/>
              <w:bidi w:val="0"/>
              <w:spacing w:before="0" w:after="0"/>
              <w:jc w:val="right"/>
              <w:rPr/>
            </w:pPr>
            <w:r>
              <w:rPr/>
              <w:t>228,874,847</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2" w:type="dxa"/>
            <w:tcBorders>
              <w:bottom w:val="double" w:sz="8" w:space="0" w:color="000000"/>
            </w:tcBorders>
            <w:tcMar>
              <w:bottom w:w="28" w:type="dxa"/>
            </w:tcMar>
            <w:vAlign w:val="bottom"/>
          </w:tcPr>
          <w:p>
            <w:pPr>
              <w:pStyle w:val="TableContents"/>
              <w:bidi w:val="0"/>
              <w:spacing w:before="0" w:after="283"/>
              <w:jc w:val="left"/>
              <w:rPr/>
            </w:pPr>
            <w:r>
              <w:rPr/>
              <w:t> </w:t>
            </w:r>
          </w:p>
        </w:tc>
        <w:tc>
          <w:tcPr>
            <w:tcW w:w="1600" w:type="dxa"/>
            <w:tcBorders>
              <w:bottom w:val="double" w:sz="8" w:space="0" w:color="000000"/>
            </w:tcBorders>
            <w:tcMar>
              <w:bottom w:w="28" w:type="dxa"/>
            </w:tcMar>
            <w:vAlign w:val="bottom"/>
          </w:tcPr>
          <w:p>
            <w:pPr>
              <w:pStyle w:val="TableContents"/>
              <w:bidi w:val="0"/>
              <w:spacing w:before="0" w:after="0"/>
              <w:jc w:val="right"/>
              <w:rPr/>
            </w:pPr>
            <w:r>
              <w:rPr/>
              <w:t>221,921,750</w:t>
            </w:r>
          </w:p>
        </w:tc>
        <w:tc>
          <w:tcPr>
            <w:tcW w:w="98" w:type="dxa"/>
            <w:tcBorders/>
            <w:vAlign w:val="bottom"/>
          </w:tcPr>
          <w:p>
            <w:pPr>
              <w:pStyle w:val="TableContents"/>
              <w:bidi w:val="0"/>
              <w:spacing w:before="0" w:after="283"/>
              <w:jc w:val="left"/>
              <w:rPr/>
            </w:pPr>
            <w:r>
              <w:rPr/>
              <w:t> </w:t>
            </w:r>
          </w:p>
        </w:tc>
      </w:tr>
      <w:tr>
        <w:trPr/>
        <w:tc>
          <w:tcPr>
            <w:tcW w:w="6282" w:type="dxa"/>
            <w:tcBorders/>
            <w:shd w:fill="CCEEFF" w:val="clear"/>
            <w:vAlign w:val="bottom"/>
          </w:tcPr>
          <w:p>
            <w:pPr>
              <w:pStyle w:val="TableContents"/>
              <w:bidi w:val="0"/>
              <w:spacing w:before="0" w:after="0"/>
              <w:ind w:left="180" w:right="0" w:hanging="0"/>
              <w:jc w:val="left"/>
              <w:rPr>
                <w:b/>
              </w:rPr>
            </w:pPr>
            <w:r>
              <w:rPr>
                <w:b/>
              </w:rPr>
              <w:t>Diluted</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double" w:sz="8" w:space="0" w:color="000000"/>
            </w:tcBorders>
            <w:shd w:fill="CCEEFF" w:val="clear"/>
            <w:tcMar>
              <w:bottom w:w="28" w:type="dxa"/>
            </w:tcMar>
            <w:vAlign w:val="bottom"/>
          </w:tcPr>
          <w:p>
            <w:pPr>
              <w:pStyle w:val="TableContents"/>
              <w:bidi w:val="0"/>
              <w:spacing w:before="0" w:after="283"/>
              <w:jc w:val="right"/>
              <w:rPr/>
            </w:pPr>
            <w:r>
              <w:rPr/>
              <w:t>236,414,374</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double" w:sz="8" w:space="0" w:color="000000"/>
            </w:tcBorders>
            <w:shd w:fill="CCEEFF" w:val="clear"/>
            <w:tcMar>
              <w:bottom w:w="28" w:type="dxa"/>
            </w:tcMar>
            <w:vAlign w:val="bottom"/>
          </w:tcPr>
          <w:p>
            <w:pPr>
              <w:pStyle w:val="TableContents"/>
              <w:bidi w:val="0"/>
              <w:spacing w:before="0" w:after="283"/>
              <w:jc w:val="right"/>
              <w:rPr/>
            </w:pPr>
            <w:r>
              <w:rPr/>
              <w:t>221,921,750</w:t>
            </w:r>
          </w:p>
        </w:tc>
        <w:tc>
          <w:tcPr>
            <w:tcW w:w="9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condensed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CONSOLIDATED STATEMENTS OF CHANGES IN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STOCKHOLDERS’ EQUITY (Unaudited) </w:t>
      </w:r>
      <w:bookmarkStart w:id="5" w:name="ADMABIOLOGICSINC.ANDSUBSI"/>
      <w:bookmarkEnd w:id="5"/>
    </w:p>
    <w:p>
      <w:pPr>
        <w:pStyle w:val="TextBody"/>
        <w:bidi w:val="0"/>
        <w:spacing w:before="0" w:after="0"/>
        <w:ind w:left="0" w:right="0" w:hanging="0"/>
        <w:jc w:val="center"/>
        <w:rPr>
          <w:rFonts w:ascii="Times New Roman" w:hAnsi="Times New Roman"/>
          <w:b/>
          <w:color w:val="000000"/>
          <w:sz w:val="20"/>
          <w:shd w:fill="FFFFFF" w:val="clear"/>
        </w:rPr>
      </w:pPr>
      <w:r>
        <w:rPr>
          <w:rFonts w:ascii="Times New Roman" w:hAnsi="Times New Roman"/>
          <w:b w:val="false"/>
          <w:i/>
          <w:color w:val="000000"/>
          <w:spacing w:val="0"/>
          <w:sz w:val="20"/>
          <w:shd w:fill="FFFFFF" w:val="clear"/>
        </w:rPr>
        <w:t>(In thousands, except share data)</w:t>
      </w:r>
      <w:r>
        <w:rPr>
          <w:rFonts w:ascii="Times New Roman" w:hAnsi="Times New Roman"/>
          <w:b/>
          <w:color w:val="000000"/>
          <w:sz w:val="20"/>
          <w:shd w:fill="FFFFFF" w:val="clear"/>
        </w:rPr>
        <w:t xml:space="preserve">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Three Months Ended March 31, 2024</w:t>
      </w:r>
    </w:p>
    <w:tbl>
      <w:tblPr>
        <w:tblW w:w="10205" w:type="dxa"/>
        <w:jc w:val="left"/>
        <w:tblInd w:w="0" w:type="dxa"/>
        <w:tblLayout w:type="fixed"/>
        <w:tblCellMar>
          <w:top w:w="28" w:type="dxa"/>
          <w:left w:w="0" w:type="dxa"/>
          <w:bottom w:w="0" w:type="dxa"/>
          <w:right w:w="0" w:type="dxa"/>
        </w:tblCellMar>
      </w:tblPr>
      <w:tblGrid>
        <w:gridCol w:w="3501"/>
        <w:gridCol w:w="60"/>
        <w:gridCol w:w="60"/>
        <w:gridCol w:w="1220"/>
        <w:gridCol w:w="60"/>
        <w:gridCol w:w="60"/>
        <w:gridCol w:w="301"/>
        <w:gridCol w:w="559"/>
        <w:gridCol w:w="60"/>
        <w:gridCol w:w="60"/>
        <w:gridCol w:w="163"/>
        <w:gridCol w:w="937"/>
        <w:gridCol w:w="95"/>
        <w:gridCol w:w="60"/>
        <w:gridCol w:w="188"/>
        <w:gridCol w:w="1182"/>
        <w:gridCol w:w="95"/>
        <w:gridCol w:w="60"/>
        <w:gridCol w:w="204"/>
        <w:gridCol w:w="1169"/>
        <w:gridCol w:w="111"/>
      </w:tblGrid>
      <w:tr>
        <w:trPr/>
        <w:tc>
          <w:tcPr>
            <w:tcW w:w="3501"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2260" w:type="dxa"/>
            <w:gridSpan w:val="6"/>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100" w:type="dxa"/>
            <w:gridSpan w:val="2"/>
            <w:tcBorders>
              <w:top w:val="single" w:sz="12" w:space="0" w:color="000000"/>
            </w:tcBorders>
            <w:vAlign w:val="bottom"/>
          </w:tcPr>
          <w:p>
            <w:pPr>
              <w:pStyle w:val="TableContents"/>
              <w:bidi w:val="0"/>
              <w:spacing w:before="0" w:after="283"/>
              <w:jc w:val="center"/>
              <w:rPr>
                <w:b/>
              </w:rPr>
            </w:pPr>
            <w:r>
              <w:rPr>
                <w:b/>
              </w:rPr>
              <w:t>Additional</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70" w:type="dxa"/>
            <w:gridSpan w:val="2"/>
            <w:tcBorders>
              <w:top w:val="single" w:sz="12" w:space="0" w:color="000000"/>
            </w:tcBorders>
            <w:vAlign w:val="bottom"/>
          </w:tcPr>
          <w:p>
            <w:pPr>
              <w:pStyle w:val="TableContents"/>
              <w:bidi w:val="0"/>
              <w:spacing w:before="0" w:after="283"/>
              <w:jc w:val="center"/>
              <w:rPr/>
            </w:pPr>
            <w:r>
              <w:rPr/>
              <w:t> </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73" w:type="dxa"/>
            <w:gridSpan w:val="2"/>
            <w:tcBorders>
              <w:top w:val="single" w:sz="12" w:space="0" w:color="000000"/>
            </w:tcBorders>
            <w:vAlign w:val="bottom"/>
          </w:tcPr>
          <w:p>
            <w:pPr>
              <w:pStyle w:val="TableContents"/>
              <w:bidi w:val="0"/>
              <w:spacing w:before="0" w:after="283"/>
              <w:jc w:val="center"/>
              <w:rPr>
                <w:b/>
              </w:rPr>
            </w:pPr>
            <w:r>
              <w:rPr>
                <w:b/>
              </w:rPr>
              <w:t>Total</w:t>
            </w:r>
          </w:p>
        </w:tc>
        <w:tc>
          <w:tcPr>
            <w:tcW w:w="111" w:type="dxa"/>
            <w:tcBorders>
              <w:top w:val="single" w:sz="12" w:space="0" w:color="000000"/>
            </w:tcBorders>
            <w:vAlign w:val="bottom"/>
          </w:tcPr>
          <w:p>
            <w:pPr>
              <w:pStyle w:val="TableContents"/>
              <w:bidi w:val="0"/>
              <w:spacing w:before="0" w:after="283"/>
              <w:jc w:val="left"/>
              <w:rPr/>
            </w:pPr>
            <w:r>
              <w:rPr/>
              <w:t> </w:t>
            </w:r>
          </w:p>
        </w:tc>
      </w:tr>
      <w:tr>
        <w:trPr/>
        <w:tc>
          <w:tcPr>
            <w:tcW w:w="3501"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2260" w:type="dxa"/>
            <w:gridSpan w:val="6"/>
            <w:tcBorders>
              <w:bottom w:val="single" w:sz="12" w:space="0" w:color="000000"/>
            </w:tcBorders>
            <w:tcMar>
              <w:top w:w="0" w:type="dxa"/>
              <w:bottom w:w="28" w:type="dxa"/>
            </w:tcMar>
            <w:vAlign w:val="bottom"/>
          </w:tcPr>
          <w:p>
            <w:pPr>
              <w:pStyle w:val="TableContents"/>
              <w:bidi w:val="0"/>
              <w:spacing w:before="0" w:after="0"/>
              <w:jc w:val="center"/>
              <w:rPr>
                <w:b/>
              </w:rPr>
            </w:pPr>
            <w:r>
              <w:rPr>
                <w:b/>
              </w:rPr>
              <w:t>Common Stock</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100" w:type="dxa"/>
            <w:gridSpan w:val="2"/>
            <w:tcBorders/>
            <w:tcMar>
              <w:top w:w="0" w:type="dxa"/>
            </w:tcMar>
            <w:vAlign w:val="bottom"/>
          </w:tcPr>
          <w:p>
            <w:pPr>
              <w:pStyle w:val="TableContents"/>
              <w:bidi w:val="0"/>
              <w:spacing w:before="0" w:after="0"/>
              <w:jc w:val="center"/>
              <w:rPr>
                <w:b/>
              </w:rPr>
            </w:pPr>
            <w:r>
              <w:rPr>
                <w:b/>
              </w:rPr>
              <w:t>Paid-in</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0" w:type="dxa"/>
            <w:gridSpan w:val="2"/>
            <w:tcBorders/>
            <w:tcMar>
              <w:top w:w="0" w:type="dxa"/>
            </w:tcMar>
            <w:vAlign w:val="bottom"/>
          </w:tcPr>
          <w:p>
            <w:pPr>
              <w:pStyle w:val="TableContents"/>
              <w:bidi w:val="0"/>
              <w:spacing w:before="0" w:after="0"/>
              <w:jc w:val="center"/>
              <w:rPr>
                <w:b/>
              </w:rPr>
            </w:pPr>
            <w:r>
              <w:rPr>
                <w:b/>
              </w:rPr>
              <w:t>Accumulated</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3" w:type="dxa"/>
            <w:gridSpan w:val="2"/>
            <w:tcBorders/>
            <w:tcMar>
              <w:top w:w="0" w:type="dxa"/>
            </w:tcMar>
            <w:vAlign w:val="bottom"/>
          </w:tcPr>
          <w:p>
            <w:pPr>
              <w:pStyle w:val="TableContents"/>
              <w:bidi w:val="0"/>
              <w:spacing w:before="0" w:after="0"/>
              <w:jc w:val="center"/>
              <w:rPr>
                <w:b/>
              </w:rPr>
            </w:pPr>
            <w:r>
              <w:rPr>
                <w:b/>
              </w:rPr>
              <w:t>Stockholders’</w:t>
            </w:r>
          </w:p>
        </w:tc>
        <w:tc>
          <w:tcPr>
            <w:tcW w:w="111" w:type="dxa"/>
            <w:tcBorders/>
            <w:tcMar>
              <w:top w:w="0" w:type="dxa"/>
            </w:tcMar>
            <w:vAlign w:val="bottom"/>
          </w:tcPr>
          <w:p>
            <w:pPr>
              <w:pStyle w:val="TableContents"/>
              <w:bidi w:val="0"/>
              <w:spacing w:before="0" w:after="283"/>
              <w:jc w:val="left"/>
              <w:rPr/>
            </w:pPr>
            <w:r>
              <w:rPr/>
              <w:t> </w:t>
            </w:r>
          </w:p>
        </w:tc>
      </w:tr>
      <w:tr>
        <w:trPr/>
        <w:tc>
          <w:tcPr>
            <w:tcW w:w="3501"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Shares</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Amount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Capital</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Deficit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3"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Equity</w:t>
            </w:r>
          </w:p>
        </w:tc>
        <w:tc>
          <w:tcPr>
            <w:tcW w:w="111" w:type="dxa"/>
            <w:tcBorders/>
            <w:tcMar>
              <w:top w:w="0" w:type="dxa"/>
            </w:tcMar>
            <w:vAlign w:val="bottom"/>
          </w:tcPr>
          <w:p>
            <w:pPr>
              <w:pStyle w:val="TableContents"/>
              <w:bidi w:val="0"/>
              <w:spacing w:before="0" w:after="283"/>
              <w:jc w:val="left"/>
              <w:rPr/>
            </w:pPr>
            <w:r>
              <w:rPr/>
              <w:t> </w:t>
            </w:r>
          </w:p>
        </w:tc>
      </w:tr>
      <w:tr>
        <w:trPr/>
        <w:tc>
          <w:tcPr>
            <w:tcW w:w="3501" w:type="dxa"/>
            <w:tcBorders/>
            <w:shd w:fill="CCEEFF" w:val="clear"/>
            <w:tcMar>
              <w:top w:w="0" w:type="dxa"/>
            </w:tcMar>
            <w:vAlign w:val="bottom"/>
          </w:tcPr>
          <w:p>
            <w:pPr>
              <w:pStyle w:val="TableContents"/>
              <w:bidi w:val="0"/>
              <w:spacing w:before="0" w:after="0"/>
              <w:ind w:left="144" w:right="0" w:hanging="0"/>
              <w:jc w:val="left"/>
              <w:rPr>
                <w:b/>
                <w:color w:val="000000"/>
              </w:rPr>
            </w:pPr>
            <w:r>
              <w:rPr>
                <w:b/>
                <w:color w:val="000000"/>
              </w:rPr>
              <w:t>Balance at December 31, 2023</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226,063,032</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shd w:fill="CCEEFF" w:val="clear"/>
            <w:tcMar>
              <w:top w:w="0" w:type="dxa"/>
            </w:tcMar>
            <w:vAlign w:val="bottom"/>
          </w:tcPr>
          <w:p>
            <w:pPr>
              <w:pStyle w:val="TableContents"/>
              <w:bidi w:val="0"/>
              <w:spacing w:before="0" w:after="0"/>
              <w:jc w:val="left"/>
              <w:rPr/>
            </w:pPr>
            <w:r>
              <w:rPr/>
              <w:t>$</w:t>
            </w:r>
          </w:p>
        </w:tc>
        <w:tc>
          <w:tcPr>
            <w:tcW w:w="559" w:type="dxa"/>
            <w:tcBorders/>
            <w:shd w:fill="CCEEFF" w:val="clear"/>
            <w:tcMar>
              <w:top w:w="0" w:type="dxa"/>
            </w:tcMar>
            <w:vAlign w:val="bottom"/>
          </w:tcPr>
          <w:p>
            <w:pPr>
              <w:pStyle w:val="TableContents"/>
              <w:bidi w:val="0"/>
              <w:spacing w:before="0" w:after="0"/>
              <w:jc w:val="right"/>
              <w:rPr/>
            </w:pPr>
            <w:r>
              <w:rPr/>
              <w:t>23</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shd w:fill="CCEEFF" w:val="clear"/>
            <w:tcMar>
              <w:top w:w="0" w:type="dxa"/>
            </w:tcMar>
            <w:vAlign w:val="bottom"/>
          </w:tcPr>
          <w:p>
            <w:pPr>
              <w:pStyle w:val="TableContents"/>
              <w:bidi w:val="0"/>
              <w:spacing w:before="0" w:after="0"/>
              <w:jc w:val="left"/>
              <w:rPr/>
            </w:pPr>
            <w:r>
              <w:rPr/>
              <w:t>$</w:t>
            </w:r>
          </w:p>
        </w:tc>
        <w:tc>
          <w:tcPr>
            <w:tcW w:w="937" w:type="dxa"/>
            <w:tcBorders/>
            <w:shd w:fill="CCEEFF" w:val="clear"/>
            <w:tcMar>
              <w:top w:w="0" w:type="dxa"/>
            </w:tcMar>
            <w:vAlign w:val="bottom"/>
          </w:tcPr>
          <w:p>
            <w:pPr>
              <w:pStyle w:val="TableContents"/>
              <w:bidi w:val="0"/>
              <w:spacing w:before="0" w:after="0"/>
              <w:jc w:val="right"/>
              <w:rPr/>
            </w:pPr>
            <w:r>
              <w:rPr/>
              <w:t>641,439</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shd w:fill="CCEEFF" w:val="clear"/>
            <w:tcMar>
              <w:top w:w="0" w:type="dxa"/>
            </w:tcMar>
            <w:vAlign w:val="bottom"/>
          </w:tcPr>
          <w:p>
            <w:pPr>
              <w:pStyle w:val="TableContents"/>
              <w:bidi w:val="0"/>
              <w:spacing w:before="0" w:after="0"/>
              <w:jc w:val="left"/>
              <w:rPr/>
            </w:pPr>
            <w:r>
              <w:rPr/>
              <w:t>$</w:t>
            </w:r>
          </w:p>
        </w:tc>
        <w:tc>
          <w:tcPr>
            <w:tcW w:w="1182" w:type="dxa"/>
            <w:tcBorders/>
            <w:shd w:fill="CCEEFF" w:val="clear"/>
            <w:tcMar>
              <w:top w:w="0" w:type="dxa"/>
            </w:tcMar>
            <w:vAlign w:val="bottom"/>
          </w:tcPr>
          <w:p>
            <w:pPr>
              <w:pStyle w:val="TableContents"/>
              <w:bidi w:val="0"/>
              <w:spacing w:before="0" w:after="0"/>
              <w:jc w:val="right"/>
              <w:rPr/>
            </w:pPr>
            <w:r>
              <w:rPr/>
              <w:t>(506,256</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shd w:fill="CCEEFF" w:val="clear"/>
            <w:tcMar>
              <w:top w:w="0" w:type="dxa"/>
            </w:tcMar>
            <w:vAlign w:val="bottom"/>
          </w:tcPr>
          <w:p>
            <w:pPr>
              <w:pStyle w:val="TableContents"/>
              <w:bidi w:val="0"/>
              <w:spacing w:before="0" w:after="0"/>
              <w:jc w:val="left"/>
              <w:rPr/>
            </w:pPr>
            <w:r>
              <w:rPr/>
              <w:t>$</w:t>
            </w:r>
          </w:p>
        </w:tc>
        <w:tc>
          <w:tcPr>
            <w:tcW w:w="1169" w:type="dxa"/>
            <w:tcBorders/>
            <w:shd w:fill="CCEEFF" w:val="clear"/>
            <w:tcMar>
              <w:top w:w="0" w:type="dxa"/>
            </w:tcMar>
            <w:vAlign w:val="bottom"/>
          </w:tcPr>
          <w:p>
            <w:pPr>
              <w:pStyle w:val="TableContents"/>
              <w:bidi w:val="0"/>
              <w:spacing w:before="0" w:after="0"/>
              <w:jc w:val="right"/>
              <w:rPr/>
            </w:pPr>
            <w:r>
              <w:rPr/>
              <w:t>135,206</w:t>
            </w:r>
          </w:p>
        </w:tc>
        <w:tc>
          <w:tcPr>
            <w:tcW w:w="111" w:type="dxa"/>
            <w:tcBorders/>
            <w:shd w:fill="CCEEFF" w:val="clear"/>
            <w:tcMar>
              <w:top w:w="0" w:type="dxa"/>
            </w:tcMar>
            <w:vAlign w:val="bottom"/>
          </w:tcPr>
          <w:p>
            <w:pPr>
              <w:pStyle w:val="TableContents"/>
              <w:bidi w:val="0"/>
              <w:spacing w:before="0" w:after="283"/>
              <w:jc w:val="left"/>
              <w:rPr/>
            </w:pPr>
            <w:r>
              <w:rPr/>
              <w:t> </w:t>
            </w:r>
          </w:p>
        </w:tc>
      </w:tr>
      <w:tr>
        <w:trPr/>
        <w:tc>
          <w:tcPr>
            <w:tcW w:w="3501" w:type="dxa"/>
            <w:tcBorders/>
            <w:tcMar>
              <w:top w:w="0" w:type="dxa"/>
            </w:tcMar>
            <w:vAlign w:val="bottom"/>
          </w:tcPr>
          <w:p>
            <w:pPr>
              <w:pStyle w:val="TableContents"/>
              <w:bidi w:val="0"/>
              <w:spacing w:before="0" w:after="0"/>
              <w:ind w:left="144" w:right="0" w:hanging="144"/>
              <w:jc w:val="left"/>
              <w:rPr>
                <w:color w:val="000000"/>
              </w:rPr>
            </w:pPr>
            <w:r>
              <w:rPr>
                <w:color w:val="000000"/>
              </w:rPr>
              <w:t>Stock-based compensation</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tcMar>
              <w:top w:w="0" w:type="dxa"/>
            </w:tcMar>
            <w:vAlign w:val="bottom"/>
          </w:tcPr>
          <w:p>
            <w:pPr>
              <w:pStyle w:val="TableContents"/>
              <w:bidi w:val="0"/>
              <w:spacing w:before="0" w:after="283"/>
              <w:jc w:val="left"/>
              <w:rPr/>
            </w:pPr>
            <w:r>
              <w:rPr/>
              <w:t> </w:t>
            </w:r>
          </w:p>
        </w:tc>
        <w:tc>
          <w:tcPr>
            <w:tcW w:w="559" w:type="dxa"/>
            <w:tcBorders/>
            <w:tcMar>
              <w:top w:w="0" w:type="dxa"/>
            </w:tcMar>
            <w:vAlign w:val="bottom"/>
          </w:tcPr>
          <w:p>
            <w:pPr>
              <w:pStyle w:val="TableContents"/>
              <w:bidi w:val="0"/>
              <w:spacing w:before="0" w:after="0"/>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tcMar>
              <w:top w:w="0" w:type="dxa"/>
            </w:tcMar>
            <w:vAlign w:val="bottom"/>
          </w:tcPr>
          <w:p>
            <w:pPr>
              <w:pStyle w:val="TableContents"/>
              <w:bidi w:val="0"/>
              <w:spacing w:before="0" w:after="283"/>
              <w:jc w:val="left"/>
              <w:rPr/>
            </w:pPr>
            <w:r>
              <w:rPr/>
              <w:t> </w:t>
            </w:r>
          </w:p>
        </w:tc>
        <w:tc>
          <w:tcPr>
            <w:tcW w:w="937" w:type="dxa"/>
            <w:tcBorders/>
            <w:tcMar>
              <w:top w:w="0" w:type="dxa"/>
            </w:tcMar>
            <w:vAlign w:val="bottom"/>
          </w:tcPr>
          <w:p>
            <w:pPr>
              <w:pStyle w:val="TableContents"/>
              <w:bidi w:val="0"/>
              <w:spacing w:before="0" w:after="0"/>
              <w:jc w:val="right"/>
              <w:rPr/>
            </w:pPr>
            <w:r>
              <w:rPr/>
              <w:t>2,141</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88" w:type="dxa"/>
            <w:tcBorders/>
            <w:tcMar>
              <w:top w:w="0" w:type="dxa"/>
            </w:tcMar>
            <w:vAlign w:val="bottom"/>
          </w:tcPr>
          <w:p>
            <w:pPr>
              <w:pStyle w:val="TableContents"/>
              <w:bidi w:val="0"/>
              <w:spacing w:before="0" w:after="283"/>
              <w:jc w:val="left"/>
              <w:rPr/>
            </w:pPr>
            <w:r>
              <w:rPr/>
              <w:t> </w:t>
            </w:r>
          </w:p>
        </w:tc>
        <w:tc>
          <w:tcPr>
            <w:tcW w:w="1182" w:type="dxa"/>
            <w:tcBorders/>
            <w:tcMar>
              <w:top w:w="0" w:type="dxa"/>
            </w:tcMar>
            <w:vAlign w:val="bottom"/>
          </w:tcPr>
          <w:p>
            <w:pPr>
              <w:pStyle w:val="TableContents"/>
              <w:bidi w:val="0"/>
              <w:spacing w:before="0" w:after="0"/>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204" w:type="dxa"/>
            <w:tcBorders/>
            <w:tcMar>
              <w:top w:w="0" w:type="dxa"/>
            </w:tcMar>
            <w:vAlign w:val="bottom"/>
          </w:tcPr>
          <w:p>
            <w:pPr>
              <w:pStyle w:val="TableContents"/>
              <w:bidi w:val="0"/>
              <w:spacing w:before="0" w:after="283"/>
              <w:jc w:val="left"/>
              <w:rPr/>
            </w:pPr>
            <w:r>
              <w:rPr/>
              <w:t> </w:t>
            </w:r>
          </w:p>
        </w:tc>
        <w:tc>
          <w:tcPr>
            <w:tcW w:w="1169" w:type="dxa"/>
            <w:tcBorders/>
            <w:tcMar>
              <w:top w:w="0" w:type="dxa"/>
            </w:tcMar>
            <w:vAlign w:val="bottom"/>
          </w:tcPr>
          <w:p>
            <w:pPr>
              <w:pStyle w:val="TableContents"/>
              <w:bidi w:val="0"/>
              <w:spacing w:before="0" w:after="0"/>
              <w:jc w:val="right"/>
              <w:rPr/>
            </w:pPr>
            <w:r>
              <w:rPr/>
              <w:t>2,141</w:t>
            </w:r>
          </w:p>
        </w:tc>
        <w:tc>
          <w:tcPr>
            <w:tcW w:w="111" w:type="dxa"/>
            <w:tcBorders/>
            <w:tcMar>
              <w:top w:w="0" w:type="dxa"/>
            </w:tcMar>
            <w:vAlign w:val="bottom"/>
          </w:tcPr>
          <w:p>
            <w:pPr>
              <w:pStyle w:val="TableContents"/>
              <w:bidi w:val="0"/>
              <w:spacing w:before="0" w:after="283"/>
              <w:jc w:val="left"/>
              <w:rPr/>
            </w:pPr>
            <w:r>
              <w:rPr/>
              <w:t> </w:t>
            </w:r>
          </w:p>
        </w:tc>
      </w:tr>
      <w:tr>
        <w:trPr/>
        <w:tc>
          <w:tcPr>
            <w:tcW w:w="3501" w:type="dxa"/>
            <w:tcBorders/>
            <w:shd w:fill="CCEEFF" w:val="clear"/>
            <w:tcMar>
              <w:top w:w="0" w:type="dxa"/>
            </w:tcMar>
            <w:vAlign w:val="bottom"/>
          </w:tcPr>
          <w:p>
            <w:pPr>
              <w:pStyle w:val="TableContents"/>
              <w:bidi w:val="0"/>
              <w:spacing w:before="0" w:after="283"/>
              <w:jc w:val="left"/>
              <w:rPr/>
            </w:pPr>
            <w:r>
              <w:rPr/>
              <w:t>Cashless exercise of warrants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283"/>
              <w:jc w:val="right"/>
              <w:rPr/>
            </w:pPr>
            <w:r>
              <w:rPr/>
              <w:t>4,545,503</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shd w:fill="CCEEFF" w:val="clear"/>
            <w:tcMar>
              <w:top w:w="0" w:type="dxa"/>
            </w:tcMar>
            <w:vAlign w:val="bottom"/>
          </w:tcPr>
          <w:p>
            <w:pPr>
              <w:pStyle w:val="TableContents"/>
              <w:bidi w:val="0"/>
              <w:spacing w:before="0" w:after="283"/>
              <w:jc w:val="left"/>
              <w:rPr/>
            </w:pPr>
            <w:r>
              <w:rPr/>
              <w:t> </w:t>
            </w:r>
          </w:p>
        </w:tc>
        <w:tc>
          <w:tcPr>
            <w:tcW w:w="559" w:type="dxa"/>
            <w:tcBorders/>
            <w:shd w:fill="CCEEFF" w:val="clear"/>
            <w:tcMar>
              <w:top w:w="0"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shd w:fill="CCEEFF" w:val="clear"/>
            <w:tcMar>
              <w:top w:w="0" w:type="dxa"/>
            </w:tcMar>
            <w:vAlign w:val="bottom"/>
          </w:tcPr>
          <w:p>
            <w:pPr>
              <w:pStyle w:val="TableContents"/>
              <w:bidi w:val="0"/>
              <w:spacing w:before="0" w:after="283"/>
              <w:jc w:val="left"/>
              <w:rPr/>
            </w:pPr>
            <w:r>
              <w:rPr/>
              <w:t> </w:t>
            </w:r>
          </w:p>
        </w:tc>
        <w:tc>
          <w:tcPr>
            <w:tcW w:w="937" w:type="dxa"/>
            <w:tcBorders/>
            <w:shd w:fill="CCEEFF" w:val="clear"/>
            <w:tcMar>
              <w:top w:w="0" w:type="dxa"/>
            </w:tcMar>
            <w:vAlign w:val="bottom"/>
          </w:tcPr>
          <w:p>
            <w:pPr>
              <w:pStyle w:val="TableContents"/>
              <w:bidi w:val="0"/>
              <w:spacing w:before="0" w:after="283"/>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shd w:fill="CCEEFF" w:val="clear"/>
            <w:tcMar>
              <w:top w:w="0" w:type="dxa"/>
            </w:tcMar>
            <w:vAlign w:val="bottom"/>
          </w:tcPr>
          <w:p>
            <w:pPr>
              <w:pStyle w:val="TableContents"/>
              <w:bidi w:val="0"/>
              <w:spacing w:before="0" w:after="283"/>
              <w:jc w:val="left"/>
              <w:rPr/>
            </w:pPr>
            <w:r>
              <w:rPr/>
              <w:t> </w:t>
            </w:r>
          </w:p>
        </w:tc>
        <w:tc>
          <w:tcPr>
            <w:tcW w:w="1182" w:type="dxa"/>
            <w:tcBorders/>
            <w:shd w:fill="CCEEFF" w:val="clear"/>
            <w:tcMar>
              <w:top w:w="0" w:type="dxa"/>
            </w:tcMar>
            <w:vAlign w:val="bottom"/>
          </w:tcPr>
          <w:p>
            <w:pPr>
              <w:pStyle w:val="TableContents"/>
              <w:bidi w:val="0"/>
              <w:spacing w:before="0" w:after="283"/>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shd w:fill="CCEEFF" w:val="clear"/>
            <w:tcMar>
              <w:top w:w="0" w:type="dxa"/>
            </w:tcMar>
            <w:vAlign w:val="bottom"/>
          </w:tcPr>
          <w:p>
            <w:pPr>
              <w:pStyle w:val="TableContents"/>
              <w:bidi w:val="0"/>
              <w:spacing w:before="0" w:after="283"/>
              <w:jc w:val="left"/>
              <w:rPr/>
            </w:pPr>
            <w:r>
              <w:rPr/>
              <w:t> </w:t>
            </w:r>
          </w:p>
        </w:tc>
        <w:tc>
          <w:tcPr>
            <w:tcW w:w="1169" w:type="dxa"/>
            <w:tcBorders/>
            <w:shd w:fill="CCEEFF" w:val="clear"/>
            <w:tcMar>
              <w:top w:w="0" w:type="dxa"/>
            </w:tcMar>
            <w:vAlign w:val="bottom"/>
          </w:tcPr>
          <w:p>
            <w:pPr>
              <w:pStyle w:val="TableContents"/>
              <w:bidi w:val="0"/>
              <w:spacing w:before="0" w:after="283"/>
              <w:jc w:val="right"/>
              <w:rPr/>
            </w:pPr>
            <w:r>
              <w:rPr/>
              <w:t>-</w:t>
            </w:r>
          </w:p>
        </w:tc>
        <w:tc>
          <w:tcPr>
            <w:tcW w:w="111" w:type="dxa"/>
            <w:tcBorders/>
            <w:shd w:fill="CCEEFF" w:val="clear"/>
            <w:tcMar>
              <w:top w:w="0" w:type="dxa"/>
            </w:tcMar>
            <w:vAlign w:val="bottom"/>
          </w:tcPr>
          <w:p>
            <w:pPr>
              <w:pStyle w:val="TableContents"/>
              <w:bidi w:val="0"/>
              <w:spacing w:before="0" w:after="283"/>
              <w:jc w:val="left"/>
              <w:rPr/>
            </w:pPr>
            <w:r>
              <w:rPr/>
              <w:t> </w:t>
            </w:r>
          </w:p>
        </w:tc>
      </w:tr>
      <w:tr>
        <w:trPr/>
        <w:tc>
          <w:tcPr>
            <w:tcW w:w="3501" w:type="dxa"/>
            <w:tcBorders/>
            <w:tcMar>
              <w:top w:w="0" w:type="dxa"/>
            </w:tcMar>
            <w:vAlign w:val="bottom"/>
          </w:tcPr>
          <w:p>
            <w:pPr>
              <w:pStyle w:val="TableContents"/>
              <w:bidi w:val="0"/>
              <w:spacing w:before="0" w:after="0"/>
              <w:ind w:left="144" w:right="0" w:hanging="144"/>
              <w:jc w:val="left"/>
              <w:rPr>
                <w:color w:val="000000"/>
              </w:rPr>
            </w:pPr>
            <w:r>
              <w:rPr>
                <w:color w:val="000000"/>
              </w:rPr>
              <w:t>Vesting of Restricted Stock Units, net of shares withheld for taxes</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0"/>
              <w:jc w:val="right"/>
              <w:rPr/>
            </w:pPr>
            <w:r>
              <w:rPr/>
              <w:t>774,889</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tcMar>
              <w:top w:w="0" w:type="dxa"/>
            </w:tcMar>
            <w:vAlign w:val="bottom"/>
          </w:tcPr>
          <w:p>
            <w:pPr>
              <w:pStyle w:val="TableContents"/>
              <w:bidi w:val="0"/>
              <w:spacing w:before="0" w:after="283"/>
              <w:jc w:val="left"/>
              <w:rPr/>
            </w:pPr>
            <w:r>
              <w:rPr/>
              <w:t> </w:t>
            </w:r>
          </w:p>
        </w:tc>
        <w:tc>
          <w:tcPr>
            <w:tcW w:w="559" w:type="dxa"/>
            <w:tcBorders/>
            <w:tcMar>
              <w:top w:w="0" w:type="dxa"/>
            </w:tcMar>
            <w:vAlign w:val="bottom"/>
          </w:tcPr>
          <w:p>
            <w:pPr>
              <w:pStyle w:val="TableContents"/>
              <w:bidi w:val="0"/>
              <w:spacing w:before="0" w:after="0"/>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tcMar>
              <w:top w:w="0" w:type="dxa"/>
            </w:tcMar>
            <w:vAlign w:val="bottom"/>
          </w:tcPr>
          <w:p>
            <w:pPr>
              <w:pStyle w:val="TableContents"/>
              <w:bidi w:val="0"/>
              <w:spacing w:before="0" w:after="283"/>
              <w:jc w:val="left"/>
              <w:rPr/>
            </w:pPr>
            <w:r>
              <w:rPr/>
              <w:t> </w:t>
            </w:r>
          </w:p>
        </w:tc>
        <w:tc>
          <w:tcPr>
            <w:tcW w:w="937" w:type="dxa"/>
            <w:tcBorders/>
            <w:tcMar>
              <w:top w:w="0" w:type="dxa"/>
            </w:tcMar>
            <w:vAlign w:val="bottom"/>
          </w:tcPr>
          <w:p>
            <w:pPr>
              <w:pStyle w:val="TableContents"/>
              <w:bidi w:val="0"/>
              <w:spacing w:before="0" w:after="0"/>
              <w:jc w:val="right"/>
              <w:rPr/>
            </w:pPr>
            <w:r>
              <w:rPr/>
              <w:t>(2,476</w:t>
            </w:r>
          </w:p>
        </w:tc>
        <w:tc>
          <w:tcPr>
            <w:tcW w:w="95" w:type="dxa"/>
            <w:tcBorders/>
            <w:tcMar>
              <w:top w:w="0" w:type="dxa"/>
            </w:tcMar>
            <w:vAlign w:val="bottom"/>
          </w:tcPr>
          <w:p>
            <w:pPr>
              <w:pStyle w:val="TableContents"/>
              <w:bidi w:val="0"/>
              <w:spacing w:before="0" w:after="0"/>
              <w:jc w:val="left"/>
              <w:rPr/>
            </w:pPr>
            <w:r>
              <w:rPr/>
              <w:t>)</w:t>
            </w:r>
          </w:p>
        </w:tc>
        <w:tc>
          <w:tcPr>
            <w:tcW w:w="60" w:type="dxa"/>
            <w:tcBorders/>
            <w:tcMar>
              <w:top w:w="0" w:type="dxa"/>
            </w:tcMar>
            <w:vAlign w:val="bottom"/>
          </w:tcPr>
          <w:p>
            <w:pPr>
              <w:pStyle w:val="TableContents"/>
              <w:bidi w:val="0"/>
              <w:spacing w:before="0" w:after="283"/>
              <w:jc w:val="right"/>
              <w:rPr/>
            </w:pPr>
            <w:r>
              <w:rPr/>
              <w:t> </w:t>
            </w:r>
          </w:p>
        </w:tc>
        <w:tc>
          <w:tcPr>
            <w:tcW w:w="188" w:type="dxa"/>
            <w:tcBorders/>
            <w:tcMar>
              <w:top w:w="0" w:type="dxa"/>
            </w:tcMar>
            <w:vAlign w:val="bottom"/>
          </w:tcPr>
          <w:p>
            <w:pPr>
              <w:pStyle w:val="TableContents"/>
              <w:bidi w:val="0"/>
              <w:spacing w:before="0" w:after="283"/>
              <w:jc w:val="left"/>
              <w:rPr/>
            </w:pPr>
            <w:r>
              <w:rPr/>
              <w:t> </w:t>
            </w:r>
          </w:p>
        </w:tc>
        <w:tc>
          <w:tcPr>
            <w:tcW w:w="1182" w:type="dxa"/>
            <w:tcBorders/>
            <w:tcMar>
              <w:top w:w="0" w:type="dxa"/>
            </w:tcMar>
            <w:vAlign w:val="bottom"/>
          </w:tcPr>
          <w:p>
            <w:pPr>
              <w:pStyle w:val="TableContents"/>
              <w:bidi w:val="0"/>
              <w:spacing w:before="0" w:after="0"/>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204" w:type="dxa"/>
            <w:tcBorders/>
            <w:tcMar>
              <w:top w:w="0" w:type="dxa"/>
            </w:tcMar>
            <w:vAlign w:val="bottom"/>
          </w:tcPr>
          <w:p>
            <w:pPr>
              <w:pStyle w:val="TableContents"/>
              <w:bidi w:val="0"/>
              <w:spacing w:before="0" w:after="283"/>
              <w:jc w:val="left"/>
              <w:rPr/>
            </w:pPr>
            <w:r>
              <w:rPr/>
              <w:t> </w:t>
            </w:r>
          </w:p>
        </w:tc>
        <w:tc>
          <w:tcPr>
            <w:tcW w:w="1169" w:type="dxa"/>
            <w:tcBorders/>
            <w:tcMar>
              <w:top w:w="0" w:type="dxa"/>
            </w:tcMar>
            <w:vAlign w:val="bottom"/>
          </w:tcPr>
          <w:p>
            <w:pPr>
              <w:pStyle w:val="TableContents"/>
              <w:bidi w:val="0"/>
              <w:spacing w:before="0" w:after="0"/>
              <w:jc w:val="right"/>
              <w:rPr/>
            </w:pPr>
            <w:r>
              <w:rPr/>
              <w:t>(2,476</w:t>
            </w:r>
          </w:p>
        </w:tc>
        <w:tc>
          <w:tcPr>
            <w:tcW w:w="111" w:type="dxa"/>
            <w:tcBorders/>
            <w:tcMar>
              <w:top w:w="0" w:type="dxa"/>
            </w:tcMar>
            <w:vAlign w:val="bottom"/>
          </w:tcPr>
          <w:p>
            <w:pPr>
              <w:pStyle w:val="TableContents"/>
              <w:bidi w:val="0"/>
              <w:spacing w:before="0" w:after="0"/>
              <w:jc w:val="left"/>
              <w:rPr/>
            </w:pPr>
            <w:r>
              <w:rPr/>
              <w:t>)</w:t>
            </w:r>
          </w:p>
        </w:tc>
      </w:tr>
      <w:tr>
        <w:trPr/>
        <w:tc>
          <w:tcPr>
            <w:tcW w:w="3501" w:type="dxa"/>
            <w:tcBorders/>
            <w:shd w:fill="CCEEFF" w:val="clear"/>
            <w:tcMar>
              <w:top w:w="0" w:type="dxa"/>
            </w:tcMar>
            <w:vAlign w:val="bottom"/>
          </w:tcPr>
          <w:p>
            <w:pPr>
              <w:pStyle w:val="TableContents"/>
              <w:bidi w:val="0"/>
              <w:spacing w:before="0" w:after="0"/>
              <w:ind w:left="144" w:right="0" w:hanging="144"/>
              <w:jc w:val="left"/>
              <w:rPr/>
            </w:pPr>
            <w:r>
              <w:rPr/>
              <w:t>Exercise of stock options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283"/>
              <w:jc w:val="right"/>
              <w:rPr/>
            </w:pPr>
            <w:r>
              <w:rPr/>
              <w:t>386,341</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shd w:fill="CCEEFF" w:val="clear"/>
            <w:tcMar>
              <w:top w:w="0" w:type="dxa"/>
            </w:tcMar>
            <w:vAlign w:val="bottom"/>
          </w:tcPr>
          <w:p>
            <w:pPr>
              <w:pStyle w:val="TableContents"/>
              <w:bidi w:val="0"/>
              <w:spacing w:before="0" w:after="283"/>
              <w:jc w:val="left"/>
              <w:rPr/>
            </w:pPr>
            <w:r>
              <w:rPr/>
              <w:t> </w:t>
            </w:r>
          </w:p>
        </w:tc>
        <w:tc>
          <w:tcPr>
            <w:tcW w:w="559" w:type="dxa"/>
            <w:tcBorders/>
            <w:shd w:fill="CCEEFF" w:val="clear"/>
            <w:tcMar>
              <w:top w:w="0"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shd w:fill="CCEEFF" w:val="clear"/>
            <w:tcMar>
              <w:top w:w="0" w:type="dxa"/>
            </w:tcMar>
            <w:vAlign w:val="bottom"/>
          </w:tcPr>
          <w:p>
            <w:pPr>
              <w:pStyle w:val="TableContents"/>
              <w:bidi w:val="0"/>
              <w:spacing w:before="0" w:after="283"/>
              <w:jc w:val="left"/>
              <w:rPr/>
            </w:pPr>
            <w:r>
              <w:rPr/>
              <w:t> </w:t>
            </w:r>
          </w:p>
        </w:tc>
        <w:tc>
          <w:tcPr>
            <w:tcW w:w="937" w:type="dxa"/>
            <w:tcBorders/>
            <w:shd w:fill="CCEEFF" w:val="clear"/>
            <w:tcMar>
              <w:top w:w="0" w:type="dxa"/>
            </w:tcMar>
            <w:vAlign w:val="bottom"/>
          </w:tcPr>
          <w:p>
            <w:pPr>
              <w:pStyle w:val="TableContents"/>
              <w:bidi w:val="0"/>
              <w:spacing w:before="0" w:after="283"/>
              <w:jc w:val="right"/>
              <w:rPr/>
            </w:pPr>
            <w:r>
              <w:rPr/>
              <w:t>1,029</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shd w:fill="CCEEFF" w:val="clear"/>
            <w:tcMar>
              <w:top w:w="0" w:type="dxa"/>
            </w:tcMar>
            <w:vAlign w:val="bottom"/>
          </w:tcPr>
          <w:p>
            <w:pPr>
              <w:pStyle w:val="TableContents"/>
              <w:bidi w:val="0"/>
              <w:spacing w:before="0" w:after="283"/>
              <w:jc w:val="left"/>
              <w:rPr/>
            </w:pPr>
            <w:r>
              <w:rPr/>
              <w:t> </w:t>
            </w:r>
          </w:p>
        </w:tc>
        <w:tc>
          <w:tcPr>
            <w:tcW w:w="1182" w:type="dxa"/>
            <w:tcBorders/>
            <w:shd w:fill="CCEEFF" w:val="clear"/>
            <w:tcMar>
              <w:top w:w="0" w:type="dxa"/>
            </w:tcMar>
            <w:vAlign w:val="bottom"/>
          </w:tcPr>
          <w:p>
            <w:pPr>
              <w:pStyle w:val="TableContents"/>
              <w:bidi w:val="0"/>
              <w:spacing w:before="0" w:after="283"/>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shd w:fill="CCEEFF" w:val="clear"/>
            <w:tcMar>
              <w:top w:w="0" w:type="dxa"/>
            </w:tcMar>
            <w:vAlign w:val="bottom"/>
          </w:tcPr>
          <w:p>
            <w:pPr>
              <w:pStyle w:val="TableContents"/>
              <w:bidi w:val="0"/>
              <w:spacing w:before="0" w:after="283"/>
              <w:jc w:val="left"/>
              <w:rPr/>
            </w:pPr>
            <w:r>
              <w:rPr/>
              <w:t> </w:t>
            </w:r>
          </w:p>
        </w:tc>
        <w:tc>
          <w:tcPr>
            <w:tcW w:w="1169" w:type="dxa"/>
            <w:tcBorders/>
            <w:shd w:fill="CCEEFF" w:val="clear"/>
            <w:tcMar>
              <w:top w:w="0" w:type="dxa"/>
            </w:tcMar>
            <w:vAlign w:val="bottom"/>
          </w:tcPr>
          <w:p>
            <w:pPr>
              <w:pStyle w:val="TableContents"/>
              <w:bidi w:val="0"/>
              <w:spacing w:before="0" w:after="283"/>
              <w:jc w:val="right"/>
              <w:rPr/>
            </w:pPr>
            <w:r>
              <w:rPr/>
              <w:t>1,029</w:t>
            </w:r>
          </w:p>
        </w:tc>
        <w:tc>
          <w:tcPr>
            <w:tcW w:w="111" w:type="dxa"/>
            <w:tcBorders/>
            <w:shd w:fill="CCEEFF" w:val="clear"/>
            <w:tcMar>
              <w:top w:w="0" w:type="dxa"/>
            </w:tcMar>
            <w:vAlign w:val="bottom"/>
          </w:tcPr>
          <w:p>
            <w:pPr>
              <w:pStyle w:val="TableContents"/>
              <w:bidi w:val="0"/>
              <w:spacing w:before="0" w:after="283"/>
              <w:jc w:val="left"/>
              <w:rPr/>
            </w:pPr>
            <w:r>
              <w:rPr/>
              <w:t> </w:t>
            </w:r>
          </w:p>
        </w:tc>
      </w:tr>
      <w:tr>
        <w:trPr/>
        <w:tc>
          <w:tcPr>
            <w:tcW w:w="3501" w:type="dxa"/>
            <w:tcBorders/>
            <w:tcMar>
              <w:top w:w="0" w:type="dxa"/>
            </w:tcMar>
            <w:vAlign w:val="bottom"/>
          </w:tcPr>
          <w:p>
            <w:pPr>
              <w:pStyle w:val="TableContents"/>
              <w:bidi w:val="0"/>
              <w:spacing w:before="0" w:after="0"/>
              <w:ind w:left="144" w:right="0" w:hanging="144"/>
              <w:jc w:val="left"/>
              <w:rPr>
                <w:color w:val="000000"/>
              </w:rPr>
            </w:pPr>
            <w:r>
              <w:rPr>
                <w:color w:val="000000"/>
              </w:rPr>
              <w:t>Net income</w:t>
            </w:r>
          </w:p>
        </w:tc>
        <w:tc>
          <w:tcPr>
            <w:tcW w:w="60" w:type="dxa"/>
            <w:tcBorders/>
            <w:tcMar>
              <w:top w:w="0" w:type="dxa"/>
            </w:tcMar>
            <w:vAlign w:val="bottom"/>
          </w:tcPr>
          <w:p>
            <w:pPr>
              <w:pStyle w:val="TableContents"/>
              <w:bidi w:val="0"/>
              <w:spacing w:before="0" w:after="283"/>
              <w:jc w:val="right"/>
              <w:rPr/>
            </w:pPr>
            <w:r>
              <w:rPr/>
              <w:t> </w:t>
            </w:r>
          </w:p>
        </w:tc>
        <w:tc>
          <w:tcPr>
            <w:tcW w:w="60" w:type="dxa"/>
            <w:tcBorders>
              <w:bottom w:val="single" w:sz="12" w:space="0" w:color="000000"/>
            </w:tcBorders>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top w:w="0" w:type="dxa"/>
              <w:bottom w:w="28"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bottom w:val="single" w:sz="12" w:space="0" w:color="000000"/>
            </w:tcBorders>
            <w:tcMar>
              <w:top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top w:w="0" w:type="dxa"/>
              <w:bottom w:w="28"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bottom w:val="single" w:sz="12" w:space="0" w:color="000000"/>
            </w:tcBorders>
            <w:tcMar>
              <w:top w:w="0" w:type="dxa"/>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top w:w="0" w:type="dxa"/>
              <w:bottom w:w="28"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88" w:type="dxa"/>
            <w:tcBorders>
              <w:bottom w:val="single" w:sz="12" w:space="0" w:color="000000"/>
            </w:tcBorders>
            <w:tcMar>
              <w:top w:w="0" w:type="dxa"/>
              <w:bottom w:w="28" w:type="dxa"/>
            </w:tcMar>
            <w:vAlign w:val="bottom"/>
          </w:tcPr>
          <w:p>
            <w:pPr>
              <w:pStyle w:val="TableContents"/>
              <w:bidi w:val="0"/>
              <w:spacing w:before="0" w:after="283"/>
              <w:jc w:val="left"/>
              <w:rPr/>
            </w:pPr>
            <w:r>
              <w:rPr/>
              <w:t> </w:t>
            </w:r>
          </w:p>
        </w:tc>
        <w:tc>
          <w:tcPr>
            <w:tcW w:w="1182" w:type="dxa"/>
            <w:tcBorders>
              <w:bottom w:val="single" w:sz="12" w:space="0" w:color="000000"/>
            </w:tcBorders>
            <w:tcMar>
              <w:top w:w="0" w:type="dxa"/>
              <w:bottom w:w="28" w:type="dxa"/>
            </w:tcMar>
            <w:vAlign w:val="bottom"/>
          </w:tcPr>
          <w:p>
            <w:pPr>
              <w:pStyle w:val="TableContents"/>
              <w:bidi w:val="0"/>
              <w:spacing w:before="0" w:after="283"/>
              <w:jc w:val="right"/>
              <w:rPr/>
            </w:pPr>
            <w:r>
              <w:rPr/>
              <w:t>17,806</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204" w:type="dxa"/>
            <w:tcBorders>
              <w:bottom w:val="single" w:sz="12" w:space="0" w:color="000000"/>
            </w:tcBorders>
            <w:tcMar>
              <w:top w:w="0" w:type="dxa"/>
              <w:bottom w:w="28" w:type="dxa"/>
            </w:tcMar>
            <w:vAlign w:val="bottom"/>
          </w:tcPr>
          <w:p>
            <w:pPr>
              <w:pStyle w:val="TableContents"/>
              <w:bidi w:val="0"/>
              <w:spacing w:before="0" w:after="283"/>
              <w:jc w:val="left"/>
              <w:rPr/>
            </w:pPr>
            <w:r>
              <w:rPr/>
              <w:t> </w:t>
            </w:r>
          </w:p>
        </w:tc>
        <w:tc>
          <w:tcPr>
            <w:tcW w:w="1169" w:type="dxa"/>
            <w:tcBorders>
              <w:bottom w:val="single" w:sz="12" w:space="0" w:color="000000"/>
            </w:tcBorders>
            <w:tcMar>
              <w:top w:w="0" w:type="dxa"/>
              <w:bottom w:w="28" w:type="dxa"/>
            </w:tcMar>
            <w:vAlign w:val="bottom"/>
          </w:tcPr>
          <w:p>
            <w:pPr>
              <w:pStyle w:val="TableContents"/>
              <w:bidi w:val="0"/>
              <w:spacing w:before="0" w:after="283"/>
              <w:jc w:val="right"/>
              <w:rPr/>
            </w:pPr>
            <w:r>
              <w:rPr/>
              <w:t>17,806</w:t>
            </w:r>
          </w:p>
        </w:tc>
        <w:tc>
          <w:tcPr>
            <w:tcW w:w="111" w:type="dxa"/>
            <w:tcBorders/>
            <w:tcMar>
              <w:top w:w="0" w:type="dxa"/>
            </w:tcMar>
            <w:vAlign w:val="bottom"/>
          </w:tcPr>
          <w:p>
            <w:pPr>
              <w:pStyle w:val="TableContents"/>
              <w:bidi w:val="0"/>
              <w:spacing w:before="0" w:after="283"/>
              <w:jc w:val="left"/>
              <w:rPr/>
            </w:pPr>
            <w:r>
              <w:rPr/>
              <w:t> </w:t>
            </w:r>
          </w:p>
        </w:tc>
      </w:tr>
      <w:tr>
        <w:trPr/>
        <w:tc>
          <w:tcPr>
            <w:tcW w:w="3501" w:type="dxa"/>
            <w:tcBorders/>
            <w:shd w:fill="CCEEFF" w:val="clear"/>
            <w:tcMar>
              <w:top w:w="0" w:type="dxa"/>
            </w:tcMar>
            <w:vAlign w:val="bottom"/>
          </w:tcPr>
          <w:p>
            <w:pPr>
              <w:pStyle w:val="TableContents"/>
              <w:bidi w:val="0"/>
              <w:spacing w:before="0" w:after="0"/>
              <w:ind w:left="144" w:right="0" w:hanging="0"/>
              <w:jc w:val="left"/>
              <w:rPr>
                <w:b/>
                <w:color w:val="000000"/>
              </w:rPr>
            </w:pPr>
            <w:r>
              <w:rPr>
                <w:b/>
                <w:color w:val="000000"/>
              </w:rPr>
              <w:t>Balance at March 31, 2024</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top w:w="0" w:type="dxa"/>
              <w:bottom w:w="28" w:type="dxa"/>
            </w:tcMar>
            <w:vAlign w:val="bottom"/>
          </w:tcPr>
          <w:p>
            <w:pPr>
              <w:pStyle w:val="TableContents"/>
              <w:bidi w:val="0"/>
              <w:spacing w:before="0" w:after="283"/>
              <w:jc w:val="right"/>
              <w:rPr/>
            </w:pPr>
            <w:r>
              <w:rPr/>
              <w:t>231,769,765</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bottom w:val="double" w:sz="8" w:space="0" w:color="000000"/>
            </w:tcBorders>
            <w:shd w:fill="CCEEFF" w:val="clear"/>
            <w:tcMar>
              <w:top w:w="0" w:type="dxa"/>
              <w:bottom w:w="28" w:type="dxa"/>
            </w:tcMar>
            <w:vAlign w:val="bottom"/>
          </w:tcPr>
          <w:p>
            <w:pPr>
              <w:pStyle w:val="TableContents"/>
              <w:bidi w:val="0"/>
              <w:spacing w:before="0" w:after="283"/>
              <w:jc w:val="left"/>
              <w:rPr/>
            </w:pPr>
            <w:r>
              <w:rPr/>
              <w:t>$</w:t>
            </w:r>
          </w:p>
        </w:tc>
        <w:tc>
          <w:tcPr>
            <w:tcW w:w="559" w:type="dxa"/>
            <w:tcBorders>
              <w:bottom w:val="double" w:sz="8" w:space="0" w:color="000000"/>
            </w:tcBorders>
            <w:shd w:fill="CCEEFF" w:val="clear"/>
            <w:tcMar>
              <w:top w:w="0" w:type="dxa"/>
              <w:bottom w:w="28" w:type="dxa"/>
            </w:tcMar>
            <w:vAlign w:val="bottom"/>
          </w:tcPr>
          <w:p>
            <w:pPr>
              <w:pStyle w:val="TableContents"/>
              <w:bidi w:val="0"/>
              <w:spacing w:before="0" w:after="283"/>
              <w:jc w:val="right"/>
              <w:rPr/>
            </w:pPr>
            <w:r>
              <w:rPr/>
              <w:t>23</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top w:w="0" w:type="dxa"/>
              <w:bottom w:w="28" w:type="dxa"/>
            </w:tcMar>
            <w:vAlign w:val="bottom"/>
          </w:tcPr>
          <w:p>
            <w:pPr>
              <w:pStyle w:val="TableContents"/>
              <w:bidi w:val="0"/>
              <w:spacing w:before="0" w:after="283"/>
              <w:jc w:val="left"/>
              <w:rPr/>
            </w:pPr>
            <w:r>
              <w:rPr/>
              <w:t>$</w:t>
            </w:r>
          </w:p>
        </w:tc>
        <w:tc>
          <w:tcPr>
            <w:tcW w:w="937" w:type="dxa"/>
            <w:tcBorders>
              <w:bottom w:val="double" w:sz="8" w:space="0" w:color="000000"/>
            </w:tcBorders>
            <w:shd w:fill="CCEEFF" w:val="clear"/>
            <w:tcMar>
              <w:top w:w="0" w:type="dxa"/>
              <w:bottom w:w="28" w:type="dxa"/>
            </w:tcMar>
            <w:vAlign w:val="bottom"/>
          </w:tcPr>
          <w:p>
            <w:pPr>
              <w:pStyle w:val="TableContents"/>
              <w:bidi w:val="0"/>
              <w:spacing w:before="0" w:after="283"/>
              <w:jc w:val="right"/>
              <w:rPr/>
            </w:pPr>
            <w:r>
              <w:rPr/>
              <w:t>642,133</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top w:w="0" w:type="dxa"/>
              <w:bottom w:w="28" w:type="dxa"/>
            </w:tcMar>
            <w:vAlign w:val="bottom"/>
          </w:tcPr>
          <w:p>
            <w:pPr>
              <w:pStyle w:val="TableContents"/>
              <w:bidi w:val="0"/>
              <w:spacing w:before="0" w:after="283"/>
              <w:jc w:val="left"/>
              <w:rPr/>
            </w:pPr>
            <w:r>
              <w:rPr/>
              <w:t>$</w:t>
            </w:r>
          </w:p>
        </w:tc>
        <w:tc>
          <w:tcPr>
            <w:tcW w:w="1182" w:type="dxa"/>
            <w:tcBorders>
              <w:bottom w:val="double" w:sz="8" w:space="0" w:color="000000"/>
            </w:tcBorders>
            <w:shd w:fill="CCEEFF" w:val="clear"/>
            <w:tcMar>
              <w:top w:w="0" w:type="dxa"/>
              <w:bottom w:w="28" w:type="dxa"/>
            </w:tcMar>
            <w:vAlign w:val="bottom"/>
          </w:tcPr>
          <w:p>
            <w:pPr>
              <w:pStyle w:val="TableContents"/>
              <w:bidi w:val="0"/>
              <w:spacing w:before="0" w:after="283"/>
              <w:jc w:val="right"/>
              <w:rPr/>
            </w:pPr>
            <w:r>
              <w:rPr/>
              <w:t>(488,450</w:t>
            </w:r>
          </w:p>
        </w:tc>
        <w:tc>
          <w:tcPr>
            <w:tcW w:w="95" w:type="dxa"/>
            <w:tcBorders/>
            <w:shd w:fill="CCEEFF" w:val="clear"/>
            <w:tcMar>
              <w:top w:w="0" w:type="dxa"/>
            </w:tcMar>
            <w:vAlign w:val="bottom"/>
          </w:tcPr>
          <w:p>
            <w:pPr>
              <w:pStyle w:val="TableContents"/>
              <w:bidi w:val="0"/>
              <w:spacing w:before="0" w:after="283"/>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bottom w:val="double" w:sz="8" w:space="0" w:color="000000"/>
            </w:tcBorders>
            <w:shd w:fill="CCEEFF" w:val="clear"/>
            <w:tcMar>
              <w:top w:w="0" w:type="dxa"/>
              <w:bottom w:w="28" w:type="dxa"/>
            </w:tcMar>
            <w:vAlign w:val="bottom"/>
          </w:tcPr>
          <w:p>
            <w:pPr>
              <w:pStyle w:val="TableContents"/>
              <w:bidi w:val="0"/>
              <w:spacing w:before="0" w:after="0"/>
              <w:jc w:val="left"/>
              <w:rPr/>
            </w:pPr>
            <w:r>
              <w:rPr/>
              <w:t>$</w:t>
            </w:r>
          </w:p>
        </w:tc>
        <w:tc>
          <w:tcPr>
            <w:tcW w:w="1169" w:type="dxa"/>
            <w:tcBorders>
              <w:bottom w:val="double" w:sz="8" w:space="0" w:color="000000"/>
            </w:tcBorders>
            <w:shd w:fill="CCEEFF" w:val="clear"/>
            <w:tcMar>
              <w:top w:w="0" w:type="dxa"/>
              <w:bottom w:w="28" w:type="dxa"/>
            </w:tcMar>
            <w:vAlign w:val="bottom"/>
          </w:tcPr>
          <w:p>
            <w:pPr>
              <w:pStyle w:val="TableContents"/>
              <w:bidi w:val="0"/>
              <w:spacing w:before="0" w:after="0"/>
              <w:jc w:val="right"/>
              <w:rPr/>
            </w:pPr>
            <w:r>
              <w:rPr/>
              <w:t>153,706</w:t>
            </w:r>
          </w:p>
        </w:tc>
        <w:tc>
          <w:tcPr>
            <w:tcW w:w="111" w:type="dxa"/>
            <w:tcBorders/>
            <w:shd w:fill="CCEEFF" w:val="clear"/>
            <w:tcMar>
              <w:top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Three Months Ended March 31, 2023</w:t>
      </w:r>
    </w:p>
    <w:tbl>
      <w:tblPr>
        <w:tblW w:w="10205" w:type="dxa"/>
        <w:jc w:val="left"/>
        <w:tblInd w:w="0" w:type="dxa"/>
        <w:tblLayout w:type="fixed"/>
        <w:tblCellMar>
          <w:top w:w="28" w:type="dxa"/>
          <w:left w:w="0" w:type="dxa"/>
          <w:bottom w:w="0" w:type="dxa"/>
          <w:right w:w="0" w:type="dxa"/>
        </w:tblCellMar>
      </w:tblPr>
      <w:tblGrid>
        <w:gridCol w:w="3515"/>
        <w:gridCol w:w="60"/>
        <w:gridCol w:w="60"/>
        <w:gridCol w:w="1220"/>
        <w:gridCol w:w="60"/>
        <w:gridCol w:w="60"/>
        <w:gridCol w:w="301"/>
        <w:gridCol w:w="559"/>
        <w:gridCol w:w="60"/>
        <w:gridCol w:w="60"/>
        <w:gridCol w:w="163"/>
        <w:gridCol w:w="937"/>
        <w:gridCol w:w="95"/>
        <w:gridCol w:w="60"/>
        <w:gridCol w:w="188"/>
        <w:gridCol w:w="1182"/>
        <w:gridCol w:w="95"/>
        <w:gridCol w:w="60"/>
        <w:gridCol w:w="204"/>
        <w:gridCol w:w="1170"/>
        <w:gridCol w:w="96"/>
      </w:tblGrid>
      <w:tr>
        <w:trPr/>
        <w:tc>
          <w:tcPr>
            <w:tcW w:w="351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2260" w:type="dxa"/>
            <w:gridSpan w:val="6"/>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100" w:type="dxa"/>
            <w:gridSpan w:val="2"/>
            <w:tcBorders>
              <w:top w:val="single" w:sz="12" w:space="0" w:color="000000"/>
            </w:tcBorders>
            <w:vAlign w:val="bottom"/>
          </w:tcPr>
          <w:p>
            <w:pPr>
              <w:pStyle w:val="TableContents"/>
              <w:bidi w:val="0"/>
              <w:spacing w:before="0" w:after="283"/>
              <w:jc w:val="center"/>
              <w:rPr>
                <w:b/>
              </w:rPr>
            </w:pPr>
            <w:r>
              <w:rPr>
                <w:b/>
              </w:rPr>
              <w:t>Additional</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70" w:type="dxa"/>
            <w:gridSpan w:val="2"/>
            <w:tcBorders>
              <w:top w:val="single" w:sz="12" w:space="0" w:color="000000"/>
            </w:tcBorders>
            <w:vAlign w:val="bottom"/>
          </w:tcPr>
          <w:p>
            <w:pPr>
              <w:pStyle w:val="TableContents"/>
              <w:bidi w:val="0"/>
              <w:spacing w:before="0" w:after="283"/>
              <w:jc w:val="center"/>
              <w:rPr/>
            </w:pPr>
            <w:r>
              <w:rPr/>
              <w:t> </w:t>
            </w:r>
          </w:p>
        </w:tc>
        <w:tc>
          <w:tcPr>
            <w:tcW w:w="95" w:type="dxa"/>
            <w:tcBorders>
              <w:top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vAlign w:val="bottom"/>
          </w:tcPr>
          <w:p>
            <w:pPr>
              <w:pStyle w:val="TableContents"/>
              <w:bidi w:val="0"/>
              <w:spacing w:before="0" w:after="283"/>
              <w:jc w:val="center"/>
              <w:rPr/>
            </w:pPr>
            <w:r>
              <w:rPr/>
              <w:t> </w:t>
            </w:r>
          </w:p>
        </w:tc>
        <w:tc>
          <w:tcPr>
            <w:tcW w:w="1374" w:type="dxa"/>
            <w:gridSpan w:val="2"/>
            <w:tcBorders>
              <w:top w:val="single" w:sz="12" w:space="0" w:color="000000"/>
            </w:tcBorders>
            <w:vAlign w:val="bottom"/>
          </w:tcPr>
          <w:p>
            <w:pPr>
              <w:pStyle w:val="TableContents"/>
              <w:bidi w:val="0"/>
              <w:spacing w:before="0" w:after="283"/>
              <w:jc w:val="center"/>
              <w:rPr>
                <w:b/>
              </w:rPr>
            </w:pPr>
            <w:r>
              <w:rPr>
                <w:b/>
              </w:rPr>
              <w:t>Total</w:t>
            </w:r>
          </w:p>
        </w:tc>
        <w:tc>
          <w:tcPr>
            <w:tcW w:w="96" w:type="dxa"/>
            <w:tcBorders>
              <w:top w:val="single" w:sz="12" w:space="0" w:color="000000"/>
            </w:tcBorders>
            <w:vAlign w:val="bottom"/>
          </w:tcPr>
          <w:p>
            <w:pPr>
              <w:pStyle w:val="TableContents"/>
              <w:bidi w:val="0"/>
              <w:spacing w:before="0" w:after="283"/>
              <w:jc w:val="left"/>
              <w:rPr/>
            </w:pPr>
            <w:r>
              <w:rPr/>
              <w:t> </w:t>
            </w:r>
          </w:p>
        </w:tc>
      </w:tr>
      <w:tr>
        <w:trPr/>
        <w:tc>
          <w:tcPr>
            <w:tcW w:w="351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2260" w:type="dxa"/>
            <w:gridSpan w:val="6"/>
            <w:tcBorders>
              <w:bottom w:val="single" w:sz="12" w:space="0" w:color="000000"/>
            </w:tcBorders>
            <w:tcMar>
              <w:top w:w="0" w:type="dxa"/>
              <w:bottom w:w="28" w:type="dxa"/>
            </w:tcMar>
            <w:vAlign w:val="bottom"/>
          </w:tcPr>
          <w:p>
            <w:pPr>
              <w:pStyle w:val="TableContents"/>
              <w:bidi w:val="0"/>
              <w:spacing w:before="0" w:after="0"/>
              <w:jc w:val="center"/>
              <w:rPr>
                <w:b/>
              </w:rPr>
            </w:pPr>
            <w:r>
              <w:rPr>
                <w:b/>
              </w:rPr>
              <w:t>Common Stock</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100" w:type="dxa"/>
            <w:gridSpan w:val="2"/>
            <w:tcBorders/>
            <w:tcMar>
              <w:top w:w="0" w:type="dxa"/>
            </w:tcMar>
            <w:vAlign w:val="bottom"/>
          </w:tcPr>
          <w:p>
            <w:pPr>
              <w:pStyle w:val="TableContents"/>
              <w:bidi w:val="0"/>
              <w:spacing w:before="0" w:after="0"/>
              <w:jc w:val="center"/>
              <w:rPr>
                <w:b/>
              </w:rPr>
            </w:pPr>
            <w:r>
              <w:rPr>
                <w:b/>
              </w:rPr>
              <w:t>Paid-in</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0" w:type="dxa"/>
            <w:gridSpan w:val="2"/>
            <w:tcBorders/>
            <w:tcMar>
              <w:top w:w="0" w:type="dxa"/>
            </w:tcMar>
            <w:vAlign w:val="bottom"/>
          </w:tcPr>
          <w:p>
            <w:pPr>
              <w:pStyle w:val="TableContents"/>
              <w:bidi w:val="0"/>
              <w:spacing w:before="0" w:after="0"/>
              <w:jc w:val="center"/>
              <w:rPr>
                <w:b/>
              </w:rPr>
            </w:pPr>
            <w:r>
              <w:rPr>
                <w:b/>
              </w:rPr>
              <w:t>Accumulated</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4" w:type="dxa"/>
            <w:gridSpan w:val="2"/>
            <w:tcBorders/>
            <w:tcMar>
              <w:top w:w="0" w:type="dxa"/>
            </w:tcMar>
            <w:vAlign w:val="bottom"/>
          </w:tcPr>
          <w:p>
            <w:pPr>
              <w:pStyle w:val="TableContents"/>
              <w:bidi w:val="0"/>
              <w:spacing w:before="0" w:after="0"/>
              <w:jc w:val="center"/>
              <w:rPr>
                <w:b/>
              </w:rPr>
            </w:pPr>
            <w:r>
              <w:rPr>
                <w:b/>
              </w:rPr>
              <w:t>Stockholders’</w:t>
            </w:r>
          </w:p>
        </w:tc>
        <w:tc>
          <w:tcPr>
            <w:tcW w:w="96" w:type="dxa"/>
            <w:tcBorders/>
            <w:tcMar>
              <w:top w:w="0" w:type="dxa"/>
            </w:tcMar>
            <w:vAlign w:val="bottom"/>
          </w:tcPr>
          <w:p>
            <w:pPr>
              <w:pStyle w:val="TableContents"/>
              <w:bidi w:val="0"/>
              <w:spacing w:before="0" w:after="283"/>
              <w:jc w:val="left"/>
              <w:rPr/>
            </w:pPr>
            <w:r>
              <w:rPr/>
              <w:t> </w:t>
            </w:r>
          </w:p>
        </w:tc>
      </w:tr>
      <w:tr>
        <w:trPr/>
        <w:tc>
          <w:tcPr>
            <w:tcW w:w="351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Shares</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Amount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10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Capital</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0"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Deficit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left"/>
              <w:rPr/>
            </w:pPr>
            <w:r>
              <w:rPr/>
              <w:t> </w:t>
            </w:r>
          </w:p>
        </w:tc>
        <w:tc>
          <w:tcPr>
            <w:tcW w:w="1374" w:type="dxa"/>
            <w:gridSpan w:val="2"/>
            <w:tcBorders>
              <w:bottom w:val="single" w:sz="12" w:space="0" w:color="000000"/>
            </w:tcBorders>
            <w:tcMar>
              <w:top w:w="0" w:type="dxa"/>
              <w:bottom w:w="28" w:type="dxa"/>
            </w:tcMar>
            <w:vAlign w:val="bottom"/>
          </w:tcPr>
          <w:p>
            <w:pPr>
              <w:pStyle w:val="TableContents"/>
              <w:bidi w:val="0"/>
              <w:spacing w:before="0" w:after="0"/>
              <w:jc w:val="center"/>
              <w:rPr>
                <w:b/>
              </w:rPr>
            </w:pPr>
            <w:r>
              <w:rPr>
                <w:b/>
              </w:rPr>
              <w:t>Equity</w:t>
            </w:r>
          </w:p>
        </w:tc>
        <w:tc>
          <w:tcPr>
            <w:tcW w:w="96" w:type="dxa"/>
            <w:tcBorders/>
            <w:tcMar>
              <w:top w:w="0" w:type="dxa"/>
            </w:tcMar>
            <w:vAlign w:val="bottom"/>
          </w:tcPr>
          <w:p>
            <w:pPr>
              <w:pStyle w:val="TableContents"/>
              <w:bidi w:val="0"/>
              <w:spacing w:before="0" w:after="283"/>
              <w:jc w:val="left"/>
              <w:rPr/>
            </w:pPr>
            <w:r>
              <w:rPr/>
              <w:t> </w:t>
            </w:r>
          </w:p>
        </w:tc>
      </w:tr>
      <w:tr>
        <w:trPr/>
        <w:tc>
          <w:tcPr>
            <w:tcW w:w="3515" w:type="dxa"/>
            <w:tcBorders/>
            <w:shd w:fill="CCEEFF" w:val="clear"/>
            <w:tcMar>
              <w:top w:w="0" w:type="dxa"/>
            </w:tcMar>
            <w:vAlign w:val="bottom"/>
          </w:tcPr>
          <w:p>
            <w:pPr>
              <w:pStyle w:val="TableContents"/>
              <w:bidi w:val="0"/>
              <w:spacing w:before="0" w:after="0"/>
              <w:ind w:left="180" w:right="0" w:hanging="0"/>
              <w:jc w:val="left"/>
              <w:rPr>
                <w:b/>
                <w:color w:val="000000"/>
              </w:rPr>
            </w:pPr>
            <w:r>
              <w:rPr>
                <w:b/>
                <w:color w:val="000000"/>
              </w:rPr>
              <w:t>Balance at December 31, 2022</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0"/>
              <w:jc w:val="right"/>
              <w:rPr/>
            </w:pPr>
            <w:r>
              <w:rPr/>
              <w:t>221,816,930</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shd w:fill="CCEEFF" w:val="clear"/>
            <w:tcMar>
              <w:top w:w="0" w:type="dxa"/>
            </w:tcMar>
            <w:vAlign w:val="bottom"/>
          </w:tcPr>
          <w:p>
            <w:pPr>
              <w:pStyle w:val="TableContents"/>
              <w:bidi w:val="0"/>
              <w:spacing w:before="0" w:after="0"/>
              <w:jc w:val="left"/>
              <w:rPr/>
            </w:pPr>
            <w:r>
              <w:rPr/>
              <w:t>$</w:t>
            </w:r>
          </w:p>
        </w:tc>
        <w:tc>
          <w:tcPr>
            <w:tcW w:w="559" w:type="dxa"/>
            <w:tcBorders/>
            <w:shd w:fill="CCEEFF" w:val="clear"/>
            <w:tcMar>
              <w:top w:w="0" w:type="dxa"/>
            </w:tcMar>
            <w:vAlign w:val="bottom"/>
          </w:tcPr>
          <w:p>
            <w:pPr>
              <w:pStyle w:val="TableContents"/>
              <w:bidi w:val="0"/>
              <w:spacing w:before="0" w:after="0"/>
              <w:jc w:val="right"/>
              <w:rPr/>
            </w:pPr>
            <w:r>
              <w:rPr/>
              <w:t>22</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shd w:fill="CCEEFF" w:val="clear"/>
            <w:tcMar>
              <w:top w:w="0" w:type="dxa"/>
            </w:tcMar>
            <w:vAlign w:val="bottom"/>
          </w:tcPr>
          <w:p>
            <w:pPr>
              <w:pStyle w:val="TableContents"/>
              <w:bidi w:val="0"/>
              <w:spacing w:before="0" w:after="0"/>
              <w:jc w:val="left"/>
              <w:rPr/>
            </w:pPr>
            <w:r>
              <w:rPr/>
              <w:t>$</w:t>
            </w:r>
          </w:p>
        </w:tc>
        <w:tc>
          <w:tcPr>
            <w:tcW w:w="937" w:type="dxa"/>
            <w:tcBorders/>
            <w:shd w:fill="CCEEFF" w:val="clear"/>
            <w:tcMar>
              <w:top w:w="0" w:type="dxa"/>
            </w:tcMar>
            <w:vAlign w:val="bottom"/>
          </w:tcPr>
          <w:p>
            <w:pPr>
              <w:pStyle w:val="TableContents"/>
              <w:bidi w:val="0"/>
              <w:spacing w:before="0" w:after="0"/>
              <w:jc w:val="right"/>
              <w:rPr/>
            </w:pPr>
            <w:r>
              <w:rPr/>
              <w:t>629,969</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shd w:fill="CCEEFF" w:val="clear"/>
            <w:tcMar>
              <w:top w:w="0" w:type="dxa"/>
            </w:tcMar>
            <w:vAlign w:val="bottom"/>
          </w:tcPr>
          <w:p>
            <w:pPr>
              <w:pStyle w:val="TableContents"/>
              <w:bidi w:val="0"/>
              <w:spacing w:before="0" w:after="0"/>
              <w:jc w:val="left"/>
              <w:rPr/>
            </w:pPr>
            <w:r>
              <w:rPr/>
              <w:t>$</w:t>
            </w:r>
          </w:p>
        </w:tc>
        <w:tc>
          <w:tcPr>
            <w:tcW w:w="1182" w:type="dxa"/>
            <w:tcBorders/>
            <w:shd w:fill="CCEEFF" w:val="clear"/>
            <w:tcMar>
              <w:top w:w="0" w:type="dxa"/>
            </w:tcMar>
            <w:vAlign w:val="bottom"/>
          </w:tcPr>
          <w:p>
            <w:pPr>
              <w:pStyle w:val="TableContents"/>
              <w:bidi w:val="0"/>
              <w:spacing w:before="0" w:after="0"/>
              <w:jc w:val="right"/>
              <w:rPr/>
            </w:pPr>
            <w:r>
              <w:rPr/>
              <w:t>(478,017</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shd w:fill="CCEEFF" w:val="clear"/>
            <w:tcMar>
              <w:top w:w="0" w:type="dxa"/>
            </w:tcMar>
            <w:vAlign w:val="bottom"/>
          </w:tcPr>
          <w:p>
            <w:pPr>
              <w:pStyle w:val="TableContents"/>
              <w:bidi w:val="0"/>
              <w:spacing w:before="0" w:after="0"/>
              <w:jc w:val="left"/>
              <w:rPr/>
            </w:pPr>
            <w:r>
              <w:rPr/>
              <w:t>$</w:t>
            </w:r>
          </w:p>
        </w:tc>
        <w:tc>
          <w:tcPr>
            <w:tcW w:w="1170" w:type="dxa"/>
            <w:tcBorders/>
            <w:shd w:fill="CCEEFF" w:val="clear"/>
            <w:tcMar>
              <w:top w:w="0" w:type="dxa"/>
            </w:tcMar>
            <w:vAlign w:val="bottom"/>
          </w:tcPr>
          <w:p>
            <w:pPr>
              <w:pStyle w:val="TableContents"/>
              <w:bidi w:val="0"/>
              <w:spacing w:before="0" w:after="0"/>
              <w:jc w:val="right"/>
              <w:rPr/>
            </w:pPr>
            <w:r>
              <w:rPr/>
              <w:t>151,974</w:t>
            </w:r>
          </w:p>
        </w:tc>
        <w:tc>
          <w:tcPr>
            <w:tcW w:w="96" w:type="dxa"/>
            <w:tcBorders/>
            <w:shd w:fill="CCEEFF" w:val="clear"/>
            <w:tcMar>
              <w:top w:w="0" w:type="dxa"/>
            </w:tcMar>
            <w:vAlign w:val="bottom"/>
          </w:tcPr>
          <w:p>
            <w:pPr>
              <w:pStyle w:val="TableContents"/>
              <w:bidi w:val="0"/>
              <w:spacing w:before="0" w:after="283"/>
              <w:jc w:val="left"/>
              <w:rPr/>
            </w:pPr>
            <w:r>
              <w:rPr/>
              <w:t> </w:t>
            </w:r>
          </w:p>
        </w:tc>
      </w:tr>
      <w:tr>
        <w:trPr/>
        <w:tc>
          <w:tcPr>
            <w:tcW w:w="3515" w:type="dxa"/>
            <w:tcBorders/>
            <w:tcMar>
              <w:top w:w="0" w:type="dxa"/>
            </w:tcMar>
            <w:vAlign w:val="bottom"/>
          </w:tcPr>
          <w:p>
            <w:pPr>
              <w:pStyle w:val="TableContents"/>
              <w:bidi w:val="0"/>
              <w:spacing w:before="0" w:after="0"/>
              <w:ind w:left="180" w:right="0" w:hanging="180"/>
              <w:jc w:val="left"/>
              <w:rPr>
                <w:color w:val="000000"/>
              </w:rPr>
            </w:pPr>
            <w:r>
              <w:rPr>
                <w:color w:val="000000"/>
              </w:rPr>
              <w:t>Stock-based compensation</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tcMar>
              <w:top w:w="0" w:type="dxa"/>
            </w:tcMar>
            <w:vAlign w:val="bottom"/>
          </w:tcPr>
          <w:p>
            <w:pPr>
              <w:pStyle w:val="TableContents"/>
              <w:bidi w:val="0"/>
              <w:spacing w:before="0" w:after="283"/>
              <w:jc w:val="left"/>
              <w:rPr/>
            </w:pPr>
            <w:r>
              <w:rPr/>
              <w:t> </w:t>
            </w:r>
          </w:p>
        </w:tc>
        <w:tc>
          <w:tcPr>
            <w:tcW w:w="559" w:type="dxa"/>
            <w:tcBorders/>
            <w:tcMar>
              <w:top w:w="0" w:type="dxa"/>
            </w:tcMar>
            <w:vAlign w:val="bottom"/>
          </w:tcPr>
          <w:p>
            <w:pPr>
              <w:pStyle w:val="TableContents"/>
              <w:bidi w:val="0"/>
              <w:spacing w:before="0" w:after="0"/>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tcMar>
              <w:top w:w="0" w:type="dxa"/>
            </w:tcMar>
            <w:vAlign w:val="bottom"/>
          </w:tcPr>
          <w:p>
            <w:pPr>
              <w:pStyle w:val="TableContents"/>
              <w:bidi w:val="0"/>
              <w:spacing w:before="0" w:after="283"/>
              <w:jc w:val="left"/>
              <w:rPr/>
            </w:pPr>
            <w:r>
              <w:rPr/>
              <w:t> </w:t>
            </w:r>
          </w:p>
        </w:tc>
        <w:tc>
          <w:tcPr>
            <w:tcW w:w="937" w:type="dxa"/>
            <w:tcBorders/>
            <w:tcMar>
              <w:top w:w="0" w:type="dxa"/>
            </w:tcMar>
            <w:vAlign w:val="bottom"/>
          </w:tcPr>
          <w:p>
            <w:pPr>
              <w:pStyle w:val="TableContents"/>
              <w:bidi w:val="0"/>
              <w:spacing w:before="0" w:after="0"/>
              <w:jc w:val="right"/>
              <w:rPr/>
            </w:pPr>
            <w:r>
              <w:rPr/>
              <w:t>1,110</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88" w:type="dxa"/>
            <w:tcBorders/>
            <w:tcMar>
              <w:top w:w="0" w:type="dxa"/>
            </w:tcMar>
            <w:vAlign w:val="bottom"/>
          </w:tcPr>
          <w:p>
            <w:pPr>
              <w:pStyle w:val="TableContents"/>
              <w:bidi w:val="0"/>
              <w:spacing w:before="0" w:after="283"/>
              <w:jc w:val="left"/>
              <w:rPr/>
            </w:pPr>
            <w:r>
              <w:rPr/>
              <w:t> </w:t>
            </w:r>
          </w:p>
        </w:tc>
        <w:tc>
          <w:tcPr>
            <w:tcW w:w="1182" w:type="dxa"/>
            <w:tcBorders/>
            <w:tcMar>
              <w:top w:w="0" w:type="dxa"/>
            </w:tcMar>
            <w:vAlign w:val="bottom"/>
          </w:tcPr>
          <w:p>
            <w:pPr>
              <w:pStyle w:val="TableContents"/>
              <w:bidi w:val="0"/>
              <w:spacing w:before="0" w:after="0"/>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204" w:type="dxa"/>
            <w:tcBorders/>
            <w:tcMar>
              <w:top w:w="0" w:type="dxa"/>
            </w:tcMar>
            <w:vAlign w:val="bottom"/>
          </w:tcPr>
          <w:p>
            <w:pPr>
              <w:pStyle w:val="TableContents"/>
              <w:bidi w:val="0"/>
              <w:spacing w:before="0" w:after="283"/>
              <w:jc w:val="left"/>
              <w:rPr/>
            </w:pPr>
            <w:r>
              <w:rPr/>
              <w:t> </w:t>
            </w:r>
          </w:p>
        </w:tc>
        <w:tc>
          <w:tcPr>
            <w:tcW w:w="1170" w:type="dxa"/>
            <w:tcBorders/>
            <w:tcMar>
              <w:top w:w="0" w:type="dxa"/>
            </w:tcMar>
            <w:vAlign w:val="bottom"/>
          </w:tcPr>
          <w:p>
            <w:pPr>
              <w:pStyle w:val="TableContents"/>
              <w:bidi w:val="0"/>
              <w:spacing w:before="0" w:after="0"/>
              <w:jc w:val="right"/>
              <w:rPr/>
            </w:pPr>
            <w:r>
              <w:rPr/>
              <w:t>1,110</w:t>
            </w:r>
          </w:p>
        </w:tc>
        <w:tc>
          <w:tcPr>
            <w:tcW w:w="96" w:type="dxa"/>
            <w:tcBorders/>
            <w:tcMar>
              <w:top w:w="0" w:type="dxa"/>
            </w:tcMar>
            <w:vAlign w:val="bottom"/>
          </w:tcPr>
          <w:p>
            <w:pPr>
              <w:pStyle w:val="TableContents"/>
              <w:bidi w:val="0"/>
              <w:spacing w:before="0" w:after="283"/>
              <w:jc w:val="left"/>
              <w:rPr/>
            </w:pPr>
            <w:r>
              <w:rPr/>
              <w:t> </w:t>
            </w:r>
          </w:p>
        </w:tc>
      </w:tr>
      <w:tr>
        <w:trPr/>
        <w:tc>
          <w:tcPr>
            <w:tcW w:w="3515" w:type="dxa"/>
            <w:tcBorders/>
            <w:shd w:fill="CCEEFF" w:val="clear"/>
            <w:tcMar>
              <w:top w:w="0" w:type="dxa"/>
            </w:tcMar>
            <w:vAlign w:val="bottom"/>
          </w:tcPr>
          <w:p>
            <w:pPr>
              <w:pStyle w:val="TableContents"/>
              <w:bidi w:val="0"/>
              <w:spacing w:before="0" w:after="0"/>
              <w:ind w:left="180" w:right="0" w:hanging="180"/>
              <w:jc w:val="left"/>
              <w:rPr/>
            </w:pPr>
            <w:r>
              <w:rPr/>
              <w:t>Vesting of Restricted Stock Units, net of shares withheld for taxes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shd w:fill="CCEEFF" w:val="clear"/>
            <w:tcMar>
              <w:top w:w="0" w:type="dxa"/>
            </w:tcMar>
            <w:vAlign w:val="bottom"/>
          </w:tcPr>
          <w:p>
            <w:pPr>
              <w:pStyle w:val="TableContents"/>
              <w:bidi w:val="0"/>
              <w:spacing w:before="0" w:after="283"/>
              <w:jc w:val="left"/>
              <w:rPr/>
            </w:pPr>
            <w:r>
              <w:rPr/>
              <w:t> </w:t>
            </w:r>
          </w:p>
        </w:tc>
        <w:tc>
          <w:tcPr>
            <w:tcW w:w="1220" w:type="dxa"/>
            <w:tcBorders/>
            <w:shd w:fill="CCEEFF" w:val="clear"/>
            <w:tcMar>
              <w:top w:w="0" w:type="dxa"/>
            </w:tcMar>
            <w:vAlign w:val="bottom"/>
          </w:tcPr>
          <w:p>
            <w:pPr>
              <w:pStyle w:val="TableContents"/>
              <w:bidi w:val="0"/>
              <w:spacing w:before="0" w:after="283"/>
              <w:jc w:val="right"/>
              <w:rPr/>
            </w:pPr>
            <w:r>
              <w:rPr/>
              <w:t>443,215</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shd w:fill="CCEEFF" w:val="clear"/>
            <w:tcMar>
              <w:top w:w="0" w:type="dxa"/>
            </w:tcMar>
            <w:vAlign w:val="bottom"/>
          </w:tcPr>
          <w:p>
            <w:pPr>
              <w:pStyle w:val="TableContents"/>
              <w:bidi w:val="0"/>
              <w:spacing w:before="0" w:after="283"/>
              <w:jc w:val="left"/>
              <w:rPr/>
            </w:pPr>
            <w:r>
              <w:rPr/>
              <w:t> </w:t>
            </w:r>
          </w:p>
        </w:tc>
        <w:tc>
          <w:tcPr>
            <w:tcW w:w="559" w:type="dxa"/>
            <w:tcBorders/>
            <w:shd w:fill="CCEEFF" w:val="clear"/>
            <w:tcMar>
              <w:top w:w="0"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shd w:fill="CCEEFF" w:val="clear"/>
            <w:tcMar>
              <w:top w:w="0" w:type="dxa"/>
            </w:tcMar>
            <w:vAlign w:val="bottom"/>
          </w:tcPr>
          <w:p>
            <w:pPr>
              <w:pStyle w:val="TableContents"/>
              <w:bidi w:val="0"/>
              <w:spacing w:before="0" w:after="283"/>
              <w:jc w:val="left"/>
              <w:rPr/>
            </w:pPr>
            <w:r>
              <w:rPr/>
              <w:t> </w:t>
            </w:r>
          </w:p>
        </w:tc>
        <w:tc>
          <w:tcPr>
            <w:tcW w:w="937" w:type="dxa"/>
            <w:tcBorders/>
            <w:shd w:fill="CCEEFF" w:val="clear"/>
            <w:tcMar>
              <w:top w:w="0" w:type="dxa"/>
            </w:tcMar>
            <w:vAlign w:val="bottom"/>
          </w:tcPr>
          <w:p>
            <w:pPr>
              <w:pStyle w:val="TableContents"/>
              <w:bidi w:val="0"/>
              <w:spacing w:before="0" w:after="283"/>
              <w:jc w:val="right"/>
              <w:rPr/>
            </w:pPr>
            <w:r>
              <w:rPr/>
              <w:t>(640</w:t>
            </w:r>
          </w:p>
        </w:tc>
        <w:tc>
          <w:tcPr>
            <w:tcW w:w="95" w:type="dxa"/>
            <w:tcBorders/>
            <w:shd w:fill="CCEEFF" w:val="clear"/>
            <w:tcMar>
              <w:top w:w="0" w:type="dxa"/>
            </w:tcMar>
            <w:vAlign w:val="bottom"/>
          </w:tcPr>
          <w:p>
            <w:pPr>
              <w:pStyle w:val="TableContents"/>
              <w:bidi w:val="0"/>
              <w:spacing w:before="0" w:after="283"/>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shd w:fill="CCEEFF" w:val="clear"/>
            <w:tcMar>
              <w:top w:w="0" w:type="dxa"/>
            </w:tcMar>
            <w:vAlign w:val="bottom"/>
          </w:tcPr>
          <w:p>
            <w:pPr>
              <w:pStyle w:val="TableContents"/>
              <w:bidi w:val="0"/>
              <w:spacing w:before="0" w:after="283"/>
              <w:jc w:val="left"/>
              <w:rPr/>
            </w:pPr>
            <w:r>
              <w:rPr/>
              <w:t> </w:t>
            </w:r>
          </w:p>
        </w:tc>
        <w:tc>
          <w:tcPr>
            <w:tcW w:w="1182" w:type="dxa"/>
            <w:tcBorders/>
            <w:shd w:fill="CCEEFF" w:val="clear"/>
            <w:tcMar>
              <w:top w:w="0" w:type="dxa"/>
            </w:tcMar>
            <w:vAlign w:val="bottom"/>
          </w:tcPr>
          <w:p>
            <w:pPr>
              <w:pStyle w:val="TableContents"/>
              <w:bidi w:val="0"/>
              <w:spacing w:before="0" w:after="283"/>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shd w:fill="CCEEFF" w:val="clear"/>
            <w:tcMar>
              <w:top w:w="0" w:type="dxa"/>
            </w:tcMar>
            <w:vAlign w:val="bottom"/>
          </w:tcPr>
          <w:p>
            <w:pPr>
              <w:pStyle w:val="TableContents"/>
              <w:bidi w:val="0"/>
              <w:spacing w:before="0" w:after="283"/>
              <w:jc w:val="left"/>
              <w:rPr/>
            </w:pPr>
            <w:r>
              <w:rPr/>
              <w:t> </w:t>
            </w:r>
          </w:p>
        </w:tc>
        <w:tc>
          <w:tcPr>
            <w:tcW w:w="1170" w:type="dxa"/>
            <w:tcBorders/>
            <w:shd w:fill="CCEEFF" w:val="clear"/>
            <w:tcMar>
              <w:top w:w="0" w:type="dxa"/>
            </w:tcMar>
            <w:vAlign w:val="bottom"/>
          </w:tcPr>
          <w:p>
            <w:pPr>
              <w:pStyle w:val="TableContents"/>
              <w:bidi w:val="0"/>
              <w:spacing w:before="0" w:after="283"/>
              <w:jc w:val="right"/>
              <w:rPr/>
            </w:pPr>
            <w:r>
              <w:rPr/>
              <w:t>(640</w:t>
            </w:r>
          </w:p>
        </w:tc>
        <w:tc>
          <w:tcPr>
            <w:tcW w:w="96" w:type="dxa"/>
            <w:tcBorders/>
            <w:shd w:fill="CCEEFF" w:val="clear"/>
            <w:tcMar>
              <w:top w:w="0" w:type="dxa"/>
            </w:tcMar>
            <w:vAlign w:val="bottom"/>
          </w:tcPr>
          <w:p>
            <w:pPr>
              <w:pStyle w:val="TableContents"/>
              <w:bidi w:val="0"/>
              <w:spacing w:before="0" w:after="283"/>
              <w:jc w:val="left"/>
              <w:rPr/>
            </w:pPr>
            <w:r>
              <w:rPr/>
              <w:t>)</w:t>
            </w:r>
          </w:p>
        </w:tc>
      </w:tr>
      <w:tr>
        <w:trPr/>
        <w:tc>
          <w:tcPr>
            <w:tcW w:w="3515" w:type="dxa"/>
            <w:tcBorders/>
            <w:tcMar>
              <w:top w:w="0" w:type="dxa"/>
            </w:tcMar>
            <w:vAlign w:val="bottom"/>
          </w:tcPr>
          <w:p>
            <w:pPr>
              <w:pStyle w:val="TableContents"/>
              <w:bidi w:val="0"/>
              <w:spacing w:before="0" w:after="283"/>
              <w:jc w:val="left"/>
              <w:rPr/>
            </w:pPr>
            <w:r>
              <w:rPr/>
              <w:t>Exercise of stock options</w:t>
            </w:r>
          </w:p>
        </w:tc>
        <w:tc>
          <w:tcPr>
            <w:tcW w:w="60" w:type="dxa"/>
            <w:tcBorders/>
            <w:tcMar>
              <w:top w:w="0" w:type="dxa"/>
            </w:tcMar>
            <w:vAlign w:val="bottom"/>
          </w:tcPr>
          <w:p>
            <w:pPr>
              <w:pStyle w:val="TableContents"/>
              <w:bidi w:val="0"/>
              <w:spacing w:before="0" w:after="283"/>
              <w:jc w:val="right"/>
              <w:rPr/>
            </w:pPr>
            <w:r>
              <w:rPr/>
              <w:t> </w:t>
            </w:r>
          </w:p>
        </w:tc>
        <w:tc>
          <w:tcPr>
            <w:tcW w:w="60" w:type="dxa"/>
            <w:tcBorders/>
            <w:tcMar>
              <w:top w:w="0" w:type="dxa"/>
            </w:tcMar>
            <w:vAlign w:val="bottom"/>
          </w:tcPr>
          <w:p>
            <w:pPr>
              <w:pStyle w:val="TableContents"/>
              <w:bidi w:val="0"/>
              <w:spacing w:before="0" w:after="283"/>
              <w:jc w:val="left"/>
              <w:rPr/>
            </w:pPr>
            <w:r>
              <w:rPr/>
              <w:t> </w:t>
            </w:r>
          </w:p>
        </w:tc>
        <w:tc>
          <w:tcPr>
            <w:tcW w:w="1220" w:type="dxa"/>
            <w:tcBorders/>
            <w:tcMar>
              <w:top w:w="0" w:type="dxa"/>
            </w:tcMar>
            <w:vAlign w:val="bottom"/>
          </w:tcPr>
          <w:p>
            <w:pPr>
              <w:pStyle w:val="TableContents"/>
              <w:bidi w:val="0"/>
              <w:spacing w:before="0" w:after="283"/>
              <w:jc w:val="right"/>
              <w:rPr/>
            </w:pPr>
            <w:r>
              <w:rPr/>
              <w:t>2,443</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tcMar>
              <w:top w:w="0" w:type="dxa"/>
            </w:tcMar>
            <w:vAlign w:val="bottom"/>
          </w:tcPr>
          <w:p>
            <w:pPr>
              <w:pStyle w:val="TableContents"/>
              <w:bidi w:val="0"/>
              <w:spacing w:before="0" w:after="283"/>
              <w:jc w:val="left"/>
              <w:rPr/>
            </w:pPr>
            <w:r>
              <w:rPr/>
              <w:t> </w:t>
            </w:r>
          </w:p>
        </w:tc>
        <w:tc>
          <w:tcPr>
            <w:tcW w:w="559" w:type="dxa"/>
            <w:tcBorders/>
            <w:tcMar>
              <w:top w:w="0" w:type="dxa"/>
            </w:tcMar>
            <w:vAlign w:val="bottom"/>
          </w:tcPr>
          <w:p>
            <w:pPr>
              <w:pStyle w:val="TableContents"/>
              <w:bidi w:val="0"/>
              <w:spacing w:before="0" w:after="283"/>
              <w:jc w:val="right"/>
              <w:rPr/>
            </w:pPr>
            <w:r>
              <w:rPr/>
              <w:t>-</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tcMar>
              <w:top w:w="0" w:type="dxa"/>
            </w:tcMar>
            <w:vAlign w:val="bottom"/>
          </w:tcPr>
          <w:p>
            <w:pPr>
              <w:pStyle w:val="TableContents"/>
              <w:bidi w:val="0"/>
              <w:spacing w:before="0" w:after="283"/>
              <w:jc w:val="left"/>
              <w:rPr/>
            </w:pPr>
            <w:r>
              <w:rPr/>
              <w:t> </w:t>
            </w:r>
          </w:p>
        </w:tc>
        <w:tc>
          <w:tcPr>
            <w:tcW w:w="937"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88" w:type="dxa"/>
            <w:tcBorders/>
            <w:tcMar>
              <w:top w:w="0" w:type="dxa"/>
            </w:tcMar>
            <w:vAlign w:val="bottom"/>
          </w:tcPr>
          <w:p>
            <w:pPr>
              <w:pStyle w:val="TableContents"/>
              <w:bidi w:val="0"/>
              <w:spacing w:before="0" w:after="283"/>
              <w:jc w:val="left"/>
              <w:rPr/>
            </w:pPr>
            <w:r>
              <w:rPr/>
              <w:t> </w:t>
            </w:r>
          </w:p>
        </w:tc>
        <w:tc>
          <w:tcPr>
            <w:tcW w:w="1182" w:type="dxa"/>
            <w:tcBorders/>
            <w:tcMar>
              <w:top w:w="0" w:type="dxa"/>
            </w:tcMar>
            <w:vAlign w:val="bottom"/>
          </w:tcPr>
          <w:p>
            <w:pPr>
              <w:pStyle w:val="TableContents"/>
              <w:bidi w:val="0"/>
              <w:spacing w:before="0" w:after="283"/>
              <w:jc w:val="right"/>
              <w:rPr/>
            </w:pPr>
            <w:r>
              <w:rPr/>
              <w:t>-</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204" w:type="dxa"/>
            <w:tcBorders/>
            <w:tcMar>
              <w:top w:w="0" w:type="dxa"/>
            </w:tcMar>
            <w:vAlign w:val="bottom"/>
          </w:tcPr>
          <w:p>
            <w:pPr>
              <w:pStyle w:val="TableContents"/>
              <w:bidi w:val="0"/>
              <w:spacing w:before="0" w:after="283"/>
              <w:jc w:val="left"/>
              <w:rPr/>
            </w:pPr>
            <w:r>
              <w:rPr/>
              <w:t> </w:t>
            </w:r>
          </w:p>
        </w:tc>
        <w:tc>
          <w:tcPr>
            <w:tcW w:w="1170" w:type="dxa"/>
            <w:tcBorders/>
            <w:tcMar>
              <w:top w:w="0" w:type="dxa"/>
            </w:tcMar>
            <w:vAlign w:val="bottom"/>
          </w:tcPr>
          <w:p>
            <w:pPr>
              <w:pStyle w:val="TableContents"/>
              <w:bidi w:val="0"/>
              <w:spacing w:before="0" w:after="283"/>
              <w:jc w:val="right"/>
              <w:rPr/>
            </w:pPr>
            <w:r>
              <w:rPr/>
              <w:t>-</w:t>
            </w:r>
          </w:p>
        </w:tc>
        <w:tc>
          <w:tcPr>
            <w:tcW w:w="96" w:type="dxa"/>
            <w:tcBorders/>
            <w:tcMar>
              <w:top w:w="0" w:type="dxa"/>
            </w:tcMar>
            <w:vAlign w:val="bottom"/>
          </w:tcPr>
          <w:p>
            <w:pPr>
              <w:pStyle w:val="TableContents"/>
              <w:bidi w:val="0"/>
              <w:spacing w:before="0" w:after="283"/>
              <w:jc w:val="left"/>
              <w:rPr/>
            </w:pPr>
            <w:r>
              <w:rPr/>
              <w:t> </w:t>
            </w:r>
          </w:p>
        </w:tc>
      </w:tr>
      <w:tr>
        <w:trPr/>
        <w:tc>
          <w:tcPr>
            <w:tcW w:w="3515" w:type="dxa"/>
            <w:tcBorders/>
            <w:shd w:fill="CCEEFF" w:val="clear"/>
            <w:tcMar>
              <w:top w:w="0" w:type="dxa"/>
            </w:tcMar>
            <w:vAlign w:val="bottom"/>
          </w:tcPr>
          <w:p>
            <w:pPr>
              <w:pStyle w:val="TableContents"/>
              <w:bidi w:val="0"/>
              <w:spacing w:before="0" w:after="0"/>
              <w:ind w:left="180" w:right="0" w:hanging="180"/>
              <w:jc w:val="left"/>
              <w:rPr>
                <w:color w:val="000000"/>
              </w:rPr>
            </w:pPr>
            <w:r>
              <w:rPr>
                <w:color w:val="000000"/>
              </w:rPr>
              <w:t>Net loss</w:t>
            </w:r>
          </w:p>
        </w:tc>
        <w:tc>
          <w:tcPr>
            <w:tcW w:w="60" w:type="dxa"/>
            <w:tcBorders/>
            <w:shd w:fill="CCEEFF" w:val="clear"/>
            <w:tcMar>
              <w:top w:w="0"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bottom w:w="28" w:type="dxa"/>
            </w:tcMar>
            <w:vAlign w:val="bottom"/>
          </w:tcPr>
          <w:p>
            <w:pPr>
              <w:pStyle w:val="TableContents"/>
              <w:bidi w:val="0"/>
              <w:spacing w:before="0" w:after="283"/>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301"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w:t>
            </w:r>
          </w:p>
        </w:tc>
        <w:tc>
          <w:tcPr>
            <w:tcW w:w="60"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63"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w:t>
            </w:r>
          </w:p>
        </w:tc>
        <w:tc>
          <w:tcPr>
            <w:tcW w:w="95" w:type="dxa"/>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tcMar>
            <w:vAlign w:val="bottom"/>
          </w:tcPr>
          <w:p>
            <w:pPr>
              <w:pStyle w:val="TableContents"/>
              <w:bidi w:val="0"/>
              <w:spacing w:before="0" w:after="283"/>
              <w:jc w:val="right"/>
              <w:rPr/>
            </w:pPr>
            <w:r>
              <w:rPr/>
              <w:t> </w:t>
            </w:r>
          </w:p>
        </w:tc>
        <w:tc>
          <w:tcPr>
            <w:tcW w:w="188"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182"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(6,789</w:t>
            </w:r>
          </w:p>
        </w:tc>
        <w:tc>
          <w:tcPr>
            <w:tcW w:w="95" w:type="dxa"/>
            <w:tcBorders/>
            <w:shd w:fill="CCEEFF" w:val="clear"/>
            <w:tcMar>
              <w:top w:w="0" w:type="dxa"/>
            </w:tcMar>
            <w:vAlign w:val="bottom"/>
          </w:tcPr>
          <w:p>
            <w:pPr>
              <w:pStyle w:val="TableContents"/>
              <w:bidi w:val="0"/>
              <w:spacing w:before="0" w:after="0"/>
              <w:jc w:val="left"/>
              <w:rPr/>
            </w:pPr>
            <w:r>
              <w:rPr/>
              <w:t>)</w:t>
            </w:r>
          </w:p>
        </w:tc>
        <w:tc>
          <w:tcPr>
            <w:tcW w:w="60" w:type="dxa"/>
            <w:tcBorders/>
            <w:shd w:fill="CCEEFF" w:val="clear"/>
            <w:tcMar>
              <w:top w:w="0" w:type="dxa"/>
            </w:tcM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top w:w="0" w:type="dxa"/>
              <w:bottom w:w="28" w:type="dxa"/>
            </w:tcMar>
            <w:vAlign w:val="bottom"/>
          </w:tcPr>
          <w:p>
            <w:pPr>
              <w:pStyle w:val="TableContents"/>
              <w:bidi w:val="0"/>
              <w:spacing w:before="0" w:after="283"/>
              <w:jc w:val="left"/>
              <w:rPr/>
            </w:pPr>
            <w:r>
              <w:rPr/>
              <w:t> </w:t>
            </w:r>
          </w:p>
        </w:tc>
        <w:tc>
          <w:tcPr>
            <w:tcW w:w="1170" w:type="dxa"/>
            <w:tcBorders>
              <w:bottom w:val="single" w:sz="12" w:space="0" w:color="000000"/>
            </w:tcBorders>
            <w:shd w:fill="CCEEFF" w:val="clear"/>
            <w:tcMar>
              <w:top w:w="0" w:type="dxa"/>
              <w:bottom w:w="28" w:type="dxa"/>
            </w:tcMar>
            <w:vAlign w:val="bottom"/>
          </w:tcPr>
          <w:p>
            <w:pPr>
              <w:pStyle w:val="TableContents"/>
              <w:bidi w:val="0"/>
              <w:spacing w:before="0" w:after="0"/>
              <w:jc w:val="right"/>
              <w:rPr/>
            </w:pPr>
            <w:r>
              <w:rPr/>
              <w:t>(6,789</w:t>
            </w:r>
          </w:p>
        </w:tc>
        <w:tc>
          <w:tcPr>
            <w:tcW w:w="96" w:type="dxa"/>
            <w:tcBorders/>
            <w:shd w:fill="CCEEFF" w:val="clear"/>
            <w:tcMar>
              <w:top w:w="0" w:type="dxa"/>
            </w:tcMar>
            <w:vAlign w:val="bottom"/>
          </w:tcPr>
          <w:p>
            <w:pPr>
              <w:pStyle w:val="TableContents"/>
              <w:bidi w:val="0"/>
              <w:spacing w:before="0" w:after="0"/>
              <w:jc w:val="left"/>
              <w:rPr/>
            </w:pPr>
            <w:r>
              <w:rPr/>
              <w:t>)</w:t>
            </w:r>
          </w:p>
        </w:tc>
      </w:tr>
      <w:tr>
        <w:trPr/>
        <w:tc>
          <w:tcPr>
            <w:tcW w:w="3515" w:type="dxa"/>
            <w:tcBorders/>
            <w:tcMar>
              <w:top w:w="0" w:type="dxa"/>
            </w:tcMar>
            <w:vAlign w:val="bottom"/>
          </w:tcPr>
          <w:p>
            <w:pPr>
              <w:pStyle w:val="TableContents"/>
              <w:bidi w:val="0"/>
              <w:spacing w:before="0" w:after="0"/>
              <w:ind w:left="180" w:right="0" w:hanging="0"/>
              <w:jc w:val="left"/>
              <w:rPr>
                <w:b/>
                <w:color w:val="000000"/>
              </w:rPr>
            </w:pPr>
            <w:r>
              <w:rPr>
                <w:b/>
                <w:color w:val="000000"/>
              </w:rPr>
              <w:t>Balance at March 31, 2023</w:t>
            </w:r>
          </w:p>
        </w:tc>
        <w:tc>
          <w:tcPr>
            <w:tcW w:w="60" w:type="dxa"/>
            <w:tcBorders/>
            <w:tcMar>
              <w:top w:w="0" w:type="dxa"/>
            </w:tcMar>
            <w:vAlign w:val="bottom"/>
          </w:tcPr>
          <w:p>
            <w:pPr>
              <w:pStyle w:val="TableContents"/>
              <w:bidi w:val="0"/>
              <w:spacing w:before="0" w:after="283"/>
              <w:jc w:val="right"/>
              <w:rPr/>
            </w:pPr>
            <w:r>
              <w:rPr/>
              <w:t> </w:t>
            </w:r>
          </w:p>
        </w:tc>
        <w:tc>
          <w:tcPr>
            <w:tcW w:w="60" w:type="dxa"/>
            <w:tcBorders>
              <w:bottom w:val="double" w:sz="8" w:space="0" w:color="000000"/>
            </w:tcBorders>
            <w:tcMar>
              <w:top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top w:w="0" w:type="dxa"/>
              <w:bottom w:w="28" w:type="dxa"/>
            </w:tcMar>
            <w:vAlign w:val="bottom"/>
          </w:tcPr>
          <w:p>
            <w:pPr>
              <w:pStyle w:val="TableContents"/>
              <w:bidi w:val="0"/>
              <w:spacing w:before="0" w:after="0"/>
              <w:jc w:val="right"/>
              <w:rPr/>
            </w:pPr>
            <w:r>
              <w:rPr/>
              <w:t>222,262,588</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301"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559" w:type="dxa"/>
            <w:tcBorders>
              <w:bottom w:val="double" w:sz="8" w:space="0" w:color="000000"/>
            </w:tcBorders>
            <w:tcMar>
              <w:top w:w="0" w:type="dxa"/>
              <w:bottom w:w="28" w:type="dxa"/>
            </w:tcMar>
            <w:vAlign w:val="bottom"/>
          </w:tcPr>
          <w:p>
            <w:pPr>
              <w:pStyle w:val="TableContents"/>
              <w:bidi w:val="0"/>
              <w:spacing w:before="0" w:after="0"/>
              <w:jc w:val="right"/>
              <w:rPr/>
            </w:pPr>
            <w:r>
              <w:rPr/>
              <w:t>22</w:t>
            </w:r>
          </w:p>
        </w:tc>
        <w:tc>
          <w:tcPr>
            <w:tcW w:w="60"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63"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937" w:type="dxa"/>
            <w:tcBorders>
              <w:bottom w:val="double" w:sz="8" w:space="0" w:color="000000"/>
            </w:tcBorders>
            <w:tcMar>
              <w:top w:w="0" w:type="dxa"/>
              <w:bottom w:w="28" w:type="dxa"/>
            </w:tcMar>
            <w:vAlign w:val="bottom"/>
          </w:tcPr>
          <w:p>
            <w:pPr>
              <w:pStyle w:val="TableContents"/>
              <w:bidi w:val="0"/>
              <w:spacing w:before="0" w:after="0"/>
              <w:jc w:val="right"/>
              <w:rPr/>
            </w:pPr>
            <w:r>
              <w:rPr/>
              <w:t>630,439</w:t>
            </w:r>
          </w:p>
        </w:tc>
        <w:tc>
          <w:tcPr>
            <w:tcW w:w="95" w:type="dxa"/>
            <w:tcBorders/>
            <w:tcMar>
              <w:top w:w="0" w:type="dxa"/>
            </w:tcMar>
            <w:vAlign w:val="bottom"/>
          </w:tcPr>
          <w:p>
            <w:pPr>
              <w:pStyle w:val="TableContents"/>
              <w:bidi w:val="0"/>
              <w:spacing w:before="0" w:after="283"/>
              <w:jc w:val="left"/>
              <w:rPr/>
            </w:pPr>
            <w:r>
              <w:rPr/>
              <w:t> </w:t>
            </w:r>
          </w:p>
        </w:tc>
        <w:tc>
          <w:tcPr>
            <w:tcW w:w="60" w:type="dxa"/>
            <w:tcBorders/>
            <w:tcMar>
              <w:top w:w="0" w:type="dxa"/>
            </w:tcMar>
            <w:vAlign w:val="bottom"/>
          </w:tcPr>
          <w:p>
            <w:pPr>
              <w:pStyle w:val="TableContents"/>
              <w:bidi w:val="0"/>
              <w:spacing w:before="0" w:after="283"/>
              <w:jc w:val="right"/>
              <w:rPr/>
            </w:pPr>
            <w:r>
              <w:rPr/>
              <w:t> </w:t>
            </w:r>
          </w:p>
        </w:tc>
        <w:tc>
          <w:tcPr>
            <w:tcW w:w="188"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182" w:type="dxa"/>
            <w:tcBorders>
              <w:bottom w:val="double" w:sz="8" w:space="0" w:color="000000"/>
            </w:tcBorders>
            <w:tcMar>
              <w:top w:w="0" w:type="dxa"/>
              <w:bottom w:w="28" w:type="dxa"/>
            </w:tcMar>
            <w:vAlign w:val="bottom"/>
          </w:tcPr>
          <w:p>
            <w:pPr>
              <w:pStyle w:val="TableContents"/>
              <w:bidi w:val="0"/>
              <w:spacing w:before="0" w:after="0"/>
              <w:jc w:val="right"/>
              <w:rPr/>
            </w:pPr>
            <w:r>
              <w:rPr/>
              <w:t>(484,806</w:t>
            </w:r>
          </w:p>
        </w:tc>
        <w:tc>
          <w:tcPr>
            <w:tcW w:w="95" w:type="dxa"/>
            <w:tcBorders/>
            <w:tcMar>
              <w:top w:w="0" w:type="dxa"/>
            </w:tcMar>
            <w:vAlign w:val="bottom"/>
          </w:tcPr>
          <w:p>
            <w:pPr>
              <w:pStyle w:val="TableContents"/>
              <w:bidi w:val="0"/>
              <w:spacing w:before="0" w:after="0"/>
              <w:jc w:val="left"/>
              <w:rPr/>
            </w:pPr>
            <w:r>
              <w:rPr/>
              <w:t>)</w:t>
            </w:r>
          </w:p>
        </w:tc>
        <w:tc>
          <w:tcPr>
            <w:tcW w:w="60" w:type="dxa"/>
            <w:tcBorders/>
            <w:tcMar>
              <w:top w:w="0" w:type="dxa"/>
            </w:tcMar>
            <w:vAlign w:val="bottom"/>
          </w:tcPr>
          <w:p>
            <w:pPr>
              <w:pStyle w:val="TableContents"/>
              <w:bidi w:val="0"/>
              <w:spacing w:before="0" w:after="283"/>
              <w:jc w:val="right"/>
              <w:rPr/>
            </w:pPr>
            <w:r>
              <w:rPr/>
              <w:t> </w:t>
            </w:r>
          </w:p>
        </w:tc>
        <w:tc>
          <w:tcPr>
            <w:tcW w:w="204" w:type="dxa"/>
            <w:tcBorders>
              <w:bottom w:val="double" w:sz="8" w:space="0" w:color="000000"/>
            </w:tcBorders>
            <w:tcMar>
              <w:top w:w="0" w:type="dxa"/>
              <w:bottom w:w="28" w:type="dxa"/>
            </w:tcMar>
            <w:vAlign w:val="bottom"/>
          </w:tcPr>
          <w:p>
            <w:pPr>
              <w:pStyle w:val="TableContents"/>
              <w:bidi w:val="0"/>
              <w:spacing w:before="0" w:after="0"/>
              <w:jc w:val="left"/>
              <w:rPr/>
            </w:pPr>
            <w:r>
              <w:rPr/>
              <w:t>$</w:t>
            </w:r>
          </w:p>
        </w:tc>
        <w:tc>
          <w:tcPr>
            <w:tcW w:w="1170" w:type="dxa"/>
            <w:tcBorders>
              <w:bottom w:val="double" w:sz="8" w:space="0" w:color="000000"/>
            </w:tcBorders>
            <w:tcMar>
              <w:top w:w="0" w:type="dxa"/>
              <w:bottom w:w="28" w:type="dxa"/>
            </w:tcMar>
            <w:vAlign w:val="bottom"/>
          </w:tcPr>
          <w:p>
            <w:pPr>
              <w:pStyle w:val="TableContents"/>
              <w:bidi w:val="0"/>
              <w:spacing w:before="0" w:after="0"/>
              <w:jc w:val="right"/>
              <w:rPr/>
            </w:pPr>
            <w:r>
              <w:rPr/>
              <w:t>145,655</w:t>
            </w:r>
          </w:p>
        </w:tc>
        <w:tc>
          <w:tcPr>
            <w:tcW w:w="96" w:type="dxa"/>
            <w:tcBorders/>
            <w:tcMar>
              <w:top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condensed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CONSOLIDATED STATEMENTS OF CASH FLOWS</w:t>
      </w:r>
      <w:bookmarkStart w:id="6" w:name="CASHFLOWS"/>
      <w:bookmarkEnd w:id="6"/>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6639"/>
        <w:gridCol w:w="60"/>
        <w:gridCol w:w="220"/>
        <w:gridCol w:w="1192"/>
        <w:gridCol w:w="150"/>
        <w:gridCol w:w="94"/>
        <w:gridCol w:w="220"/>
        <w:gridCol w:w="1192"/>
        <w:gridCol w:w="438"/>
      </w:tblGrid>
      <w:tr>
        <w:trPr/>
        <w:tc>
          <w:tcPr>
            <w:tcW w:w="66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438"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438"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8" w:type="dxa"/>
            <w:gridSpan w:val="6"/>
            <w:tcBorders/>
            <w:vAlign w:val="bottom"/>
          </w:tcPr>
          <w:p>
            <w:pPr>
              <w:pStyle w:val="TableContents"/>
              <w:bidi w:val="0"/>
              <w:spacing w:before="0" w:after="283"/>
              <w:jc w:val="center"/>
              <w:rPr>
                <w:i/>
              </w:rPr>
            </w:pPr>
            <w:r>
              <w:rPr>
                <w:i/>
              </w:rPr>
              <w:t>(In thousands)</w:t>
            </w:r>
          </w:p>
        </w:tc>
        <w:tc>
          <w:tcPr>
            <w:tcW w:w="438"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144" w:right="0" w:hanging="144"/>
              <w:jc w:val="left"/>
              <w:rPr>
                <w:b/>
              </w:rPr>
            </w:pPr>
            <w:r>
              <w:rPr>
                <w:b/>
              </w:rPr>
              <w:t>CASH FLOWS FROM OPERATING ACTIVITIES:</w:t>
            </w:r>
          </w:p>
        </w:tc>
        <w:tc>
          <w:tcPr>
            <w:tcW w:w="60"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324" w:right="0" w:hanging="144"/>
              <w:jc w:val="left"/>
              <w:rPr/>
            </w:pPr>
            <w:r>
              <w:rPr/>
              <w:t>Net income (loss)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17,806</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0"/>
              <w:jc w:val="left"/>
              <w:rPr/>
            </w:pPr>
            <w:r>
              <w:rPr/>
              <w:t>$</w:t>
            </w:r>
          </w:p>
        </w:tc>
        <w:tc>
          <w:tcPr>
            <w:tcW w:w="1192" w:type="dxa"/>
            <w:tcBorders/>
            <w:shd w:fill="CCEEFF" w:val="clear"/>
            <w:vAlign w:val="bottom"/>
          </w:tcPr>
          <w:p>
            <w:pPr>
              <w:pStyle w:val="TableContents"/>
              <w:bidi w:val="0"/>
              <w:spacing w:before="0" w:after="0"/>
              <w:jc w:val="right"/>
              <w:rPr/>
            </w:pPr>
            <w:r>
              <w:rPr/>
              <w:t>(6,789</w:t>
            </w:r>
          </w:p>
        </w:tc>
        <w:tc>
          <w:tcPr>
            <w:tcW w:w="438" w:type="dxa"/>
            <w:tcBorders/>
            <w:shd w:fill="CCEEFF" w:val="clear"/>
            <w:vAlign w:val="bottom"/>
          </w:tcPr>
          <w:p>
            <w:pPr>
              <w:pStyle w:val="TableContents"/>
              <w:bidi w:val="0"/>
              <w:spacing w:before="0" w:after="0"/>
              <w:jc w:val="left"/>
              <w:rPr/>
            </w:pPr>
            <w:r>
              <w:rPr/>
              <w:t>)</w:t>
            </w:r>
          </w:p>
        </w:tc>
      </w:tr>
      <w:tr>
        <w:trPr/>
        <w:tc>
          <w:tcPr>
            <w:tcW w:w="6639" w:type="dxa"/>
            <w:tcBorders/>
            <w:vAlign w:val="bottom"/>
          </w:tcPr>
          <w:p>
            <w:pPr>
              <w:pStyle w:val="TableContents"/>
              <w:bidi w:val="0"/>
              <w:spacing w:before="0" w:after="0"/>
              <w:ind w:left="324" w:right="0" w:hanging="144"/>
              <w:jc w:val="left"/>
              <w:rPr/>
            </w:pPr>
            <w:r>
              <w:rPr/>
              <w:t xml:space="preserve">Adjustments to reconcile net income (loss) to net cash used in operating activities: </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504" w:right="0" w:hanging="144"/>
              <w:jc w:val="left"/>
              <w:rPr/>
            </w:pPr>
            <w:r>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2,114</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2,033</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Loss on disposal of fixed assets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23</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18</w:t>
            </w:r>
          </w:p>
        </w:tc>
        <w:tc>
          <w:tcPr>
            <w:tcW w:w="438" w:type="dxa"/>
            <w:tcBorders/>
            <w:vAlign w:val="bottom"/>
          </w:tcPr>
          <w:p>
            <w:pPr>
              <w:pStyle w:val="TableContents"/>
              <w:bidi w:val="0"/>
              <w:spacing w:before="0" w:after="283"/>
              <w:ind w:left="0" w:right="0" w:firstLine="360"/>
              <w:jc w:val="left"/>
              <w:rPr/>
            </w:pPr>
            <w:r>
              <w:rPr/>
              <w:t> </w:t>
            </w:r>
          </w:p>
        </w:tc>
      </w:tr>
      <w:tr>
        <w:trPr/>
        <w:tc>
          <w:tcPr>
            <w:tcW w:w="6639" w:type="dxa"/>
            <w:tcBorders/>
            <w:shd w:fill="CCEEFF" w:val="clear"/>
            <w:vAlign w:val="bottom"/>
          </w:tcPr>
          <w:p>
            <w:pPr>
              <w:pStyle w:val="TableContents"/>
              <w:bidi w:val="0"/>
              <w:spacing w:before="0" w:after="283"/>
              <w:jc w:val="left"/>
              <w:rPr/>
            </w:pPr>
            <w:r>
              <w:rPr/>
              <w:t>Interest paid in kind</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980</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Stock-based compensation</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2,141</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1,110</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504" w:right="0" w:hanging="144"/>
              <w:jc w:val="left"/>
              <w:rPr/>
            </w:pPr>
            <w:r>
              <w:rPr/>
              <w:t>Amortization of debt discount</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253</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488</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Amortization of license revenue</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(36</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(36</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324" w:right="0" w:hanging="144"/>
              <w:jc w:val="left"/>
              <w:rPr/>
            </w:pPr>
            <w:r>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Accounts receivable</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(22,200</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(11,013</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504" w:right="0" w:hanging="144"/>
              <w:jc w:val="left"/>
              <w:rPr/>
            </w:pPr>
            <w:r>
              <w:rPr/>
              <w:t>Inventories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(4,826</w:t>
            </w:r>
          </w:p>
        </w:tc>
        <w:tc>
          <w:tcPr>
            <w:tcW w:w="150" w:type="dxa"/>
            <w:tcBorders/>
            <w:shd w:fill="CCEEFF" w:val="clear"/>
            <w:vAlign w:val="bottom"/>
          </w:tcPr>
          <w:p>
            <w:pPr>
              <w:pStyle w:val="TableContents"/>
              <w:bidi w:val="0"/>
              <w:spacing w:before="0" w:after="0"/>
              <w:jc w:val="left"/>
              <w:rPr/>
            </w:pPr>
            <w:r>
              <w:rPr/>
              <w:t>)</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(705</w:t>
            </w:r>
          </w:p>
        </w:tc>
        <w:tc>
          <w:tcPr>
            <w:tcW w:w="438" w:type="dxa"/>
            <w:tcBorders/>
            <w:shd w:fill="CCEEFF" w:val="clear"/>
            <w:vAlign w:val="bottom"/>
          </w:tcPr>
          <w:p>
            <w:pPr>
              <w:pStyle w:val="TableContents"/>
              <w:bidi w:val="0"/>
              <w:spacing w:before="0" w:after="0"/>
              <w:jc w:val="left"/>
              <w:rPr/>
            </w:pPr>
            <w:r>
              <w:rPr/>
              <w:t>)</w:t>
            </w:r>
          </w:p>
        </w:tc>
      </w:tr>
      <w:tr>
        <w:trPr/>
        <w:tc>
          <w:tcPr>
            <w:tcW w:w="6639" w:type="dxa"/>
            <w:tcBorders/>
            <w:vAlign w:val="bottom"/>
          </w:tcPr>
          <w:p>
            <w:pPr>
              <w:pStyle w:val="TableContents"/>
              <w:bidi w:val="0"/>
              <w:spacing w:before="0" w:after="0"/>
              <w:ind w:left="504" w:right="0" w:hanging="144"/>
              <w:jc w:val="left"/>
              <w:rPr/>
            </w:pPr>
            <w:r>
              <w:rPr/>
              <w:t>Prepaid expenses and other current assets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1,593</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716</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504" w:right="0" w:hanging="144"/>
              <w:jc w:val="left"/>
              <w:rPr/>
            </w:pPr>
            <w:r>
              <w:rPr/>
              <w:t>Deposits and other assets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(982</w:t>
            </w:r>
          </w:p>
        </w:tc>
        <w:tc>
          <w:tcPr>
            <w:tcW w:w="150" w:type="dxa"/>
            <w:tcBorders/>
            <w:shd w:fill="CCEEFF" w:val="clear"/>
            <w:vAlign w:val="bottom"/>
          </w:tcPr>
          <w:p>
            <w:pPr>
              <w:pStyle w:val="TableContents"/>
              <w:bidi w:val="0"/>
              <w:spacing w:before="0" w:after="0"/>
              <w:jc w:val="left"/>
              <w:rPr/>
            </w:pPr>
            <w:r>
              <w:rPr/>
              <w:t>)</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289</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Accounts payable</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447</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(273</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504" w:right="0" w:hanging="144"/>
              <w:jc w:val="left"/>
              <w:rPr/>
            </w:pPr>
            <w:r>
              <w:rPr/>
              <w:t>Accrued expenses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772</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(1,354</w:t>
            </w:r>
          </w:p>
        </w:tc>
        <w:tc>
          <w:tcPr>
            <w:tcW w:w="438" w:type="dxa"/>
            <w:tcBorders/>
            <w:shd w:fill="CCEEFF" w:val="clear"/>
            <w:vAlign w:val="bottom"/>
          </w:tcPr>
          <w:p>
            <w:pPr>
              <w:pStyle w:val="TableContents"/>
              <w:bidi w:val="0"/>
              <w:spacing w:before="0" w:after="0"/>
              <w:jc w:val="left"/>
              <w:rPr/>
            </w:pPr>
            <w:r>
              <w:rPr/>
              <w:t>)</w:t>
            </w:r>
          </w:p>
        </w:tc>
      </w:tr>
      <w:tr>
        <w:trPr/>
        <w:tc>
          <w:tcPr>
            <w:tcW w:w="6639" w:type="dxa"/>
            <w:tcBorders/>
            <w:vAlign w:val="bottom"/>
          </w:tcPr>
          <w:p>
            <w:pPr>
              <w:pStyle w:val="TableContents"/>
              <w:bidi w:val="0"/>
              <w:spacing w:before="0" w:after="0"/>
              <w:ind w:left="504" w:right="0" w:hanging="144"/>
              <w:jc w:val="left"/>
              <w:rPr/>
            </w:pPr>
            <w:r>
              <w:rPr/>
              <w:t>Other current and non-current liabilities</w:t>
            </w:r>
          </w:p>
        </w:tc>
        <w:tc>
          <w:tcPr>
            <w:tcW w:w="60"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677</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(187</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504" w:right="0" w:hanging="144"/>
              <w:jc w:val="left"/>
              <w:rPr/>
            </w:pPr>
            <w:r>
              <w:rPr/>
              <w:t>Net cash used in operating activities</w:t>
            </w:r>
          </w:p>
        </w:tc>
        <w:tc>
          <w:tcPr>
            <w:tcW w:w="60"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0"/>
              <w:jc w:val="right"/>
              <w:rPr/>
            </w:pPr>
            <w:r>
              <w:rPr/>
              <w:t>(2,218</w:t>
            </w:r>
          </w:p>
        </w:tc>
        <w:tc>
          <w:tcPr>
            <w:tcW w:w="150" w:type="dxa"/>
            <w:tcBorders/>
            <w:shd w:fill="CCEEFF" w:val="clear"/>
            <w:vAlign w:val="bottom"/>
          </w:tcPr>
          <w:p>
            <w:pPr>
              <w:pStyle w:val="TableContents"/>
              <w:bidi w:val="0"/>
              <w:spacing w:before="0" w:after="0"/>
              <w:jc w:val="left"/>
              <w:rPr/>
            </w:pPr>
            <w:r>
              <w:rPr/>
              <w:t>)</w:t>
            </w:r>
          </w:p>
        </w:tc>
        <w:tc>
          <w:tcPr>
            <w:tcW w:w="94"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0"/>
              <w:jc w:val="right"/>
              <w:rPr/>
            </w:pPr>
            <w:r>
              <w:rPr/>
              <w:t>(14,723</w:t>
            </w:r>
          </w:p>
        </w:tc>
        <w:tc>
          <w:tcPr>
            <w:tcW w:w="438" w:type="dxa"/>
            <w:tcBorders/>
            <w:shd w:fill="CCEEFF" w:val="clear"/>
            <w:vAlign w:val="bottom"/>
          </w:tcPr>
          <w:p>
            <w:pPr>
              <w:pStyle w:val="TableContents"/>
              <w:bidi w:val="0"/>
              <w:spacing w:before="0" w:after="0"/>
              <w:jc w:val="left"/>
              <w:rPr/>
            </w:pPr>
            <w:r>
              <w:rPr/>
              <w:t>)</w:t>
            </w:r>
          </w:p>
        </w:tc>
      </w:tr>
      <w:tr>
        <w:trPr/>
        <w:tc>
          <w:tcPr>
            <w:tcW w:w="66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144" w:right="0" w:hanging="144"/>
              <w:jc w:val="left"/>
              <w:rPr>
                <w:b/>
              </w:rPr>
            </w:pPr>
            <w:r>
              <w:rPr>
                <w:b/>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Purchase of property and equipment</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(2,347</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(1,945</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360" w:right="0" w:hanging="0"/>
              <w:jc w:val="left"/>
              <w:rPr/>
            </w:pPr>
            <w:r>
              <w:rPr/>
              <w:t>Acquisition of intangible assets</w:t>
            </w:r>
          </w:p>
        </w:tc>
        <w:tc>
          <w:tcPr>
            <w:tcW w:w="60"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283"/>
              <w:jc w:val="right"/>
              <w:rPr/>
            </w:pPr>
            <w:r>
              <w:rPr/>
              <w:t>(15</w:t>
            </w:r>
          </w:p>
        </w:tc>
        <w:tc>
          <w:tcPr>
            <w:tcW w:w="150" w:type="dxa"/>
            <w:tcBorders/>
            <w:shd w:fill="CCEEFF" w:val="clear"/>
            <w:vAlign w:val="bottom"/>
          </w:tcPr>
          <w:p>
            <w:pPr>
              <w:pStyle w:val="TableContents"/>
              <w:bidi w:val="0"/>
              <w:spacing w:before="0" w:after="283"/>
              <w:jc w:val="left"/>
              <w:rPr/>
            </w:pPr>
            <w:r>
              <w:rPr/>
              <w:t>)</w:t>
            </w:r>
          </w:p>
        </w:tc>
        <w:tc>
          <w:tcPr>
            <w:tcW w:w="94"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Net cash used in investing activities</w:t>
            </w:r>
          </w:p>
        </w:tc>
        <w:tc>
          <w:tcPr>
            <w:tcW w:w="60"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(2,362</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(1,945</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144" w:right="0" w:hanging="144"/>
              <w:jc w:val="left"/>
              <w:rPr>
                <w:b/>
              </w:rPr>
            </w:pPr>
            <w:r>
              <w:rPr>
                <w:b/>
              </w:rPr>
              <w:t>CASH FLOWS FROM FINANCING ACTIVITIES: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438" w:type="dxa"/>
            <w:tcBorders/>
            <w:vAlign w:val="bottom"/>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ind w:left="504" w:right="0" w:hanging="144"/>
              <w:jc w:val="left"/>
              <w:rPr/>
            </w:pPr>
            <w:r>
              <w:rPr/>
              <w:t>Taxes paid on vested Restricted Stock Units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(2,476</w:t>
            </w:r>
          </w:p>
        </w:tc>
        <w:tc>
          <w:tcPr>
            <w:tcW w:w="150" w:type="dxa"/>
            <w:tcBorders/>
            <w:shd w:fill="CCEEFF" w:val="clear"/>
            <w:vAlign w:val="bottom"/>
          </w:tcPr>
          <w:p>
            <w:pPr>
              <w:pStyle w:val="TableContents"/>
              <w:bidi w:val="0"/>
              <w:spacing w:before="0" w:after="0"/>
              <w:jc w:val="left"/>
              <w:rPr/>
            </w:pPr>
            <w:r>
              <w:rPr/>
              <w:t>)</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0"/>
              <w:jc w:val="right"/>
              <w:rPr/>
            </w:pPr>
            <w:r>
              <w:rPr/>
              <w:t>(640</w:t>
            </w:r>
          </w:p>
        </w:tc>
        <w:tc>
          <w:tcPr>
            <w:tcW w:w="438" w:type="dxa"/>
            <w:tcBorders/>
            <w:shd w:fill="CCEEFF" w:val="clear"/>
            <w:vAlign w:val="bottom"/>
          </w:tcPr>
          <w:p>
            <w:pPr>
              <w:pStyle w:val="TableContents"/>
              <w:bidi w:val="0"/>
              <w:spacing w:before="0" w:after="0"/>
              <w:jc w:val="left"/>
              <w:rPr/>
            </w:pPr>
            <w:r>
              <w:rPr/>
              <w:t>)</w:t>
            </w:r>
          </w:p>
        </w:tc>
      </w:tr>
      <w:tr>
        <w:trPr/>
        <w:tc>
          <w:tcPr>
            <w:tcW w:w="6639" w:type="dxa"/>
            <w:tcBorders/>
            <w:vAlign w:val="bottom"/>
          </w:tcPr>
          <w:p>
            <w:pPr>
              <w:pStyle w:val="TableContents"/>
              <w:bidi w:val="0"/>
              <w:spacing w:before="0" w:after="0"/>
              <w:ind w:left="504" w:right="0" w:hanging="144"/>
              <w:jc w:val="left"/>
              <w:rPr/>
            </w:pPr>
            <w:r>
              <w:rPr/>
              <w:t>Payments on finance lease obligations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(10</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283"/>
              <w:jc w:val="left"/>
              <w:rPr/>
            </w:pPr>
            <w:r>
              <w:rPr/>
              <w:t xml:space="preserve">       </w:t>
            </w:r>
            <w:r>
              <w:rPr/>
              <w:t>Net proceeds from the exercise of stock options</w:t>
            </w:r>
          </w:p>
        </w:tc>
        <w:tc>
          <w:tcPr>
            <w:tcW w:w="60"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283"/>
              <w:jc w:val="right"/>
              <w:rPr/>
            </w:pPr>
            <w:r>
              <w:rPr/>
              <w:t>1,029</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504" w:right="0" w:hanging="144"/>
              <w:jc w:val="left"/>
              <w:rPr/>
            </w:pPr>
            <w:r>
              <w:rPr/>
              <w:t>Net cash used in financing activities</w:t>
            </w:r>
          </w:p>
        </w:tc>
        <w:tc>
          <w:tcPr>
            <w:tcW w:w="60"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(1,447</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(650</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144" w:right="0" w:hanging="144"/>
              <w:jc w:val="left"/>
              <w:rPr>
                <w:b/>
              </w:rPr>
            </w:pPr>
            <w:r>
              <w:rPr>
                <w:b/>
              </w:rPr>
              <w:t>Net decrease in cash and cash equivalents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(6,027</w:t>
            </w:r>
          </w:p>
        </w:tc>
        <w:tc>
          <w:tcPr>
            <w:tcW w:w="150" w:type="dxa"/>
            <w:tcBorders/>
            <w:vAlign w:val="bottom"/>
          </w:tcPr>
          <w:p>
            <w:pPr>
              <w:pStyle w:val="TableContents"/>
              <w:bidi w:val="0"/>
              <w:spacing w:before="0" w:after="0"/>
              <w:jc w:val="left"/>
              <w:rPr/>
            </w:pPr>
            <w:r>
              <w:rPr/>
              <w:t>)</w:t>
            </w:r>
          </w:p>
        </w:tc>
        <w:tc>
          <w:tcPr>
            <w:tcW w:w="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0"/>
              <w:jc w:val="right"/>
              <w:rPr/>
            </w:pPr>
            <w:r>
              <w:rPr/>
              <w:t>(17,318</w:t>
            </w:r>
          </w:p>
        </w:tc>
        <w:tc>
          <w:tcPr>
            <w:tcW w:w="438" w:type="dxa"/>
            <w:tcBorders/>
            <w:vAlign w:val="bottom"/>
          </w:tcPr>
          <w:p>
            <w:pPr>
              <w:pStyle w:val="TableContents"/>
              <w:bidi w:val="0"/>
              <w:spacing w:before="0" w:after="0"/>
              <w:jc w:val="left"/>
              <w:rPr/>
            </w:pPr>
            <w:r>
              <w:rPr/>
              <w:t>)</w:t>
            </w:r>
          </w:p>
        </w:tc>
      </w:tr>
      <w:tr>
        <w:trPr/>
        <w:tc>
          <w:tcPr>
            <w:tcW w:w="6639" w:type="dxa"/>
            <w:tcBorders/>
            <w:shd w:fill="CCEEFF" w:val="clear"/>
            <w:vAlign w:val="bottom"/>
          </w:tcPr>
          <w:p>
            <w:pPr>
              <w:pStyle w:val="TableContents"/>
              <w:bidi w:val="0"/>
              <w:spacing w:before="0" w:after="0"/>
              <w:ind w:left="144" w:right="0" w:hanging="144"/>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0"/>
              <w:jc w:val="right"/>
              <w:rPr/>
            </w:pPr>
            <w:r>
              <w:rPr/>
              <w:t>51,352</w:t>
            </w:r>
          </w:p>
        </w:tc>
        <w:tc>
          <w:tcPr>
            <w:tcW w:w="1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bottom"/>
          </w:tcPr>
          <w:p>
            <w:pPr>
              <w:pStyle w:val="TableContents"/>
              <w:bidi w:val="0"/>
              <w:spacing w:before="0" w:after="0"/>
              <w:jc w:val="right"/>
              <w:rPr/>
            </w:pPr>
            <w:r>
              <w:rPr/>
              <w:t>86,522</w:t>
            </w:r>
          </w:p>
        </w:tc>
        <w:tc>
          <w:tcPr>
            <w:tcW w:w="438"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ind w:left="144" w:right="0" w:hanging="144"/>
              <w:jc w:val="left"/>
              <w:rPr>
                <w:b/>
              </w:rPr>
            </w:pPr>
            <w:r>
              <w:rPr>
                <w:b/>
              </w:rPr>
              <w:t>Cash and cash equivalents - end of period</w:t>
            </w:r>
          </w:p>
        </w:tc>
        <w:tc>
          <w:tcPr>
            <w:tcW w:w="60" w:type="dxa"/>
            <w:tcBorders/>
            <w:vAlign w:val="bottom"/>
          </w:tcPr>
          <w:p>
            <w:pPr>
              <w:pStyle w:val="TableContents"/>
              <w:bidi w:val="0"/>
              <w:spacing w:before="0" w:after="283"/>
              <w:jc w:val="right"/>
              <w:rPr/>
            </w:pPr>
            <w:r>
              <w:rPr/>
              <w:t> </w:t>
            </w:r>
          </w:p>
        </w:tc>
        <w:tc>
          <w:tcPr>
            <w:tcW w:w="220" w:type="dxa"/>
            <w:tcBorders>
              <w:bottom w:val="double" w:sz="8" w:space="0" w:color="000000"/>
            </w:tcBorders>
            <w:tcMar>
              <w:bottom w:w="28" w:type="dxa"/>
            </w:tcMar>
            <w:vAlign w:val="bottom"/>
          </w:tcPr>
          <w:p>
            <w:pPr>
              <w:pStyle w:val="TableContents"/>
              <w:bidi w:val="0"/>
              <w:spacing w:before="0" w:after="0"/>
              <w:jc w:val="left"/>
              <w:rPr/>
            </w:pPr>
            <w:r>
              <w:rPr/>
              <w:t>$</w:t>
            </w:r>
          </w:p>
        </w:tc>
        <w:tc>
          <w:tcPr>
            <w:tcW w:w="1192" w:type="dxa"/>
            <w:tcBorders>
              <w:bottom w:val="double" w:sz="8" w:space="0" w:color="000000"/>
            </w:tcBorders>
            <w:tcMar>
              <w:bottom w:w="28" w:type="dxa"/>
            </w:tcMar>
            <w:vAlign w:val="bottom"/>
          </w:tcPr>
          <w:p>
            <w:pPr>
              <w:pStyle w:val="TableContents"/>
              <w:bidi w:val="0"/>
              <w:spacing w:before="0" w:after="0"/>
              <w:jc w:val="right"/>
              <w:rPr/>
            </w:pPr>
            <w:r>
              <w:rPr/>
              <w:t>45,325</w:t>
            </w:r>
          </w:p>
        </w:tc>
        <w:tc>
          <w:tcPr>
            <w:tcW w:w="1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20" w:type="dxa"/>
            <w:tcBorders>
              <w:bottom w:val="double" w:sz="8" w:space="0" w:color="000000"/>
            </w:tcBorders>
            <w:tcMar>
              <w:bottom w:w="28" w:type="dxa"/>
            </w:tcMar>
            <w:vAlign w:val="bottom"/>
          </w:tcPr>
          <w:p>
            <w:pPr>
              <w:pStyle w:val="TableContents"/>
              <w:bidi w:val="0"/>
              <w:spacing w:before="0" w:after="0"/>
              <w:jc w:val="left"/>
              <w:rPr/>
            </w:pPr>
            <w:r>
              <w:rPr/>
              <w:t>$</w:t>
            </w:r>
          </w:p>
        </w:tc>
        <w:tc>
          <w:tcPr>
            <w:tcW w:w="1192" w:type="dxa"/>
            <w:tcBorders>
              <w:bottom w:val="double" w:sz="8" w:space="0" w:color="000000"/>
            </w:tcBorders>
            <w:tcMar>
              <w:bottom w:w="28" w:type="dxa"/>
            </w:tcMar>
            <w:vAlign w:val="bottom"/>
          </w:tcPr>
          <w:p>
            <w:pPr>
              <w:pStyle w:val="TableContents"/>
              <w:bidi w:val="0"/>
              <w:spacing w:before="0" w:after="0"/>
              <w:jc w:val="right"/>
              <w:rPr/>
            </w:pPr>
            <w:r>
              <w:rPr/>
              <w:t>69,204</w:t>
            </w:r>
          </w:p>
        </w:tc>
        <w:tc>
          <w:tcPr>
            <w:tcW w:w="43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condensed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w:t>
      </w:r>
      <w:bookmarkStart w:id="7" w:name="NOTESTOCONDENSEDCONSOLIDA"/>
      <w:bookmarkEnd w:id="7"/>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r>
    </w:p>
    <w:tbl>
      <w:tblPr>
        <w:tblW w:w="3190" w:type="dxa"/>
        <w:jc w:val="left"/>
        <w:tblInd w:w="0" w:type="dxa"/>
        <w:tblLayout w:type="fixed"/>
        <w:tblCellMar>
          <w:top w:w="0" w:type="dxa"/>
          <w:left w:w="0" w:type="dxa"/>
          <w:bottom w:w="0" w:type="dxa"/>
          <w:right w:w="0" w:type="dxa"/>
        </w:tblCellMar>
      </w:tblPr>
      <w:tblGrid>
        <w:gridCol w:w="185"/>
        <w:gridCol w:w="300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00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ORGANIZATION AND BUSINESS</w:t>
            </w:r>
          </w:p>
        </w:tc>
      </w:tr>
    </w:tbl>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ADMA Biologics, Inc. (“ADMA” or the “Company”) is an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ADMA operates through its wholly-owned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United States, all of which hold an approved license with the FDA.</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on April 1, 2019 and commenced first commercial sales in October 2019; (ii) BIVIGAM (Immune Globulin Intravenous, Human), an IVIG product indicated for the treatment of PI, and for which the Company received FDA approval on May 9,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March 31, 2024, the Company had working capital of $223.3 million, including $45.3 million of cash and cash equivalents, $49.6 million of accounts receivable and $177.7 million of inventories, partially offset by $53.1 million of current liabilities. Based upon the Company’s current projected revenue and expenditures, including capital expenditures and continued implementation of the Company’s commercialization and expansion activities, the Company’s management currently believes that its cash, cash equivalents and accounts receivable, along with its projected future operating cash flow, will be sufficient to fund ADMA’s operations, as currently conducted, through the end of the second quarter of 2025 and beyond. However, the Company’s current outlook on cash flows and profitability may change based upon several factors, including the success of the Company’s commercial sales of its products, whether or not the assumptions underlying the Company’s projected revenues and expenses are correct and the continued acceptability of ADMA’s immune globulin products by physicians, patients and payers.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ADMA continues to evaluate a variety of strategic alternatives, and the exploration of value-creating opportunities remains a top corporate priority.</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501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SUMMARY OF SIGNIFICANT ACCOUNTING POLICIES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Basis of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unaudited condensed consolidated financial statements should be read in conjunction with the annual audited consolidated financial statements and notes thereto as of and for the year ended December 31, 2023 included in the Company’s Annual Report on Form 10-K filed with the U.S. Securities and Exchange Commission (the “SEC”) on February 28, 2024.  The accompanying consolidated balance sheet as of December 31, 2023 was derived from the audited financial statements as of and for the year ended December 31, 2023. These condensed consolidated interim financial statements have been prepared in accordance with the instructions to Form 10-Q and Article 3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2024 and its results of operations, changes in stockholders’ equity and cash flows for the three months ended March 31, 2024 and 2023.</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three months ended March 31, 2024 and 2023, comprehensive income/loss was equal to the net income/loss amounts presented for the respective periods in the accompanying condensed consolidated statements of operations. Operating results for interim periods are not necessarily indicative of the results that may be expected for the full fiscal year.</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Use of Estimates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valuation of inventory, assumptions used in projecting future liquidity and capital requirements, assumptions used in the fair value of awards granted under the Company’s equity incentive plans and warrants issued in connection with the issuance of notes payable and estimates related to the valuation allowance for the Company’s deferred tax assets and its effective tax rate.</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Fair Value of Financial Instruments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credit facility (see Note 7) approximates fair value due to the variable interest rate on this debt.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Accounts Receivable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Accounts receivable is reported at realizable value, net of allowances for contractual credits and credit losses in the amount of $0.2 million and $0.1 million at March 31, 2024 and December 31, 2023, respectively, which are recognized in the period the related revenue is recorded. </w:t>
      </w:r>
      <w:r>
        <w:rPr>
          <w:rFonts w:ascii="Times New Roman" w:hAnsi="Times New Roman"/>
          <w:caps w:val="false"/>
          <w:smallCaps w:val="false"/>
          <w:color w:val="212529"/>
          <w:sz w:val="20"/>
          <w:shd w:fill="FFFFFF" w:val="clear"/>
        </w:rPr>
        <w:t>The Company extends credit to its customers based upon an evaluation of each customer’s financial condition and credit history. Evaluations of the financial condition, payment history and associated credit risk of customers are performed on an ongoing basis.</w:t>
      </w:r>
      <w:r>
        <w:rPr>
          <w:rFonts w:ascii="Times New Roman" w:hAnsi="Times New Roman"/>
          <w:caps w:val="false"/>
          <w:smallCaps w:val="false"/>
          <w:color w:val="000000"/>
          <w:sz w:val="20"/>
          <w:shd w:fill="FFFFFF" w:val="clear"/>
        </w:rPr>
        <w:t xml:space="preserve"> Based on these evaluations, the Company has concluded that its credit risk is minimal. At </w:t>
      </w:r>
      <w:r>
        <w:rPr>
          <w:rFonts w:ascii="Times New Roman" w:hAnsi="Times New Roman"/>
          <w:b w:val="false"/>
          <w:i w:val="false"/>
          <w:caps w:val="false"/>
          <w:smallCaps w:val="false"/>
          <w:color w:val="000000"/>
          <w:sz w:val="20"/>
          <w:shd w:fill="FFFFFF" w:val="clear"/>
        </w:rPr>
        <w:t>March 31, 2024</w:t>
      </w:r>
      <w:r>
        <w:rPr>
          <w:rFonts w:ascii="Times New Roman" w:hAnsi="Times New Roman"/>
          <w:caps w:val="false"/>
          <w:smallCaps w:val="false"/>
          <w:color w:val="000000"/>
          <w:sz w:val="20"/>
          <w:shd w:fill="FFFFFF" w:val="clear"/>
        </w:rPr>
        <w:t>, three customers accounted for an aggregate of approximately 87% of the Company’s total accounts receivable, and at December 31, 2023, five customers accounted for approximately 98% of the Company’s total accounts receivable.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Inventories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pStyle w:val="TextBody"/>
        <w:bidi w:val="0"/>
        <w:spacing w:before="0" w:after="0"/>
        <w:jc w:val="left"/>
        <w:rPr/>
      </w:pPr>
      <w:r>
        <w:rPr/>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Goodwill</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Goodwill represents the excess of purchase price over the fair value of net assets acquired by the Company. Goodwill at </w:t>
      </w:r>
      <w:r>
        <w:rPr>
          <w:rFonts w:ascii="Times New Roman" w:hAnsi="Times New Roman"/>
          <w:b w:val="false"/>
          <w:i w:val="false"/>
          <w:caps w:val="false"/>
          <w:smallCaps w:val="false"/>
          <w:color w:val="000000"/>
          <w:sz w:val="20"/>
          <w:shd w:fill="FFFFFF" w:val="clear"/>
        </w:rPr>
        <w:t>March 31, 2024</w:t>
      </w:r>
      <w:r>
        <w:rPr>
          <w:rFonts w:ascii="Times New Roman" w:hAnsi="Times New Roman"/>
          <w:caps w:val="false"/>
          <w:smallCaps w:val="false"/>
          <w:color w:val="000000"/>
          <w:sz w:val="20"/>
          <w:shd w:fill="FFFFFF" w:val="clear"/>
        </w:rPr>
        <w:t xml:space="preserve"> and December 31, 2023 was $3.5 million. All of the Company’s goodwill is attributable to its ADMA BioManufacturing business segment.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 did not </w:t>
      </w:r>
      <w:r>
        <w:rPr>
          <w:rFonts w:ascii="Times New Roman" w:hAnsi="Times New Roman"/>
          <w:b w:val="false"/>
          <w:i w:val="false"/>
          <w:caps w:val="false"/>
          <w:smallCaps w:val="false"/>
          <w:color w:val="000000"/>
          <w:spacing w:val="0"/>
          <w:sz w:val="20"/>
          <w:shd w:fill="FFFFFF" w:val="clear"/>
        </w:rPr>
        <w:t>record any impairment charges related to goodwill for the three months ended March 31, 2024 and 2023.</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Impairment of Long-Lived Assets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w:t>
      </w:r>
      <w:r>
        <w:rPr>
          <w:rFonts w:ascii="Times New Roman" w:hAnsi="Times New Roman"/>
          <w:b w:val="false"/>
          <w:i w:val="false"/>
          <w:caps w:val="false"/>
          <w:smallCaps w:val="false"/>
          <w:color w:val="000000"/>
          <w:sz w:val="20"/>
          <w:shd w:fill="FFFFFF" w:val="clear"/>
        </w:rPr>
        <w:t>March 31, 2024</w:t>
      </w:r>
      <w:r>
        <w:rPr>
          <w:rFonts w:ascii="Times New Roman" w:hAnsi="Times New Roman"/>
          <w:caps w:val="false"/>
          <w:smallCaps w:val="false"/>
          <w:color w:val="000000"/>
          <w:sz w:val="20"/>
          <w:shd w:fill="FFFFFF" w:val="clear"/>
        </w:rPr>
        <w:t xml:space="preserve"> and 2023, the Company did not identify any impairment indicators for its long-lived assets, and as a result no impairment charges were recorded.</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Revenue Recognition</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Revenues for the three months ended March 31, 2024 and 2023 are comprised of (i) revenues from the sale of the Company’s immunoglobulin products, ASCENIV, BIVIGAM and Nabi-HB, </w:t>
      </w:r>
      <w:r>
        <w:rPr>
          <w:rFonts w:ascii="Times New Roman" w:hAnsi="Times New Roman"/>
          <w:caps w:val="false"/>
          <w:smallCaps w:val="false"/>
          <w:color w:val="000000"/>
          <w:sz w:val="20"/>
          <w:shd w:fill="FFFFFF" w:val="clear"/>
        </w:rPr>
        <w:t>(ii)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For the three months ended </w:t>
      </w:r>
      <w:r>
        <w:rPr>
          <w:rFonts w:ascii="Times New Roman" w:hAnsi="Times New Roman"/>
          <w:b w:val="false"/>
          <w:i w:val="false"/>
          <w:caps w:val="false"/>
          <w:smallCaps w:val="false"/>
          <w:color w:val="000000"/>
          <w:sz w:val="20"/>
          <w:shd w:fill="FFFFFF" w:val="clear"/>
        </w:rPr>
        <w:t>March 31, 2024</w:t>
      </w:r>
      <w:r>
        <w:rPr>
          <w:rFonts w:ascii="Times New Roman" w:hAnsi="Times New Roman"/>
          <w:b w:val="false"/>
          <w:i w:val="false"/>
          <w:caps w:val="false"/>
          <w:smallCaps w:val="false"/>
          <w:color w:val="000000"/>
          <w:spacing w:val="0"/>
          <w:sz w:val="20"/>
          <w:shd w:fill="FFFFFF" w:val="clear"/>
        </w:rPr>
        <w:t>,</w:t>
      </w:r>
      <w:r>
        <w:rPr>
          <w:rFonts w:ascii="Times New Roman" w:hAnsi="Times New Roman"/>
          <w:caps w:val="false"/>
          <w:smallCaps w:val="false"/>
          <w:color w:val="000000"/>
          <w:sz w:val="20"/>
          <w:shd w:fill="FFFFFF" w:val="clear"/>
        </w:rPr>
        <w:t xml:space="preserve"> two customers represented an aggregate of approximately 70% of the Company’s consolidated revenues. For the three months ended </w:t>
      </w:r>
      <w:r>
        <w:rPr>
          <w:rFonts w:ascii="Times New Roman" w:hAnsi="Times New Roman"/>
          <w:b w:val="false"/>
          <w:i w:val="false"/>
          <w:caps w:val="false"/>
          <w:smallCaps w:val="false"/>
          <w:color w:val="000000"/>
          <w:sz w:val="20"/>
          <w:shd w:fill="FFFFFF" w:val="clear"/>
        </w:rPr>
        <w:t>March 31, 2023</w:t>
      </w:r>
      <w:r>
        <w:rPr>
          <w:rFonts w:ascii="Times New Roman" w:hAnsi="Times New Roman"/>
          <w:caps w:val="false"/>
          <w:smallCaps w:val="false"/>
          <w:color w:val="000000"/>
          <w:sz w:val="20"/>
          <w:shd w:fill="FFFFFF" w:val="clear"/>
        </w:rPr>
        <w:t>, three customers represented an aggregate of 76% of the Company’s consolidated revenues.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Cost of Product Revenue</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Cost of product revenue includes costs associated with the manufacture of the Company’s FDA-approved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Earnings/loss Per Common Share</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Basic earnings/loss per common share is computed by dividing net earnings/loss attributable to common stockholders by the weighted average number of shares of common stock outstanding during the period.  Diluted earnings/loss per common share is calculated by dividing net earnings/loss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as well as Restricted Stock Units (“RSUs”), using the treasury stock method. Potentially dilutive common stock is excluded from the diluted earnings/loss per common share computation to the extent that it would be anti-dilutive. For the three months ended March 31, 2024, basic and diluted earnings per share is calculated as follows: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r>
    </w:p>
    <w:tbl>
      <w:tblPr>
        <w:tblW w:w="9810" w:type="dxa"/>
        <w:jc w:val="left"/>
        <w:tblInd w:w="0" w:type="dxa"/>
        <w:tblLayout w:type="fixed"/>
        <w:tblCellMar>
          <w:top w:w="0" w:type="dxa"/>
          <w:left w:w="0" w:type="dxa"/>
          <w:bottom w:w="0" w:type="dxa"/>
          <w:right w:w="0" w:type="dxa"/>
        </w:tblCellMar>
      </w:tblPr>
      <w:tblGrid>
        <w:gridCol w:w="8315"/>
        <w:gridCol w:w="60"/>
        <w:gridCol w:w="140"/>
        <w:gridCol w:w="1220"/>
        <w:gridCol w:w="75"/>
      </w:tblGrid>
      <w:tr>
        <w:trPr/>
        <w:tc>
          <w:tcPr>
            <w:tcW w:w="83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available to common stockholders ($000’s) (numerator)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17,806</w:t>
            </w:r>
          </w:p>
        </w:tc>
        <w:tc>
          <w:tcPr>
            <w:tcW w:w="75" w:type="dxa"/>
            <w:tcBorders/>
            <w:shd w:fill="CCEEFF" w:val="clear"/>
            <w:vAlign w:val="bottom"/>
          </w:tcPr>
          <w:p>
            <w:pPr>
              <w:pStyle w:val="TableContents"/>
              <w:bidi w:val="0"/>
              <w:spacing w:before="0" w:after="283"/>
              <w:jc w:val="left"/>
              <w:rPr/>
            </w:pPr>
            <w:r>
              <w:rPr/>
              <w:t> </w:t>
            </w:r>
          </w:p>
        </w:tc>
      </w:tr>
      <w:tr>
        <w:trPr/>
        <w:tc>
          <w:tcPr>
            <w:tcW w:w="83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number of common shares (denominator)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228,874,847</w:t>
            </w:r>
          </w:p>
        </w:tc>
        <w:tc>
          <w:tcPr>
            <w:tcW w:w="75" w:type="dxa"/>
            <w:tcBorders/>
            <w:vAlign w:val="bottom"/>
          </w:tcPr>
          <w:p>
            <w:pPr>
              <w:pStyle w:val="TableContents"/>
              <w:bidi w:val="0"/>
              <w:spacing w:before="0" w:after="283"/>
              <w:jc w:val="left"/>
              <w:rPr/>
            </w:pPr>
            <w:r>
              <w:rPr/>
              <w:t> </w:t>
            </w:r>
          </w:p>
        </w:tc>
      </w:tr>
      <w:tr>
        <w:trPr/>
        <w:tc>
          <w:tcPr>
            <w:tcW w:w="83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Basic earnings per common shares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before="0" w:after="283"/>
              <w:jc w:val="right"/>
              <w:rPr/>
            </w:pPr>
            <w:r>
              <w:rPr/>
              <w:t>0.08</w:t>
            </w:r>
          </w:p>
        </w:tc>
        <w:tc>
          <w:tcPr>
            <w:tcW w:w="75" w:type="dxa"/>
            <w:tcBorders/>
            <w:shd w:fill="CCEEFF" w:val="clear"/>
            <w:vAlign w:val="bottom"/>
          </w:tcPr>
          <w:p>
            <w:pPr>
              <w:pStyle w:val="TableContents"/>
              <w:bidi w:val="0"/>
              <w:spacing w:before="0" w:after="283"/>
              <w:jc w:val="left"/>
              <w:rPr/>
            </w:pPr>
            <w:r>
              <w:rPr/>
              <w:t> </w:t>
            </w:r>
          </w:p>
        </w:tc>
      </w:tr>
      <w:tr>
        <w:trPr/>
        <w:tc>
          <w:tcPr>
            <w:tcW w:w="831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83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number of common shares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228,874,847</w:t>
            </w:r>
          </w:p>
        </w:tc>
        <w:tc>
          <w:tcPr>
            <w:tcW w:w="75" w:type="dxa"/>
            <w:tcBorders/>
            <w:shd w:fill="CCEEFF" w:val="clear"/>
            <w:vAlign w:val="bottom"/>
          </w:tcPr>
          <w:p>
            <w:pPr>
              <w:pStyle w:val="TableContents"/>
              <w:bidi w:val="0"/>
              <w:spacing w:before="0" w:after="283"/>
              <w:jc w:val="left"/>
              <w:rPr/>
            </w:pPr>
            <w:r>
              <w:rPr/>
              <w:t> </w:t>
            </w:r>
          </w:p>
        </w:tc>
      </w:tr>
      <w:tr>
        <w:trPr/>
        <w:tc>
          <w:tcPr>
            <w:tcW w:w="83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Potential shares of common stock arising from outstanding stock options, warrants and unvested RSUs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7,539,527</w:t>
            </w:r>
          </w:p>
        </w:tc>
        <w:tc>
          <w:tcPr>
            <w:tcW w:w="75" w:type="dxa"/>
            <w:tcBorders/>
            <w:vAlign w:val="bottom"/>
          </w:tcPr>
          <w:p>
            <w:pPr>
              <w:pStyle w:val="TableContents"/>
              <w:bidi w:val="0"/>
              <w:spacing w:before="0" w:after="283"/>
              <w:jc w:val="left"/>
              <w:rPr/>
            </w:pPr>
            <w:r>
              <w:rPr/>
              <w:t> </w:t>
            </w:r>
          </w:p>
        </w:tc>
      </w:tr>
      <w:tr>
        <w:trPr/>
        <w:tc>
          <w:tcPr>
            <w:tcW w:w="83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shares - diluted (denominator)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236,414,374</w:t>
            </w:r>
          </w:p>
        </w:tc>
        <w:tc>
          <w:tcPr>
            <w:tcW w:w="75" w:type="dxa"/>
            <w:tcBorders/>
            <w:shd w:fill="CCEEFF" w:val="clear"/>
            <w:vAlign w:val="bottom"/>
          </w:tcPr>
          <w:p>
            <w:pPr>
              <w:pStyle w:val="TableContents"/>
              <w:bidi w:val="0"/>
              <w:spacing w:before="0" w:after="283"/>
              <w:jc w:val="left"/>
              <w:rPr/>
            </w:pPr>
            <w:r>
              <w:rPr/>
              <w:t> </w:t>
            </w:r>
          </w:p>
        </w:tc>
      </w:tr>
      <w:tr>
        <w:trPr/>
        <w:tc>
          <w:tcPr>
            <w:tcW w:w="83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Diluted earnings per common share</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220" w:type="dxa"/>
            <w:tcBorders>
              <w:bottom w:val="double" w:sz="8" w:space="0" w:color="000000"/>
            </w:tcBorders>
            <w:tcMar>
              <w:bottom w:w="28" w:type="dxa"/>
            </w:tcMar>
            <w:vAlign w:val="bottom"/>
          </w:tcPr>
          <w:p>
            <w:pPr>
              <w:pStyle w:val="TableContents"/>
              <w:bidi w:val="0"/>
              <w:spacing w:before="0" w:after="283"/>
              <w:jc w:val="right"/>
              <w:rPr/>
            </w:pPr>
            <w:r>
              <w:rPr/>
              <w:t>0.08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aps w:val="false"/>
          <w:smallCaps w:val="false"/>
          <w:color w:val="000000"/>
          <w:sz w:val="20"/>
          <w:shd w:fill="FFFFFF" w:val="clear"/>
        </w:rPr>
        <w:t xml:space="preserve">For the three months ended March 31, 2024, there were no shares with an anti-dilutive effect that needed to be excluded from the earnings per share computation. For the three months ended March 31, 2023 no potentially dilutive securities are included in the computation of diluted loss per share in the accompanying condensed consolidated financial statements as the Company reported a net loss for this period. </w:t>
      </w:r>
      <w:r>
        <w:rPr>
          <w:rFonts w:ascii="Times New Roman" w:hAnsi="Times New Roman"/>
          <w:b w:val="false"/>
          <w:i w:val="false"/>
          <w:caps w:val="false"/>
          <w:smallCaps w:val="false"/>
          <w:color w:val="000000"/>
          <w:spacing w:val="0"/>
          <w:sz w:val="20"/>
          <w:shd w:fill="FFFFFF" w:val="clear"/>
        </w:rPr>
        <w:t>For the three months ended March 31, 2023, the following securities were excluded from the calculation of diluted loss per common share because of their anti-dilutive effects: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3145" w:type="dxa"/>
        <w:jc w:val="left"/>
        <w:tblInd w:w="0" w:type="dxa"/>
        <w:tblLayout w:type="fixed"/>
        <w:tblCellMar>
          <w:top w:w="0" w:type="dxa"/>
          <w:left w:w="0" w:type="dxa"/>
          <w:bottom w:w="0" w:type="dxa"/>
          <w:right w:w="0" w:type="dxa"/>
        </w:tblCellMar>
      </w:tblPr>
      <w:tblGrid>
        <w:gridCol w:w="1850"/>
        <w:gridCol w:w="60"/>
        <w:gridCol w:w="60"/>
        <w:gridCol w:w="1100"/>
        <w:gridCol w:w="75"/>
      </w:tblGrid>
      <w:tr>
        <w:trPr/>
        <w:tc>
          <w:tcPr>
            <w:tcW w:w="18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Stock Options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9,945,703</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Restricted Stock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4,875,464</w:t>
            </w:r>
          </w:p>
        </w:tc>
        <w:tc>
          <w:tcPr>
            <w:tcW w:w="7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Warrants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13,525,148</w:t>
            </w:r>
          </w:p>
        </w:tc>
        <w:tc>
          <w:tcPr>
            <w:tcW w:w="75"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before="0" w:after="283"/>
              <w:jc w:val="right"/>
              <w:rPr/>
            </w:pPr>
            <w:r>
              <w:rPr/>
              <w:t>28,346,315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Stock-Based Compensation</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The Company follows recognized accounting guidance which requires all equity-based payments, including grants of stock options and RSUs,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RSUs granted to employees generally have a four-year vesting period. Pursuant to ASU No. 2016-09, </w:t>
      </w:r>
      <w:r>
        <w:rPr>
          <w:rFonts w:ascii="Times New Roman" w:hAnsi="Times New Roman"/>
          <w:i/>
          <w:caps w:val="false"/>
          <w:smallCaps w:val="false"/>
          <w:color w:val="000000"/>
          <w:sz w:val="20"/>
          <w:shd w:fill="FFFFFF" w:val="clear"/>
        </w:rPr>
        <w:t>Improvements to Employee Share-Based Payment Accounting (Topic 718)</w:t>
      </w:r>
      <w:r>
        <w:rPr>
          <w:rFonts w:ascii="Times New Roman" w:hAnsi="Times New Roman"/>
          <w:caps w:val="false"/>
          <w:smallCaps w:val="false"/>
          <w:color w:val="000000"/>
          <w:sz w:val="20"/>
          <w:shd w:fill="FFFFFF" w:val="clear"/>
        </w:rPr>
        <w:t>, the Company has elected not to establish a forfeiture rate, as stock-based compensation expense related to forfeitures of unvested equity awards is fully reversed at the time of forfeiture.</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Income Taxes</w:t>
      </w:r>
    </w:p>
    <w:p>
      <w:pPr>
        <w:pStyle w:val="TextBody"/>
        <w:bidi w:val="0"/>
        <w:spacing w:before="0" w:after="0"/>
        <w:jc w:val="left"/>
        <w:rPr>
          <w:rFonts w:ascii="Times New Roman" w:hAnsi="Times New Roman"/>
          <w:i/>
          <w:caps w:val="false"/>
          <w:smallCaps w:val="false"/>
          <w:color w:val="000000"/>
          <w:sz w:val="20"/>
        </w:rPr>
      </w:pPr>
      <w:r>
        <w:rPr>
          <w:rFonts w:ascii="Times New Roman" w:hAnsi="Times New Roman"/>
          <w:i/>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2020 and for previous periods as it relates to the Company’s net operating loss carryforwards.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2024 and December 31, 2023, and during the three months ended March 31, 2024 and 2023 the Company recognized</w:t>
      </w:r>
      <w:r>
        <w:rPr>
          <w:rFonts w:ascii="Times New Roman" w:hAnsi="Times New Roman"/>
          <w:caps w:val="false"/>
          <w:smallCaps w:val="false"/>
          <w:color w:val="000000"/>
          <w:sz w:val="20"/>
          <w:shd w:fill="FFFFFF" w:val="clear"/>
        </w:rPr>
        <w:t xml:space="preserve"> no adjustments for uncertain tax positions.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color w:val="000000"/>
          <w:spacing w:val="0"/>
          <w:sz w:val="20"/>
          <w:u w:val="single"/>
          <w:shd w:fill="FFFFFF" w:val="clear"/>
        </w:rPr>
      </w:pPr>
      <w:r>
        <w:rPr>
          <w:rFonts w:ascii="Times New Roman" w:hAnsi="Times New Roman"/>
          <w:b w:val="false"/>
          <w:i/>
          <w:color w:val="000000"/>
          <w:spacing w:val="0"/>
          <w:sz w:val="20"/>
          <w:u w:val="single"/>
          <w:shd w:fill="FFFFFF" w:val="clear"/>
        </w:rPr>
        <w:t>Recent Accounting Pronouncements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November of 2023 the FASB issued ASU No. 2023-07, </w:t>
      </w:r>
      <w:r>
        <w:rPr>
          <w:rFonts w:ascii="Times New Roman" w:hAnsi="Times New Roman"/>
          <w:b w:val="false"/>
          <w:i/>
          <w:caps w:val="false"/>
          <w:smallCaps w:val="false"/>
          <w:color w:val="000000"/>
          <w:spacing w:val="0"/>
          <w:sz w:val="20"/>
          <w:shd w:fill="FFFFFF" w:val="clear"/>
        </w:rPr>
        <w:t>Segment Reporting (Topic 280): Improvements to Reportable Segment Disclosures. </w:t>
      </w:r>
      <w:r>
        <w:rPr>
          <w:rFonts w:ascii="Times New Roman" w:hAnsi="Times New Roman"/>
          <w:b w:val="false"/>
          <w:i w:val="false"/>
          <w:caps w:val="false"/>
          <w:smallCaps w:val="false"/>
          <w:color w:val="000000"/>
          <w:spacing w:val="0"/>
          <w:sz w:val="20"/>
          <w:shd w:fill="FFFFFF" w:val="clear"/>
        </w:rPr>
        <w:t>The amendments in this ASU are intended to provide financial statement users with more disaggregated expense information about a public entity’s reportable segments, however the update does not change the definition of an operating segment or the method for determining reportable segments. This update becomes effective for fiscal years beginning after December 15, 2023 and for interim periods beginning after December 15, 2024. The Company does not expect this ASU to have a material impact on the Company’s consolidated financial statements.</w:t>
      </w:r>
    </w:p>
    <w:p>
      <w:pPr>
        <w:pStyle w:val="TextBody"/>
        <w:bidi w:val="0"/>
        <w:spacing w:before="0" w:after="0"/>
        <w:jc w:val="left"/>
        <w:rPr/>
      </w:pPr>
      <w:r>
        <w:rPr/>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138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INVENTORIES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following table provides the components of inventories:</w:t>
      </w:r>
    </w:p>
    <w:p>
      <w:pPr>
        <w:pStyle w:val="TextBody"/>
        <w:bidi w:val="0"/>
        <w:spacing w:before="0" w:after="0"/>
        <w:ind w:left="270" w:right="0" w:hanging="0"/>
        <w:jc w:val="left"/>
        <w:rPr>
          <w:rFonts w:ascii="Times New Roman" w:hAnsi="Times New Roman"/>
          <w:caps w:val="false"/>
          <w:smallCaps w:val="false"/>
          <w:sz w:val="20"/>
        </w:rPr>
      </w:pPr>
      <w:r>
        <w:rPr>
          <w:rFonts w:ascii="Times New Roman" w:hAnsi="Times New Roman"/>
          <w:caps w:val="false"/>
          <w:smallCaps w:val="false"/>
          <w:sz w:val="20"/>
        </w:rPr>
      </w:r>
    </w:p>
    <w:tbl>
      <w:tblPr>
        <w:tblW w:w="3988" w:type="dxa"/>
        <w:jc w:val="left"/>
        <w:tblInd w:w="0" w:type="dxa"/>
        <w:tblLayout w:type="fixed"/>
        <w:tblCellMar>
          <w:top w:w="0" w:type="dxa"/>
          <w:left w:w="0" w:type="dxa"/>
          <w:bottom w:w="0" w:type="dxa"/>
          <w:right w:w="0" w:type="dxa"/>
        </w:tblCellMar>
      </w:tblPr>
      <w:tblGrid>
        <w:gridCol w:w="1430"/>
        <w:gridCol w:w="60"/>
        <w:gridCol w:w="135"/>
        <w:gridCol w:w="754"/>
        <w:gridCol w:w="60"/>
        <w:gridCol w:w="60"/>
        <w:gridCol w:w="214"/>
        <w:gridCol w:w="1200"/>
        <w:gridCol w:w="75"/>
      </w:tblGrid>
      <w:tr>
        <w:trPr/>
        <w:tc>
          <w:tcPr>
            <w:tcW w:w="143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2024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2023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423" w:type="dxa"/>
            <w:gridSpan w:val="6"/>
            <w:tcBorders/>
            <w:vAlign w:val="bottom"/>
          </w:tcPr>
          <w:p>
            <w:pPr>
              <w:pStyle w:val="TableContents"/>
              <w:bidi w:val="0"/>
              <w:spacing w:before="0" w:after="283"/>
              <w:jc w:val="center"/>
              <w:rPr>
                <w:i/>
              </w:rPr>
            </w:pPr>
            <w:r>
              <w:rPr>
                <w:i/>
              </w:rPr>
              <w:t>(In thousands)</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Raw materials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75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59,459</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0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52,999</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Work-in-process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35" w:type="dxa"/>
            <w:tcBorders/>
            <w:vAlign w:val="bottom"/>
          </w:tcPr>
          <w:p>
            <w:pPr>
              <w:pStyle w:val="TableContents"/>
              <w:bidi w:val="0"/>
              <w:spacing w:before="0" w:after="283"/>
              <w:jc w:val="left"/>
              <w:rPr>
                <w:caps w:val="false"/>
                <w:smallCaps w:val="false"/>
              </w:rPr>
            </w:pPr>
            <w:r>
              <w:rPr>
                <w:caps w:val="false"/>
                <w:smallCaps w:val="false"/>
              </w:rPr>
              <w:t> </w:t>
            </w:r>
          </w:p>
        </w:tc>
        <w:tc>
          <w:tcPr>
            <w:tcW w:w="75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49,279</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14" w:type="dxa"/>
            <w:tcBorders/>
            <w:vAlign w:val="bottom"/>
          </w:tcPr>
          <w:p>
            <w:pPr>
              <w:pStyle w:val="TableContents"/>
              <w:bidi w:val="0"/>
              <w:spacing w:before="0" w:after="283"/>
              <w:jc w:val="left"/>
              <w:rPr>
                <w:caps w:val="false"/>
                <w:smallCaps w:val="false"/>
              </w:rPr>
            </w:pPr>
            <w:r>
              <w:rPr>
                <w:caps w:val="false"/>
                <w:smallCaps w:val="false"/>
              </w:rPr>
              <w:t> </w:t>
            </w:r>
          </w:p>
        </w:tc>
        <w:tc>
          <w:tcPr>
            <w:tcW w:w="120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49,621</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Finished goods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68,994</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2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70,286</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430"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inventories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75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177,732</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1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2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172,906</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Work-in-process inventory primarily consists of bulk drug substance and unlabeled filled vials of the Company’s immunoglobulin products.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204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INTANGIBLE ASSETS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Intangible assets at March 31, 2024 and December 31, 2023 consist of the following:</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10205" w:type="dxa"/>
        <w:jc w:val="left"/>
        <w:tblInd w:w="0" w:type="dxa"/>
        <w:tblLayout w:type="fixed"/>
        <w:tblCellMar>
          <w:top w:w="0" w:type="dxa"/>
          <w:left w:w="0" w:type="dxa"/>
          <w:bottom w:w="0" w:type="dxa"/>
          <w:right w:w="0" w:type="dxa"/>
        </w:tblCellMar>
      </w:tblPr>
      <w:tblGrid>
        <w:gridCol w:w="4395"/>
        <w:gridCol w:w="60"/>
        <w:gridCol w:w="125"/>
        <w:gridCol w:w="485"/>
        <w:gridCol w:w="60"/>
        <w:gridCol w:w="60"/>
        <w:gridCol w:w="293"/>
        <w:gridCol w:w="1137"/>
        <w:gridCol w:w="60"/>
        <w:gridCol w:w="60"/>
        <w:gridCol w:w="125"/>
        <w:gridCol w:w="380"/>
        <w:gridCol w:w="60"/>
        <w:gridCol w:w="60"/>
        <w:gridCol w:w="125"/>
        <w:gridCol w:w="485"/>
        <w:gridCol w:w="60"/>
        <w:gridCol w:w="60"/>
        <w:gridCol w:w="293"/>
        <w:gridCol w:w="1137"/>
        <w:gridCol w:w="60"/>
        <w:gridCol w:w="60"/>
        <w:gridCol w:w="125"/>
        <w:gridCol w:w="380"/>
        <w:gridCol w:w="60"/>
      </w:tblGrid>
      <w:tr>
        <w:trPr/>
        <w:tc>
          <w:tcPr>
            <w:tcW w:w="4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2023</w:t>
            </w:r>
          </w:p>
        </w:tc>
        <w:tc>
          <w:tcPr>
            <w:tcW w:w="60" w:type="dxa"/>
            <w:tcBorders/>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5690" w:type="dxa"/>
            <w:gridSpan w:val="22"/>
            <w:tcBorders/>
            <w:vAlign w:val="bottom"/>
          </w:tcPr>
          <w:p>
            <w:pPr>
              <w:pStyle w:val="TableContents"/>
              <w:bidi w:val="0"/>
              <w:spacing w:before="0" w:after="283"/>
              <w:jc w:val="center"/>
              <w:rPr>
                <w:i/>
              </w:rPr>
            </w:pPr>
            <w:r>
              <w:rPr>
                <w:i/>
              </w:rPr>
              <w:t>(In thousands)</w:t>
            </w:r>
          </w:p>
        </w:tc>
        <w:tc>
          <w:tcPr>
            <w:tcW w:w="60" w:type="dxa"/>
            <w:tcBorders/>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center"/>
              <w:rPr/>
            </w:pPr>
            <w:r>
              <w:rPr/>
              <w:t> </w:t>
            </w:r>
            <w:r>
              <w:rPr>
                <w:b/>
              </w:rPr>
              <w:t>Accumulated</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505"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1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30" w:type="dxa"/>
            <w:gridSpan w:val="2"/>
            <w:tcBorders/>
            <w:vAlign w:val="bottom"/>
          </w:tcPr>
          <w:p>
            <w:pPr>
              <w:pStyle w:val="TableContents"/>
              <w:bidi w:val="0"/>
              <w:spacing w:before="0" w:after="283"/>
              <w:jc w:val="center"/>
              <w:rPr/>
            </w:pPr>
            <w:r>
              <w:rPr/>
              <w:t> </w:t>
            </w:r>
            <w:r>
              <w:rPr>
                <w:b/>
              </w:rPr>
              <w:t>Accumulated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Net</w:t>
            </w:r>
          </w:p>
        </w:tc>
        <w:tc>
          <w:tcPr>
            <w:tcW w:w="60" w:type="dxa"/>
            <w:tcBorders/>
            <w:vAlign w:val="bottom"/>
          </w:tcPr>
          <w:p>
            <w:pPr>
              <w:pStyle w:val="TableContents"/>
              <w:bidi w:val="0"/>
              <w:spacing w:before="0" w:after="283"/>
              <w:jc w:val="left"/>
              <w:rPr/>
            </w:pPr>
            <w:r>
              <w:rPr/>
              <w:t> </w:t>
            </w:r>
          </w:p>
        </w:tc>
      </w:tr>
      <w:tr>
        <w:trPr/>
        <w:tc>
          <w:tcPr>
            <w:tcW w:w="4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Trademark and other intangible rights related to Nabi-HB</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7"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38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7"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38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244</w:t>
            </w:r>
          </w:p>
        </w:tc>
        <w:tc>
          <w:tcPr>
            <w:tcW w:w="60" w:type="dxa"/>
            <w:tcBorders/>
            <w:shd w:fill="CCEEFF" w:val="clear"/>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pPr>
            <w:r>
              <w:rPr/>
              <w:t>Internally developed software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201</w:t>
            </w:r>
          </w:p>
        </w:tc>
        <w:tc>
          <w:tcPr>
            <w:tcW w:w="60" w:type="dxa"/>
            <w:tcBorders/>
            <w:vAlign w:val="bottom"/>
          </w:tcPr>
          <w:p>
            <w:pPr>
              <w:pStyle w:val="TableContents"/>
              <w:bidi w:val="0"/>
              <w:spacing w:before="0" w:after="283"/>
              <w:jc w:val="left"/>
              <w:rPr/>
            </w:pPr>
            <w:r>
              <w:rPr/>
              <w:t> </w:t>
            </w:r>
          </w:p>
        </w:tc>
      </w:tr>
      <w:tr>
        <w:trPr/>
        <w:tc>
          <w:tcPr>
            <w:tcW w:w="4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Rights to intermediates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54</w:t>
            </w:r>
          </w:p>
        </w:tc>
        <w:tc>
          <w:tcPr>
            <w:tcW w:w="60" w:type="dxa"/>
            <w:tcBorders/>
            <w:shd w:fill="CCEEFF" w:val="clear"/>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5,232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3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4,718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3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Amortization expense related to the Company’s intangible assets was $0.2 million for the three months ended March 31, 2024 and 2023. Estimated future aggregate amortization expense is expected to be as follows (in thousands):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1080" w:type="dxa"/>
        <w:jc w:val="left"/>
        <w:tblInd w:w="0" w:type="dxa"/>
        <w:tblLayout w:type="fixed"/>
        <w:tblCellMar>
          <w:top w:w="0" w:type="dxa"/>
          <w:left w:w="0" w:type="dxa"/>
          <w:bottom w:w="0" w:type="dxa"/>
          <w:right w:w="0" w:type="dxa"/>
        </w:tblCellMar>
      </w:tblPr>
      <w:tblGrid>
        <w:gridCol w:w="500"/>
        <w:gridCol w:w="60"/>
        <w:gridCol w:w="125"/>
        <w:gridCol w:w="335"/>
        <w:gridCol w:w="60"/>
      </w:tblGrid>
      <w:tr>
        <w:trPr/>
        <w:tc>
          <w:tcPr>
            <w:tcW w:w="500"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2024</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33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162</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2025</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56</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vAlign w:val="bottom"/>
          </w:tcPr>
          <w:p>
            <w:pPr>
              <w:pStyle w:val="TableContents"/>
              <w:bidi w:val="0"/>
              <w:spacing w:before="0" w:after="283"/>
              <w:jc w:val="left"/>
              <w:rPr/>
            </w:pPr>
            <w:r>
              <w:rPr/>
              <w:t>2026</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vAlign w:val="bottom"/>
          </w:tcPr>
          <w:p>
            <w:pPr>
              <w:pStyle w:val="TableContents"/>
              <w:bidi w:val="0"/>
              <w:spacing w:before="0" w:after="283"/>
              <w:jc w:val="left"/>
              <w:rPr/>
            </w:pPr>
            <w:r>
              <w:rPr/>
              <w:t>2027</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tbl>
      <w:tblPr>
        <w:tblW w:w="2980" w:type="dxa"/>
        <w:jc w:val="left"/>
        <w:tblInd w:w="0" w:type="dxa"/>
        <w:tblLayout w:type="fixed"/>
        <w:tblCellMar>
          <w:top w:w="0" w:type="dxa"/>
          <w:left w:w="0" w:type="dxa"/>
          <w:bottom w:w="0" w:type="dxa"/>
          <w:right w:w="0" w:type="dxa"/>
        </w:tblCellMar>
      </w:tblPr>
      <w:tblGrid>
        <w:gridCol w:w="185"/>
        <w:gridCol w:w="279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79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PROPERTY AND EQUIPMENT</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Property and equipment and related accumulated depreciation are summarized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6713" w:type="dxa"/>
        <w:jc w:val="left"/>
        <w:tblInd w:w="0" w:type="dxa"/>
        <w:tblLayout w:type="fixed"/>
        <w:tblCellMar>
          <w:top w:w="0" w:type="dxa"/>
          <w:left w:w="0" w:type="dxa"/>
          <w:bottom w:w="0" w:type="dxa"/>
          <w:right w:w="0" w:type="dxa"/>
        </w:tblCellMar>
      </w:tblPr>
      <w:tblGrid>
        <w:gridCol w:w="3395"/>
        <w:gridCol w:w="60"/>
        <w:gridCol w:w="218"/>
        <w:gridCol w:w="1136"/>
        <w:gridCol w:w="95"/>
        <w:gridCol w:w="60"/>
        <w:gridCol w:w="264"/>
        <w:gridCol w:w="1375"/>
        <w:gridCol w:w="110"/>
      </w:tblGrid>
      <w:tr>
        <w:trPr/>
        <w:tc>
          <w:tcPr>
            <w:tcW w:w="3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2023</w:t>
            </w:r>
          </w:p>
        </w:tc>
        <w:tc>
          <w:tcPr>
            <w:tcW w:w="110" w:type="dxa"/>
            <w:tcBorders/>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48" w:type="dxa"/>
            <w:gridSpan w:val="6"/>
            <w:tcBorders/>
            <w:vAlign w:val="center"/>
          </w:tcPr>
          <w:p>
            <w:pPr>
              <w:pStyle w:val="TableContents"/>
              <w:bidi w:val="0"/>
              <w:spacing w:before="0" w:after="283"/>
              <w:jc w:val="center"/>
              <w:rPr>
                <w:i/>
              </w:rPr>
            </w:pPr>
            <w:r>
              <w:rPr>
                <w:i/>
              </w:rPr>
              <w:t>(In thousands)</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Manufacturing and laboratory equipment</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21,232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7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21,093</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Office equipment and computer software</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6,432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6,062</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Furniture and fixtures</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5,776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5,776</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Construction in process</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4,447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2,273</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Leasehold improvements</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21,026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20,811</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Land</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4,339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4,339</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Buildings and building improvements</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20,712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20,218</w:t>
            </w:r>
          </w:p>
        </w:tc>
        <w:tc>
          <w:tcPr>
            <w:tcW w:w="110" w:type="dxa"/>
            <w:tcBorders/>
            <w:shd w:fill="CCEEFF" w:val="clear"/>
            <w:vAlign w:val="bottom"/>
          </w:tcPr>
          <w:p>
            <w:pPr>
              <w:pStyle w:val="TableContents"/>
              <w:bidi w:val="0"/>
              <w:spacing w:before="0" w:after="283"/>
              <w:jc w:val="left"/>
              <w:rPr/>
            </w:pPr>
            <w:r>
              <w:rPr/>
              <w:t> </w:t>
            </w:r>
          </w:p>
        </w:tc>
      </w:tr>
      <w:tr>
        <w:trPr/>
        <w:tc>
          <w:tcPr>
            <w:tcW w:w="33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83,964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80,572</w:t>
            </w:r>
          </w:p>
        </w:tc>
        <w:tc>
          <w:tcPr>
            <w:tcW w:w="110" w:type="dxa"/>
            <w:tcBorders/>
            <w:vAlign w:val="bottom"/>
          </w:tcPr>
          <w:p>
            <w:pPr>
              <w:pStyle w:val="TableContents"/>
              <w:bidi w:val="0"/>
              <w:spacing w:before="0" w:after="283"/>
              <w:jc w:val="left"/>
              <w:rPr/>
            </w:pPr>
            <w:r>
              <w:rPr/>
              <w:t> </w:t>
            </w:r>
          </w:p>
        </w:tc>
      </w:tr>
      <w:tr>
        <w:trPr/>
        <w:tc>
          <w:tcPr>
            <w:tcW w:w="339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Less: Accumulated depreciation</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(28,647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(26,737</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39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property, plant and equipment, net</w:t>
            </w:r>
          </w:p>
        </w:tc>
        <w:tc>
          <w:tcPr>
            <w:tcW w:w="60" w:type="dxa"/>
            <w:tcBorders/>
            <w:vAlign w:val="bottom"/>
          </w:tcPr>
          <w:p>
            <w:pPr>
              <w:pStyle w:val="TableContents"/>
              <w:bidi w:val="0"/>
              <w:spacing w:before="0" w:after="283"/>
              <w:jc w:val="righ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55,317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53,835</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recorded depreciation expense on property and equipment for the three months ended March 31, 2024 and 2023 of $1.9 million. </w:t>
      </w:r>
    </w:p>
    <w:p>
      <w:pPr>
        <w:pStyle w:val="TextBody"/>
        <w:bidi w:val="0"/>
        <w:spacing w:before="0" w:after="0"/>
        <w:jc w:val="left"/>
        <w:rPr/>
      </w:pPr>
      <w:r>
        <w:rPr/>
      </w:r>
    </w:p>
    <w:tbl>
      <w:tblPr>
        <w:tblW w:w="5665" w:type="dxa"/>
        <w:jc w:val="left"/>
        <w:tblInd w:w="0" w:type="dxa"/>
        <w:tblLayout w:type="fixed"/>
        <w:tblCellMar>
          <w:top w:w="0" w:type="dxa"/>
          <w:left w:w="0" w:type="dxa"/>
          <w:bottom w:w="0" w:type="dxa"/>
          <w:right w:w="0" w:type="dxa"/>
        </w:tblCellMar>
      </w:tblPr>
      <w:tblGrid>
        <w:gridCol w:w="185"/>
        <w:gridCol w:w="5480"/>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548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ACCRUED EXPENSES AND OTHER CURRENT LIABILITIES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Accrued expenses and other current liabilities at March 31, 2024 and December 31, 2023 are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7423" w:type="dxa"/>
        <w:jc w:val="left"/>
        <w:tblInd w:w="0" w:type="dxa"/>
        <w:tblLayout w:type="fixed"/>
        <w:tblCellMar>
          <w:top w:w="0" w:type="dxa"/>
          <w:left w:w="0" w:type="dxa"/>
          <w:bottom w:w="0" w:type="dxa"/>
          <w:right w:w="0" w:type="dxa"/>
        </w:tblCellMar>
      </w:tblPr>
      <w:tblGrid>
        <w:gridCol w:w="4175"/>
        <w:gridCol w:w="60"/>
        <w:gridCol w:w="236"/>
        <w:gridCol w:w="1118"/>
        <w:gridCol w:w="60"/>
        <w:gridCol w:w="60"/>
        <w:gridCol w:w="284"/>
        <w:gridCol w:w="1355"/>
        <w:gridCol w:w="75"/>
      </w:tblGrid>
      <w:tr>
        <w:trPr/>
        <w:tc>
          <w:tcPr>
            <w:tcW w:w="417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2023</w:t>
            </w:r>
          </w:p>
        </w:tc>
        <w:tc>
          <w:tcPr>
            <w:tcW w:w="7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113" w:type="dxa"/>
            <w:gridSpan w:val="6"/>
            <w:tcBorders/>
            <w:vAlign w:val="bottom"/>
          </w:tcPr>
          <w:p>
            <w:pPr>
              <w:pStyle w:val="TableContents"/>
              <w:bidi w:val="0"/>
              <w:spacing w:before="0" w:after="283"/>
              <w:jc w:val="center"/>
              <w:rPr>
                <w:i/>
              </w:rPr>
            </w:pPr>
            <w:r>
              <w:rPr>
                <w:i/>
              </w:rPr>
              <w:t>(In thousands)</w:t>
            </w:r>
          </w:p>
        </w:tc>
        <w:tc>
          <w:tcPr>
            <w:tcW w:w="7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rebates</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18"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17,330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5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16,608</w:t>
            </w:r>
          </w:p>
        </w:tc>
        <w:tc>
          <w:tcPr>
            <w:tcW w:w="75"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distribution fees</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5,954</w:t>
            </w:r>
          </w:p>
        </w:tc>
        <w:tc>
          <w:tcPr>
            <w:tcW w:w="7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incentives</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4,961</w:t>
            </w:r>
          </w:p>
        </w:tc>
        <w:tc>
          <w:tcPr>
            <w:tcW w:w="75"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Accrued interest</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546</w:t>
            </w:r>
          </w:p>
        </w:tc>
        <w:tc>
          <w:tcPr>
            <w:tcW w:w="7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testing</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282</w:t>
            </w:r>
          </w:p>
        </w:tc>
        <w:tc>
          <w:tcPr>
            <w:tcW w:w="75"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Accrued payroll and other compensation</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2,203</w:t>
            </w:r>
          </w:p>
        </w:tc>
        <w:tc>
          <w:tcPr>
            <w:tcW w:w="7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2,365</w:t>
            </w:r>
          </w:p>
        </w:tc>
        <w:tc>
          <w:tcPr>
            <w:tcW w:w="75"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2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Total accrued expenses and other current liabilities</w:t>
            </w:r>
          </w:p>
        </w:tc>
        <w:tc>
          <w:tcPr>
            <w:tcW w:w="60" w:type="dxa"/>
            <w:tcBorders/>
            <w:vAlign w:val="bottom"/>
          </w:tcPr>
          <w:p>
            <w:pPr>
              <w:pStyle w:val="TableContents"/>
              <w:bidi w:val="0"/>
              <w:spacing w:before="0" w:after="283"/>
              <w:jc w:val="righ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33,691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32,919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760" w:type="dxa"/>
        <w:jc w:val="left"/>
        <w:tblInd w:w="0" w:type="dxa"/>
        <w:tblLayout w:type="fixed"/>
        <w:tblCellMar>
          <w:top w:w="0" w:type="dxa"/>
          <w:left w:w="0" w:type="dxa"/>
          <w:bottom w:w="0" w:type="dxa"/>
          <w:right w:w="0" w:type="dxa"/>
        </w:tblCellMar>
      </w:tblPr>
      <w:tblGrid>
        <w:gridCol w:w="185"/>
        <w:gridCol w:w="57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57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DEBT</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 summary of outstanding senior notes payable is as follows:</w:t>
      </w:r>
    </w:p>
    <w:p>
      <w:pPr>
        <w:pStyle w:val="TextBody"/>
        <w:bidi w:val="0"/>
        <w:spacing w:before="0" w:after="0"/>
        <w:ind w:left="270" w:right="0" w:hanging="0"/>
        <w:jc w:val="left"/>
        <w:rPr>
          <w:rFonts w:ascii="Times New Roman" w:hAnsi="Times New Roman"/>
          <w:caps w:val="false"/>
          <w:smallCaps w:val="false"/>
          <w:sz w:val="20"/>
        </w:rPr>
      </w:pPr>
      <w:r>
        <w:rPr>
          <w:rFonts w:ascii="Times New Roman" w:hAnsi="Times New Roman"/>
          <w:caps w:val="false"/>
          <w:smallCaps w:val="false"/>
          <w:sz w:val="20"/>
        </w:rPr>
      </w:r>
    </w:p>
    <w:tbl>
      <w:tblPr>
        <w:tblW w:w="5633" w:type="dxa"/>
        <w:jc w:val="left"/>
        <w:tblInd w:w="0" w:type="dxa"/>
        <w:tblLayout w:type="fixed"/>
        <w:tblCellMar>
          <w:top w:w="0" w:type="dxa"/>
          <w:left w:w="0" w:type="dxa"/>
          <w:bottom w:w="0" w:type="dxa"/>
          <w:right w:w="0" w:type="dxa"/>
        </w:tblCellMar>
      </w:tblPr>
      <w:tblGrid>
        <w:gridCol w:w="2315"/>
        <w:gridCol w:w="60"/>
        <w:gridCol w:w="206"/>
        <w:gridCol w:w="1148"/>
        <w:gridCol w:w="95"/>
        <w:gridCol w:w="60"/>
        <w:gridCol w:w="249"/>
        <w:gridCol w:w="1390"/>
        <w:gridCol w:w="110"/>
      </w:tblGrid>
      <w:tr>
        <w:trPr/>
        <w:tc>
          <w:tcPr>
            <w:tcW w:w="231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March 31,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2023</w:t>
            </w:r>
          </w:p>
        </w:tc>
        <w:tc>
          <w:tcPr>
            <w:tcW w:w="110"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148" w:type="dxa"/>
            <w:gridSpan w:val="6"/>
            <w:tcBorders/>
            <w:vAlign w:val="bottom"/>
          </w:tcPr>
          <w:p>
            <w:pPr>
              <w:pStyle w:val="TableContents"/>
              <w:bidi w:val="0"/>
              <w:spacing w:before="0" w:after="283"/>
              <w:jc w:val="center"/>
              <w:rPr>
                <w:i/>
              </w:rPr>
            </w:pPr>
            <w:r>
              <w:rPr>
                <w:i/>
              </w:rPr>
              <w:t>(In thousands)</w:t>
            </w:r>
          </w:p>
        </w:tc>
        <w:tc>
          <w:tcPr>
            <w:tcW w:w="110"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Term loan</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48"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62,500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9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62,500</w:t>
            </w:r>
          </w:p>
        </w:tc>
        <w:tc>
          <w:tcPr>
            <w:tcW w:w="110"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pPr>
            <w:r>
              <w:rPr/>
              <w:t>Revolving credit facility</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06" w:type="dxa"/>
            <w:tcBorders/>
            <w:vAlign w:val="bottom"/>
          </w:tcPr>
          <w:p>
            <w:pPr>
              <w:pStyle w:val="TableContents"/>
              <w:bidi w:val="0"/>
              <w:spacing w:before="0" w:after="283"/>
              <w:jc w:val="left"/>
              <w:rPr>
                <w:caps w:val="false"/>
                <w:smallCaps w:val="false"/>
              </w:rPr>
            </w:pPr>
            <w:r>
              <w:rPr>
                <w:caps w:val="false"/>
                <w:smallCaps w:val="false"/>
              </w:rPr>
              <w:t> </w:t>
            </w:r>
          </w:p>
        </w:tc>
        <w:tc>
          <w:tcPr>
            <w:tcW w:w="1148" w:type="dxa"/>
            <w:tcBorders/>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72,500</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49" w:type="dxa"/>
            <w:tcBorders/>
            <w:vAlign w:val="bottom"/>
          </w:tcPr>
          <w:p>
            <w:pPr>
              <w:pStyle w:val="TableContents"/>
              <w:bidi w:val="0"/>
              <w:spacing w:before="0" w:after="283"/>
              <w:jc w:val="left"/>
              <w:rPr>
                <w:caps w:val="false"/>
                <w:smallCaps w:val="false"/>
              </w:rPr>
            </w:pPr>
            <w:r>
              <w:rPr>
                <w:caps w:val="false"/>
                <w:smallCaps w:val="false"/>
              </w:rPr>
              <w:t> </w:t>
            </w:r>
          </w:p>
        </w:tc>
        <w:tc>
          <w:tcPr>
            <w:tcW w:w="1390" w:type="dxa"/>
            <w:tcBorders/>
            <w:vAlign w:val="bottom"/>
          </w:tcPr>
          <w:p>
            <w:pPr>
              <w:pStyle w:val="TableContents"/>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72,500</w:t>
            </w:r>
          </w:p>
        </w:tc>
        <w:tc>
          <w:tcPr>
            <w:tcW w:w="11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Less:</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06"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49"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2315" w:type="dxa"/>
            <w:tcBorders/>
            <w:vAlign w:val="bottom"/>
          </w:tcPr>
          <w:p>
            <w:pPr>
              <w:pStyle w:val="TableContents"/>
              <w:bidi w:val="0"/>
              <w:spacing w:before="0" w:after="0"/>
              <w:ind w:left="32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Debt discount</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(4,153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(4,406</w:t>
            </w:r>
          </w:p>
        </w:tc>
        <w:tc>
          <w:tcPr>
            <w:tcW w:w="110" w:type="dxa"/>
            <w:tcBorders/>
            <w:vAlign w:val="bottom"/>
          </w:tcPr>
          <w:p>
            <w:pPr>
              <w:pStyle w:val="TableContents"/>
              <w:bidi w:val="0"/>
              <w:spacing w:before="0" w:after="0"/>
              <w:jc w:val="left"/>
              <w:rPr>
                <w:color w:val="000000"/>
              </w:rPr>
            </w:pPr>
            <w:r>
              <w:rPr>
                <w:color w:val="000000"/>
              </w:rPr>
              <w:t>)</w:t>
            </w:r>
          </w:p>
        </w:tc>
      </w:tr>
      <w:tr>
        <w:trPr/>
        <w:tc>
          <w:tcPr>
            <w:tcW w:w="231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Senior notes payable</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130,847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13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130,594</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200" w:after="200"/>
        <w:jc w:val="center"/>
        <w:rPr>
          <w:rFonts w:ascii="Times New Roman" w:hAnsi="Times New Roman"/>
          <w:b/>
          <w:caps w:val="false"/>
          <w:smallCaps w:val="false"/>
          <w:color w:val="000000"/>
          <w:sz w:val="20"/>
          <w:shd w:fill="FFFFFF" w:val="clear"/>
        </w:rPr>
      </w:pPr>
      <w:r>
        <w:rPr>
          <w:rFonts w:ascii="Times New Roman" w:hAnsi="Times New Roman"/>
          <w:b/>
          <w:caps w:val="false"/>
          <w:smallCaps w:val="false"/>
          <w:color w:val="000000"/>
          <w:sz w:val="20"/>
          <w:shd w:fill="FFFFFF" w:val="clear"/>
        </w:rPr>
        <w:t>ADMA BIOLOGICS, INC. AND SUBSIDIARIES</w:t>
      </w:r>
    </w:p>
    <w:p>
      <w:pPr>
        <w:pStyle w:val="TextBody"/>
        <w:bidi w:val="0"/>
        <w:spacing w:before="200" w:after="200"/>
        <w:jc w:val="center"/>
        <w:rPr>
          <w:rFonts w:ascii="Times New Roman" w:hAnsi="Times New Roman"/>
          <w:b/>
          <w:caps w:val="false"/>
          <w:smallCaps w:val="false"/>
          <w:color w:val="000000"/>
          <w:sz w:val="20"/>
          <w:shd w:fill="FFFFFF" w:val="clear"/>
        </w:rPr>
      </w:pPr>
      <w:r>
        <w:rPr>
          <w:rFonts w:ascii="Times New Roman" w:hAnsi="Times New Roman"/>
          <w:b/>
          <w:caps w:val="false"/>
          <w:smallCaps w:val="false"/>
          <w:color w:val="000000"/>
          <w:sz w:val="20"/>
          <w:shd w:fill="FFFFFF" w:val="clear"/>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December 18, 2023 (the “Ares Closing Date”), the Company and all of its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Borrowings under the term loan bear interest at the adjusted Term SOFR for a three-month tenor in effect on the day that is two business days prior to the first day of the applicable calendar quarter plus 6.50% (the “Initial SOFR Term Loan Applicable Margin”). Borrowings under the revolving facility bear interest at the adjusted Term SOFR for a three-month tenor in effect on the day that is two business days prior to the first day of the applicable calendar quarter plus 3.75% (the “SOFR Revolving Facility Applicable Margin”). As of March 31, 2024 and December 31, 2023, the interest rate on the term loan was approximately 11.83% and 11.88%, respectively, and the interest rate on the revolving facility was approximately 9.08% and 9.13%, respectively. </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the Ares Maturity Date, the Company is required to pay Ares the entire outstanding principal amount underlying the Ares Loans and any accrued and unpaid interest thereon. Prior to the Ares Maturity Date, there are no scheduled principal payments on the Ares Credit Facilities, and the Company is required to make quarterly interest payments to Ares of approximately $3.6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prepays an amount under the Revolving Facility that is greater than 50% of the current $72.5 million outstanding balance, the Company will still be required to pay interest on 50% of this balance, or $36.3 million, through the term of Ares Credit Facility.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connection with the closing of the Ares Credit Facility, the Company incurred fees and expenses related to the transaction of $2.8 million, including a $1.7 million original discount payable to Ares, all of which was deducted from the Ares loan proceeds. In addition, the Company is also required to pay Ares an exit fee of $1.7 million upon the earlier of any prepayment date or the Ares Maturity Date, and this amount has been accrued as a separate liability in the Company’s consolidated balance sheets as of March 31, 2024 and December 31, 2023. As a result, the Company recognized an aggregate debt discount of $4.4 million as of the Ares Closing Date, and the weighted-average effective interest rate on the Ares Loans as of March 31, 2024 and December 31, 2023 was 11.36% and 11.39%, respectively. This debt discount was recorded as a reduction to the face amount of the debt and is being amortized as interest expense over the term of the debt using the interest method. </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March 31, 2024 the Company was in compliance with all of the covenants contained in the Ares Credit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ind w:left="0" w:right="0" w:firstLine="720"/>
        <w:jc w:val="left"/>
        <w:rPr/>
      </w:pPr>
      <w:r>
        <w:rPr/>
      </w:r>
    </w:p>
    <w:p>
      <w:pPr>
        <w:pStyle w:val="TextBody"/>
        <w:bidi w:val="0"/>
        <w:spacing w:before="200" w:after="200"/>
        <w:ind w:left="0" w:right="0" w:firstLine="72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200" w:after="200"/>
        <w:jc w:val="center"/>
        <w:rPr>
          <w:rFonts w:ascii="Times New Roman" w:hAnsi="Times New Roman"/>
          <w:b/>
          <w:caps w:val="false"/>
          <w:smallCaps w:val="false"/>
          <w:color w:val="000000"/>
          <w:sz w:val="20"/>
          <w:shd w:fill="FFFFFF" w:val="clear"/>
        </w:rPr>
      </w:pPr>
      <w:r>
        <w:rPr>
          <w:rFonts w:ascii="Times New Roman" w:hAnsi="Times New Roman"/>
          <w:b/>
          <w:caps w:val="false"/>
          <w:smallCaps w:val="false"/>
          <w:color w:val="000000"/>
          <w:sz w:val="20"/>
          <w:shd w:fill="FFFFFF" w:val="clear"/>
        </w:rPr>
        <w:t>ADMA BIOLOGICS, INC. AND SUBSIDIARIES</w:t>
      </w:r>
    </w:p>
    <w:p>
      <w:pPr>
        <w:pStyle w:val="TextBody"/>
        <w:bidi w:val="0"/>
        <w:spacing w:before="200" w:after="200"/>
        <w:jc w:val="center"/>
        <w:rPr>
          <w:rFonts w:ascii="Times New Roman" w:hAnsi="Times New Roman"/>
          <w:b/>
          <w:caps w:val="false"/>
          <w:smallCaps w:val="false"/>
          <w:color w:val="000000"/>
          <w:sz w:val="20"/>
          <w:shd w:fill="FFFFFF" w:val="clear"/>
        </w:rPr>
      </w:pPr>
      <w:r>
        <w:rPr>
          <w:rFonts w:ascii="Times New Roman" w:hAnsi="Times New Roman"/>
          <w:b/>
          <w:caps w:val="false"/>
          <w:smallCaps w:val="false"/>
          <w:color w:val="000000"/>
          <w:sz w:val="20"/>
          <w:shd w:fill="FFFFFF" w:val="clear"/>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252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STOCKHOLDERS’ EQUITY</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Preferred Stock</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 is currently authorized to issue up to 10 million shares of preferred stock, $0.0001, par value per share. There were no shares of preferred stock outstanding at March 31, 2024 and December 31, 2023.</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Common Stock</w:t>
      </w:r>
    </w:p>
    <w:p>
      <w:pPr>
        <w:pStyle w:val="TextBody"/>
        <w:bidi w:val="0"/>
        <w:spacing w:before="0" w:after="0"/>
        <w:jc w:val="left"/>
        <w:rPr>
          <w:rFonts w:ascii="Times New Roman" w:hAnsi="Times New Roman"/>
          <w:i/>
          <w:caps w:val="false"/>
          <w:smallCaps w:val="false"/>
          <w:sz w:val="20"/>
          <w:u w:val="single"/>
        </w:rPr>
      </w:pPr>
      <w:r>
        <w:rPr>
          <w:rFonts w:ascii="Times New Roman" w:hAnsi="Times New Roman"/>
          <w:i/>
          <w:caps w:val="false"/>
          <w:smallCaps w:val="false"/>
          <w:sz w:val="20"/>
          <w:u w:val="single"/>
        </w:rPr>
      </w:r>
    </w:p>
    <w:p>
      <w:pPr>
        <w:pStyle w:val="TextBody"/>
        <w:bidi w:val="0"/>
        <w:spacing w:before="0" w:after="0"/>
        <w:jc w:val="left"/>
        <w:rPr/>
      </w:pPr>
      <w:r>
        <w:rPr/>
      </w:r>
    </w:p>
    <w:p>
      <w:pPr>
        <w:pStyle w:val="TextBody"/>
        <w:bidi w:val="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March 31, 2024 and December 31, 2023, the Company was authorized to issue 300,000,000 shares of its common stock, $0.0001 par value per share, and 231,769,765 and 226,063,032 shares of common stock were outstanding as of March 31, 2024 and December 31, 2023, respectively. After giving effect to the 33,596,877 shares reserved for outstanding warrants and awards issued or reserved for future issuance under the Company’s equity incentive plans, as of March 31, 2024 there were 34,633,358 shares of common stock available for issuance.</w:t>
      </w:r>
    </w:p>
    <w:p>
      <w:pPr>
        <w:pStyle w:val="TextBody"/>
        <w:bidi w:val="0"/>
        <w:spacing w:before="0" w:after="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Warrants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720"/>
        <w:jc w:val="left"/>
        <w:rPr/>
      </w:pPr>
      <w:r>
        <w:rPr/>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January 10, 2024, a former noteholder of the Company exercised a warrant to purchase 4 million shares of the Company’s common stock on a cashless basis and the Company issued 1,977,514 shares of common stock to this noteholder. On March 8, 2024 Hayfin and its affiliates exercised warrants to purchase an aggregate of 3,388,681 shares of the Company’s common stock on a cashless basis and the Company issued 2,482,205 shares of common stock to Hayfin and its affiliates. On March 14, 2024 an entity associated with another former noteholder of the Company exercised a warrant to purchase 169,651 shares of the Company’s common stock on a cashless basis and the Company issued 85,784 shares of common stock to this entity.</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February 24, 2024, a warrant to purchase 34,800 shares of the Company’s common stock held by a former noteholder of the Company expired in accordance with its terms. At March 31, 2024 and December 31, 2023, the Company had outstanding warrants to purchase an aggregate of 4,909,774 and 12,502,906 shares, respectively, of common stock, with weighted-average exercise prices of $2.51 and $2.32 per share, respectively, with expiration dates ranging between October 2024 and May 2030. The following table summarizes information about warrants outstanding for the three months ended March 31, 2024:</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9034" w:type="dxa"/>
        <w:jc w:val="left"/>
        <w:tblInd w:w="0" w:type="dxa"/>
        <w:tblLayout w:type="fixed"/>
        <w:tblCellMar>
          <w:top w:w="0" w:type="dxa"/>
          <w:left w:w="0" w:type="dxa"/>
          <w:bottom w:w="0" w:type="dxa"/>
          <w:right w:w="0" w:type="dxa"/>
        </w:tblCellMar>
      </w:tblPr>
      <w:tblGrid>
        <w:gridCol w:w="4190"/>
        <w:gridCol w:w="60"/>
        <w:gridCol w:w="60"/>
        <w:gridCol w:w="1100"/>
        <w:gridCol w:w="95"/>
        <w:gridCol w:w="60"/>
        <w:gridCol w:w="822"/>
        <w:gridCol w:w="2587"/>
        <w:gridCol w:w="60"/>
      </w:tblGrid>
      <w:tr>
        <w:trPr/>
        <w:tc>
          <w:tcPr>
            <w:tcW w:w="4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 Average Exercise Price</w:t>
            </w:r>
          </w:p>
        </w:tc>
        <w:tc>
          <w:tcPr>
            <w:tcW w:w="6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44" w:right="0" w:hanging="0"/>
              <w:jc w:val="left"/>
              <w:rPr/>
            </w:pPr>
            <w:r>
              <w:rPr/>
              <w:t>Warrants outstanding at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12,502,906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2" w:type="dxa"/>
            <w:tcBorders/>
            <w:shd w:fill="CCEEFF" w:val="clear"/>
            <w:vAlign w:val="bottom"/>
          </w:tcPr>
          <w:p>
            <w:pPr>
              <w:pStyle w:val="TableContents"/>
              <w:bidi w:val="0"/>
              <w:spacing w:before="0" w:after="0"/>
              <w:jc w:val="left"/>
              <w:rPr/>
            </w:pPr>
            <w:r>
              <w:rPr/>
              <w:t>$</w:t>
            </w:r>
          </w:p>
        </w:tc>
        <w:tc>
          <w:tcPr>
            <w:tcW w:w="2587" w:type="dxa"/>
            <w:tcBorders/>
            <w:shd w:fill="CCEEFF" w:val="clear"/>
            <w:vAlign w:val="bottom"/>
          </w:tcPr>
          <w:p>
            <w:pPr>
              <w:pStyle w:val="TableContents"/>
              <w:bidi w:val="0"/>
              <w:spacing w:before="0" w:after="0"/>
              <w:jc w:val="right"/>
              <w:rPr/>
            </w:pPr>
            <w:r>
              <w:rPr/>
              <w:t>2.32</w:t>
            </w:r>
          </w:p>
        </w:tc>
        <w:tc>
          <w:tcPr>
            <w:tcW w:w="60" w:type="dxa"/>
            <w:tcBorders/>
            <w:shd w:fill="CCEEFF" w:val="clear"/>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0"/>
              <w:ind w:left="144" w:right="0" w:hanging="144"/>
              <w:jc w:val="left"/>
              <w:rPr/>
            </w:pPr>
            <w:r>
              <w:rPr/>
              <w:t>Expired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(34,800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822" w:type="dxa"/>
            <w:tcBorders/>
            <w:vAlign w:val="bottom"/>
          </w:tcPr>
          <w:p>
            <w:pPr>
              <w:pStyle w:val="TableContents"/>
              <w:bidi w:val="0"/>
              <w:spacing w:before="0" w:after="0"/>
              <w:jc w:val="left"/>
              <w:rPr/>
            </w:pPr>
            <w:r>
              <w:rPr/>
              <w:t>$</w:t>
            </w:r>
          </w:p>
        </w:tc>
        <w:tc>
          <w:tcPr>
            <w:tcW w:w="2587" w:type="dxa"/>
            <w:tcBorders/>
            <w:vAlign w:val="bottom"/>
          </w:tcPr>
          <w:p>
            <w:pPr>
              <w:pStyle w:val="TableContents"/>
              <w:bidi w:val="0"/>
              <w:spacing w:before="0" w:after="0"/>
              <w:jc w:val="right"/>
              <w:rPr/>
            </w:pPr>
            <w:r>
              <w:rPr/>
              <w:t>7.50</w:t>
            </w:r>
          </w:p>
        </w:tc>
        <w:tc>
          <w:tcPr>
            <w:tcW w:w="6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44" w:right="0" w:hanging="144"/>
              <w:jc w:val="left"/>
              <w:rPr/>
            </w:pPr>
            <w:r>
              <w:rPr/>
              <w:t>Granted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2" w:type="dxa"/>
            <w:tcBorders/>
            <w:shd w:fill="CCEEFF" w:val="clear"/>
            <w:vAlign w:val="bottom"/>
          </w:tcPr>
          <w:p>
            <w:pPr>
              <w:pStyle w:val="TableContents"/>
              <w:bidi w:val="0"/>
              <w:spacing w:before="0" w:after="0"/>
              <w:jc w:val="left"/>
              <w:rPr/>
            </w:pPr>
            <w:r>
              <w:rPr/>
              <w:t>$</w:t>
            </w:r>
          </w:p>
        </w:tc>
        <w:tc>
          <w:tcPr>
            <w:tcW w:w="258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0"/>
              <w:ind w:left="144" w:right="0" w:hanging="144"/>
              <w:jc w:val="left"/>
              <w:rPr/>
            </w:pPr>
            <w:r>
              <w:rPr/>
              <w:t>Exercised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(7,558,332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822" w:type="dxa"/>
            <w:tcBorders/>
            <w:vAlign w:val="bottom"/>
          </w:tcPr>
          <w:p>
            <w:pPr>
              <w:pStyle w:val="TableContents"/>
              <w:bidi w:val="0"/>
              <w:spacing w:before="0" w:after="0"/>
              <w:jc w:val="left"/>
              <w:rPr/>
            </w:pPr>
            <w:r>
              <w:rPr/>
              <w:t>$</w:t>
            </w:r>
          </w:p>
        </w:tc>
        <w:tc>
          <w:tcPr>
            <w:tcW w:w="2587" w:type="dxa"/>
            <w:tcBorders/>
            <w:vAlign w:val="bottom"/>
          </w:tcPr>
          <w:p>
            <w:pPr>
              <w:pStyle w:val="TableContents"/>
              <w:bidi w:val="0"/>
              <w:spacing w:before="0" w:after="0"/>
              <w:jc w:val="right"/>
              <w:rPr/>
            </w:pPr>
            <w:r>
              <w:rPr/>
              <w:t>2.16</w:t>
            </w:r>
          </w:p>
        </w:tc>
        <w:tc>
          <w:tcPr>
            <w:tcW w:w="6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44" w:right="0" w:hanging="0"/>
              <w:jc w:val="left"/>
              <w:rPr/>
            </w:pPr>
            <w:r>
              <w:rPr/>
              <w:t>Warrants outstanding at March 31, 2024</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4,909,774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2" w:type="dxa"/>
            <w:tcBorders/>
            <w:shd w:fill="CCEEFF" w:val="clear"/>
            <w:vAlign w:val="bottom"/>
          </w:tcPr>
          <w:p>
            <w:pPr>
              <w:pStyle w:val="TableContents"/>
              <w:bidi w:val="0"/>
              <w:spacing w:before="0" w:after="0"/>
              <w:jc w:val="left"/>
              <w:rPr/>
            </w:pPr>
            <w:r>
              <w:rPr/>
              <w:t>$</w:t>
            </w:r>
          </w:p>
        </w:tc>
        <w:tc>
          <w:tcPr>
            <w:tcW w:w="2587" w:type="dxa"/>
            <w:tcBorders/>
            <w:shd w:fill="CCEEFF" w:val="clear"/>
            <w:vAlign w:val="bottom"/>
          </w:tcPr>
          <w:p>
            <w:pPr>
              <w:pStyle w:val="TableContents"/>
              <w:bidi w:val="0"/>
              <w:spacing w:before="0" w:after="0"/>
              <w:jc w:val="right"/>
              <w:rPr/>
            </w:pPr>
            <w:r>
              <w:rPr/>
              <w:t>2.51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firstLine="720"/>
        <w:jc w:val="left"/>
        <w:rPr>
          <w:color w:val="000000"/>
          <w:shd w:fill="FFFFFF" w:val="clear"/>
        </w:rPr>
      </w:pPr>
      <w:r>
        <w:rPr>
          <w:caps w:val="false"/>
          <w:smallCaps w:val="false"/>
          <w:color w:val="000000"/>
          <w:shd w:fill="FFFFFF" w:val="clear"/>
        </w:rPr>
        <w:t> </w:t>
      </w:r>
      <w:r>
        <w:rPr>
          <w:color w:val="000000"/>
          <w:shd w:fill="FFFFFF" w:val="clear"/>
        </w:rPr>
        <w:t xml:space="preserve">   </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Equity Incentive Plans</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2024 and 2023:</w:t>
      </w:r>
    </w:p>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p>
    <w:tbl>
      <w:tblPr>
        <w:tblW w:w="4569" w:type="dxa"/>
        <w:jc w:val="left"/>
        <w:tblInd w:w="0" w:type="dxa"/>
        <w:tblLayout w:type="fixed"/>
        <w:tblCellMar>
          <w:top w:w="0" w:type="dxa"/>
          <w:left w:w="0" w:type="dxa"/>
          <w:bottom w:w="0" w:type="dxa"/>
          <w:right w:w="0" w:type="dxa"/>
        </w:tblCellMar>
      </w:tblPr>
      <w:tblGrid>
        <w:gridCol w:w="1745"/>
        <w:gridCol w:w="60"/>
        <w:gridCol w:w="1285"/>
        <w:gridCol w:w="67"/>
        <w:gridCol w:w="67"/>
        <w:gridCol w:w="1285"/>
        <w:gridCol w:w="60"/>
      </w:tblGrid>
      <w:tr>
        <w:trPr/>
        <w:tc>
          <w:tcPr>
            <w:tcW w:w="174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2704" w:type="dxa"/>
            <w:gridSpan w:val="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Three Months Ended March 31,</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28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8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2023</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Expected term</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5.5 - 6.3 years</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5.5 - 6.3 years</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Volatility</w:t>
            </w:r>
          </w:p>
        </w:tc>
        <w:tc>
          <w:tcPr>
            <w:tcW w:w="60" w:type="dxa"/>
            <w:tcBorders/>
            <w:vAlign w:val="bottom"/>
          </w:tcPr>
          <w:p>
            <w:pPr>
              <w:pStyle w:val="TableContents"/>
              <w:bidi w:val="0"/>
              <w:spacing w:before="0" w:after="283"/>
              <w:jc w:val="right"/>
              <w:rPr/>
            </w:pPr>
            <w:r>
              <w:rPr/>
              <w:t> </w:t>
            </w:r>
          </w:p>
        </w:tc>
        <w:tc>
          <w:tcPr>
            <w:tcW w:w="1285" w:type="dxa"/>
            <w:tcBorders/>
            <w:vAlign w:val="bottom"/>
          </w:tcPr>
          <w:p>
            <w:pPr>
              <w:pStyle w:val="TableContents"/>
              <w:bidi w:val="0"/>
              <w:spacing w:before="0" w:after="283"/>
              <w:jc w:val="center"/>
              <w:rPr/>
            </w:pPr>
            <w:r>
              <w:rPr/>
              <w:t>66%</w:t>
            </w:r>
          </w:p>
        </w:tc>
        <w:tc>
          <w:tcPr>
            <w:tcW w:w="67" w:type="dxa"/>
            <w:tcBorders/>
            <w:vAlign w:val="bottom"/>
          </w:tcPr>
          <w:p>
            <w:pPr>
              <w:pStyle w:val="TableContents"/>
              <w:bidi w:val="0"/>
              <w:spacing w:before="0" w:after="283"/>
              <w:jc w:val="left"/>
              <w:rPr/>
            </w:pPr>
            <w:r>
              <w:rPr/>
            </w:r>
          </w:p>
        </w:tc>
        <w:tc>
          <w:tcPr>
            <w:tcW w:w="67" w:type="dxa"/>
            <w:tcBorders/>
            <w:vAlign w:val="bottom"/>
          </w:tcPr>
          <w:p>
            <w:pPr>
              <w:pStyle w:val="TableContents"/>
              <w:bidi w:val="0"/>
              <w:spacing w:before="0" w:after="283"/>
              <w:jc w:val="right"/>
              <w:rPr/>
            </w:pPr>
            <w:r>
              <w:rPr/>
              <w:t> </w:t>
            </w:r>
          </w:p>
        </w:tc>
        <w:tc>
          <w:tcPr>
            <w:tcW w:w="1285" w:type="dxa"/>
            <w:tcBorders/>
            <w:vAlign w:val="bottom"/>
          </w:tcPr>
          <w:p>
            <w:pPr>
              <w:pStyle w:val="TableContents"/>
              <w:bidi w:val="0"/>
              <w:spacing w:before="0" w:after="283"/>
              <w:jc w:val="center"/>
              <w:rPr/>
            </w:pPr>
            <w:r>
              <w:rPr/>
              <w:t>68%</w:t>
            </w:r>
          </w:p>
        </w:tc>
        <w:tc>
          <w:tcPr>
            <w:tcW w:w="60" w:type="dxa"/>
            <w:tcBorders/>
            <w:vAlign w:val="bottom"/>
          </w:tcPr>
          <w:p>
            <w:pPr>
              <w:pStyle w:val="TableContents"/>
              <w:bidi w:val="0"/>
              <w:spacing w:before="0" w:after="283"/>
              <w:jc w:val="left"/>
              <w:rPr/>
            </w:pPr>
            <w:r>
              <w:rPr/>
            </w:r>
          </w:p>
        </w:tc>
      </w:tr>
      <w:tr>
        <w:trPr/>
        <w:tc>
          <w:tcPr>
            <w:tcW w:w="1745"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Dividend yield</w:t>
            </w:r>
          </w:p>
        </w:tc>
        <w:tc>
          <w:tcPr>
            <w:tcW w:w="60" w:type="dxa"/>
            <w:tcBorders/>
            <w:shd w:fill="CCEEFF" w:val="clear"/>
            <w:vAlign w:val="bottom"/>
          </w:tcPr>
          <w:p>
            <w:pPr>
              <w:pStyle w:val="TableContents"/>
              <w:bidi w:val="0"/>
              <w:spacing w:before="0" w:after="283"/>
              <w:jc w:val="right"/>
              <w:rPr/>
            </w:pPr>
            <w:r>
              <w:rPr/>
              <w:t> </w:t>
            </w:r>
          </w:p>
        </w:tc>
        <w:tc>
          <w:tcPr>
            <w:tcW w:w="1285" w:type="dxa"/>
            <w:tcBorders/>
            <w:shd w:fill="CCEEFF" w:val="clear"/>
            <w:vAlign w:val="bottom"/>
          </w:tcPr>
          <w:p>
            <w:pPr>
              <w:pStyle w:val="TableContents"/>
              <w:bidi w:val="0"/>
              <w:spacing w:before="0" w:after="283"/>
              <w:jc w:val="center"/>
              <w:rPr/>
            </w:pPr>
            <w:r>
              <w:rPr/>
              <w:t>0.0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285" w:type="dxa"/>
            <w:tcBorders/>
            <w:shd w:fill="CCEEFF" w:val="clear"/>
            <w:vAlign w:val="bottom"/>
          </w:tcPr>
          <w:p>
            <w:pPr>
              <w:pStyle w:val="TableContents"/>
              <w:bidi w:val="0"/>
              <w:spacing w:before="0" w:after="283"/>
              <w:jc w:val="center"/>
              <w:rPr/>
            </w:pPr>
            <w:r>
              <w:rPr/>
              <w:t>0.0</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ind w:left="144" w:right="0" w:hanging="144"/>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Risk-free interest rate</w:t>
            </w:r>
          </w:p>
        </w:tc>
        <w:tc>
          <w:tcPr>
            <w:tcW w:w="60" w:type="dxa"/>
            <w:tcBorders/>
            <w:vAlign w:val="bottom"/>
          </w:tcPr>
          <w:p>
            <w:pPr>
              <w:pStyle w:val="TableContents"/>
              <w:bidi w:val="0"/>
              <w:spacing w:before="0" w:after="283"/>
              <w:jc w:val="right"/>
              <w:rPr/>
            </w:pPr>
            <w:r>
              <w:rPr/>
              <w:t> </w:t>
            </w:r>
          </w:p>
        </w:tc>
        <w:tc>
          <w:tcPr>
            <w:tcW w:w="1285" w:type="dxa"/>
            <w:tcBorders/>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4.29%</w:t>
            </w:r>
          </w:p>
        </w:tc>
        <w:tc>
          <w:tcPr>
            <w:tcW w:w="67" w:type="dxa"/>
            <w:tcBorders/>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tc>
        <w:tc>
          <w:tcPr>
            <w:tcW w:w="67" w:type="dxa"/>
            <w:tcBorders/>
            <w:vAlign w:val="bottom"/>
          </w:tcPr>
          <w:p>
            <w:pPr>
              <w:pStyle w:val="TableContents"/>
              <w:bidi w:val="0"/>
              <w:spacing w:before="0" w:after="283"/>
              <w:jc w:val="right"/>
              <w:rPr/>
            </w:pPr>
            <w:r>
              <w:rPr/>
              <w:t> </w:t>
            </w:r>
          </w:p>
        </w:tc>
        <w:tc>
          <w:tcPr>
            <w:tcW w:w="1285" w:type="dxa"/>
            <w:tcBorders/>
            <w:vAlign w:val="bottom"/>
          </w:tcPr>
          <w:p>
            <w:pPr>
              <w:pStyle w:val="TableContents"/>
              <w:bidi w:val="0"/>
              <w:spacing w:before="0" w:after="0"/>
              <w:jc w:val="center"/>
              <w:rPr>
                <w:rFonts w:ascii="Times New Roman" w:hAnsi="Times New Roman"/>
                <w:caps w:val="false"/>
                <w:smallCaps w:val="false"/>
                <w:color w:val="000000"/>
                <w:sz w:val="20"/>
              </w:rPr>
            </w:pPr>
            <w:r>
              <w:rPr>
                <w:rFonts w:ascii="Times New Roman" w:hAnsi="Times New Roman"/>
                <w:caps w:val="false"/>
                <w:smallCaps w:val="false"/>
                <w:color w:val="000000"/>
                <w:sz w:val="20"/>
              </w:rPr>
              <w:t>4.20-4.24%</w:t>
            </w:r>
          </w:p>
        </w:tc>
        <w:tc>
          <w:tcPr>
            <w:tcW w:w="60" w:type="dxa"/>
            <w:tcBorders/>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tc>
      </w:tr>
    </w:tbl>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three months ended March 31, 2024 and 2023, the Company granted options to purchase an aggregate of 1,096,196 and 1,727,510 shares of common stock, respectively, to its directors and employees.  The weighted average remaining contractual life of stock options outstanding and expected to vest at March 31, 2024 is 7.4 years. The weighted average remaining contractual life of stock options exercisable at March 31, 2024 is 6.0 years. During the three months ended March 31, 2024, options to purchase an aggregate of 393,993 shares of common stock were exercised, which included one exercise transaction for which 7,652 shares were withheld to cover the exercise price, and the Company received aggregate net exercise proceeds of $1.0 million.</w:t>
      </w:r>
    </w:p>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r>
        <w:rPr>
          <w:caps w:val="false"/>
          <w:smallCaps w:val="false"/>
          <w:color w:val="000000"/>
          <w:shd w:fill="FFFFFF" w:val="clear"/>
        </w:rPr>
        <w:t>  </w:t>
      </w:r>
      <w:r>
        <w:rPr>
          <w:color w:val="000000"/>
          <w:shd w:fill="FFFFFF" w:val="clear"/>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 summary of the Company’s option activity under the Company’s equity incentive plans and related information is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tbl>
      <w:tblPr>
        <w:tblW w:w="8314" w:type="dxa"/>
        <w:jc w:val="left"/>
        <w:tblInd w:w="0" w:type="dxa"/>
        <w:tblLayout w:type="fixed"/>
        <w:tblCellMar>
          <w:top w:w="0" w:type="dxa"/>
          <w:left w:w="0" w:type="dxa"/>
          <w:bottom w:w="0" w:type="dxa"/>
          <w:right w:w="0" w:type="dxa"/>
        </w:tblCellMar>
      </w:tblPr>
      <w:tblGrid>
        <w:gridCol w:w="5840"/>
        <w:gridCol w:w="60"/>
        <w:gridCol w:w="60"/>
        <w:gridCol w:w="875"/>
        <w:gridCol w:w="95"/>
        <w:gridCol w:w="60"/>
        <w:gridCol w:w="301"/>
        <w:gridCol w:w="948"/>
        <w:gridCol w:w="75"/>
      </w:tblGrid>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9" w:type="dxa"/>
            <w:gridSpan w:val="2"/>
            <w:tcBorders/>
            <w:vAlign w:val="bottom"/>
          </w:tcPr>
          <w:p>
            <w:pPr>
              <w:pStyle w:val="TableContents"/>
              <w:bidi w:val="0"/>
              <w:spacing w:before="0" w:after="283"/>
              <w:jc w:val="center"/>
              <w:rPr>
                <w:b/>
              </w:rPr>
            </w:pPr>
            <w:r>
              <w:rPr>
                <w:b/>
              </w:rPr>
              <w:t xml:space="preserve">Weighted </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9" w:type="dxa"/>
            <w:gridSpan w:val="2"/>
            <w:tcBorders/>
            <w:vAlign w:val="bottom"/>
          </w:tcPr>
          <w:p>
            <w:pPr>
              <w:pStyle w:val="TableContents"/>
              <w:bidi w:val="0"/>
              <w:spacing w:before="0" w:after="283"/>
              <w:jc w:val="center"/>
              <w:rPr>
                <w:b/>
              </w:rPr>
            </w:pPr>
            <w:r>
              <w:rPr>
                <w:b/>
              </w:rPr>
              <w:t xml:space="preserve">Average </w:t>
            </w:r>
          </w:p>
        </w:tc>
        <w:tc>
          <w:tcPr>
            <w:tcW w:w="7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Exercise Price</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vested and expected to vest at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5,906,184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3.38</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(13,202</w:t>
            </w:r>
          </w:p>
        </w:tc>
        <w:tc>
          <w:tcPr>
            <w:tcW w:w="95"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2.00</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(176,434</w:t>
            </w:r>
          </w:p>
        </w:tc>
        <w:tc>
          <w:tcPr>
            <w:tcW w:w="95"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8.48</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1,096,196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5.40</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(393,993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xml:space="preserve">$ </w:t>
            </w:r>
          </w:p>
        </w:tc>
        <w:tc>
          <w:tcPr>
            <w:tcW w:w="948" w:type="dxa"/>
            <w:tcBorders/>
            <w:shd w:fill="CCEEFF" w:val="clear"/>
            <w:vAlign w:val="bottom"/>
          </w:tcPr>
          <w:p>
            <w:pPr>
              <w:pStyle w:val="TableContents"/>
              <w:bidi w:val="0"/>
              <w:spacing w:before="0" w:after="283"/>
              <w:jc w:val="right"/>
              <w:rPr/>
            </w:pPr>
            <w:r>
              <w:rPr/>
              <w:t>2.73</w:t>
            </w:r>
          </w:p>
        </w:tc>
        <w:tc>
          <w:tcPr>
            <w:tcW w:w="7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vested and expected to vest at March 31, 2024</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6,418,751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3.63</w:t>
            </w:r>
          </w:p>
        </w:tc>
        <w:tc>
          <w:tcPr>
            <w:tcW w:w="7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30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Options exercisable</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3,476,976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3.55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March 31, 2024, the Company had $6.9 million of unrecognized compensation expense related to options granted under the Company’s equity incentive plans, which is expected to be recognized over a weighted-average period of 2.9 years.</w:t>
      </w:r>
    </w:p>
    <w:p>
      <w:pPr>
        <w:pStyle w:val="TextBody"/>
        <w:bidi w:val="0"/>
        <w:spacing w:before="0" w:after="0"/>
        <w:jc w:val="left"/>
        <w:rPr/>
      </w:pPr>
      <w:r>
        <w:rPr/>
      </w:r>
    </w:p>
    <w:p>
      <w:pPr>
        <w:pStyle w:val="TextBody"/>
        <w:bidi w:val="0"/>
        <w:spacing w:before="0" w:after="0"/>
        <w:ind w:left="180" w:right="0" w:hanging="180"/>
        <w:jc w:val="left"/>
        <w:rPr>
          <w:color w:val="000000"/>
          <w:shd w:fill="FFFFFF" w:val="clear"/>
        </w:rPr>
      </w:pPr>
      <w:r>
        <w:rPr>
          <w:caps w:val="false"/>
          <w:smallCaps w:val="false"/>
          <w:color w:val="000000"/>
          <w:shd w:fill="FFFFFF" w:val="clear"/>
        </w:rPr>
        <w:t> </w:t>
      </w:r>
      <w:r>
        <w:rPr>
          <w:color w:val="000000"/>
          <w:shd w:fill="FFFFFF" w:val="clear"/>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aps w:val="false"/>
          <w:smallCaps w:val="false"/>
          <w:color w:val="000000"/>
          <w:sz w:val="20"/>
          <w:shd w:fill="FFFFFF" w:val="clear"/>
        </w:rPr>
        <w:t>During the three months ended March 31, 2024 and 2023, the Company granted RSUs representing an aggregate of 2,484,968 and 2,666,260 shares, respectively, to certain employees of the Company and to members of its Board of Directors</w:t>
      </w:r>
      <w:r>
        <w:rPr>
          <w:rFonts w:ascii="Times New Roman" w:hAnsi="Times New Roman"/>
          <w:color w:val="000000"/>
          <w:sz w:val="20"/>
          <w:shd w:fill="FFFFFF" w:val="clear"/>
        </w:rPr>
        <w:t>. These RSUs generally vest annually over a period</w:t>
      </w:r>
      <w:r>
        <w:rPr>
          <w:rFonts w:ascii="Times New Roman" w:hAnsi="Times New Roman"/>
          <w:caps w:val="false"/>
          <w:smallCaps w:val="false"/>
          <w:color w:val="000000"/>
          <w:sz w:val="20"/>
          <w:shd w:fill="FFFFFF" w:val="clear"/>
        </w:rPr>
        <w:t xml:space="preserve"> of four years for employees and semi-annually over a period of one year for directors</w:t>
      </w:r>
      <w:r>
        <w:rPr>
          <w:rFonts w:ascii="Times New Roman" w:hAnsi="Times New Roman"/>
          <w:b w:val="false"/>
          <w:i w:val="false"/>
          <w:caps w:val="false"/>
          <w:smallCaps w:val="false"/>
          <w:color w:val="000000"/>
          <w:spacing w:val="0"/>
          <w:sz w:val="20"/>
          <w:shd w:fill="FFFFFF" w:val="clear"/>
        </w:rPr>
        <w:t>.</w:t>
      </w:r>
      <w:r>
        <w:rPr>
          <w:rFonts w:ascii="Times New Roman" w:hAnsi="Times New Roman"/>
          <w:caps w:val="false"/>
          <w:smallCaps w:val="false"/>
          <w:color w:val="000000"/>
          <w:sz w:val="20"/>
          <w:shd w:fill="FFFFFF" w:val="clear"/>
        </w:rPr>
        <w:t xml:space="preserve"> During the three months ended March 31, 2024, an aggregate of 1,145,292 shares of common stock vested in connection with grants of RSUs. With respect to these vested RSUs, 370,403 shares valued at approximately $2.5 million were withheld by the Company to cover employees’ tax liabilities. These shares were no longer outstanding as of March 31, 2024. A summary of the Company’s unvested RSU activity and related information is as follows:</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5359" w:type="dxa"/>
        <w:jc w:val="left"/>
        <w:tblInd w:w="0" w:type="dxa"/>
        <w:tblLayout w:type="fixed"/>
        <w:tblCellMar>
          <w:top w:w="0" w:type="dxa"/>
          <w:left w:w="0" w:type="dxa"/>
          <w:bottom w:w="0" w:type="dxa"/>
          <w:right w:w="0" w:type="dxa"/>
        </w:tblCellMar>
      </w:tblPr>
      <w:tblGrid>
        <w:gridCol w:w="2510"/>
        <w:gridCol w:w="60"/>
        <w:gridCol w:w="60"/>
        <w:gridCol w:w="905"/>
        <w:gridCol w:w="80"/>
        <w:gridCol w:w="60"/>
        <w:gridCol w:w="397"/>
        <w:gridCol w:w="1212"/>
        <w:gridCol w:w="75"/>
      </w:tblGrid>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center"/>
              <w:rPr/>
            </w:pPr>
            <w:r>
              <w:rPr/>
              <w:t> </w:t>
            </w:r>
            <w:r>
              <w:rPr>
                <w:b/>
              </w:rPr>
              <w:t xml:space="preserve">Weighted </w:t>
            </w:r>
          </w:p>
        </w:tc>
        <w:tc>
          <w:tcPr>
            <w:tcW w:w="7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center"/>
              <w:rPr/>
            </w:pPr>
            <w:r>
              <w:rPr/>
              <w:t> </w:t>
            </w:r>
            <w:r>
              <w:rPr>
                <w:b/>
              </w:rPr>
              <w:t>Average Grant</w:t>
            </w:r>
          </w:p>
        </w:tc>
        <w:tc>
          <w:tcPr>
            <w:tcW w:w="7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Date Fair Value</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4,657,297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2.81</w:t>
            </w:r>
          </w:p>
        </w:tc>
        <w:tc>
          <w:tcPr>
            <w:tcW w:w="7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2,484,968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5.40</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(1,145,292</w:t>
            </w:r>
          </w:p>
        </w:tc>
        <w:tc>
          <w:tcPr>
            <w:tcW w:w="80"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2.64</w:t>
            </w:r>
          </w:p>
        </w:tc>
        <w:tc>
          <w:tcPr>
            <w:tcW w:w="7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(102,250</w:t>
            </w:r>
          </w:p>
        </w:tc>
        <w:tc>
          <w:tcPr>
            <w:tcW w:w="80"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bottom"/>
          </w:tcPr>
          <w:p>
            <w:pPr>
              <w:pStyle w:val="TableContents"/>
              <w:bidi w:val="0"/>
              <w:spacing w:before="0" w:after="283"/>
              <w:jc w:val="right"/>
              <w:rPr/>
            </w:pPr>
            <w:r>
              <w:rPr/>
              <w:t> </w:t>
            </w:r>
          </w:p>
        </w:tc>
        <w:tc>
          <w:tcPr>
            <w:tcW w:w="397" w:type="dxa"/>
            <w:tcBorders/>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2.82</w:t>
            </w:r>
          </w:p>
        </w:tc>
        <w:tc>
          <w:tcPr>
            <w:tcW w:w="7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44"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5,894,723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212"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March 31, 2024, the Company had $22.1 million of unrecognized compensation expense related to unvested RSUs granted under the Company’s equity incentive plans, which is expected to be recognized over a weighted-average period of 3.3 years.</w:t>
      </w:r>
    </w:p>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r>
        <w:rPr>
          <w:caps w:val="false"/>
          <w:smallCaps w:val="false"/>
          <w:color w:val="000000"/>
          <w:shd w:fill="FFFFFF" w:val="clear"/>
        </w:rPr>
        <w:t>  </w:t>
      </w:r>
      <w:r>
        <w:rPr>
          <w:color w:val="000000"/>
          <w:shd w:fill="FFFFFF" w:val="clear"/>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Total stock-based compensation expense for all awards granted under the Company’s equity incentive plans for the three months ended March 31, 2024 and 2023 is as follows:</w:t>
      </w:r>
    </w:p>
    <w:p>
      <w:pPr>
        <w:pStyle w:val="TextBody"/>
        <w:bidi w:val="0"/>
        <w:spacing w:before="0" w:after="0"/>
        <w:jc w:val="left"/>
        <w:rPr>
          <w:color w:val="000000"/>
          <w:shd w:fill="FFFFFF" w:val="clear"/>
        </w:rPr>
      </w:pPr>
      <w:r>
        <w:rPr>
          <w:caps w:val="false"/>
          <w:smallCaps w:val="false"/>
          <w:color w:val="000000"/>
          <w:shd w:fill="FFFFFF" w:val="clear"/>
        </w:rPr>
        <w:t> </w:t>
      </w:r>
      <w:r>
        <w:rPr>
          <w:color w:val="000000"/>
          <w:shd w:fill="FFFFFF" w:val="clear"/>
        </w:rPr>
        <w:t xml:space="preserve"> </w:t>
      </w:r>
      <w:r>
        <w:rPr>
          <w:caps w:val="false"/>
          <w:smallCaps w:val="false"/>
          <w:color w:val="000000"/>
          <w:shd w:fill="FFFFFF" w:val="clear"/>
        </w:rPr>
        <w:t> </w:t>
      </w:r>
    </w:p>
    <w:tbl>
      <w:tblPr>
        <w:tblW w:w="6174" w:type="dxa"/>
        <w:jc w:val="left"/>
        <w:tblInd w:w="0" w:type="dxa"/>
        <w:tblLayout w:type="fixed"/>
        <w:tblCellMar>
          <w:top w:w="0" w:type="dxa"/>
          <w:left w:w="0" w:type="dxa"/>
          <w:bottom w:w="0" w:type="dxa"/>
          <w:right w:w="0" w:type="dxa"/>
        </w:tblCellMar>
      </w:tblPr>
      <w:tblGrid>
        <w:gridCol w:w="3350"/>
        <w:gridCol w:w="60"/>
        <w:gridCol w:w="252"/>
        <w:gridCol w:w="979"/>
        <w:gridCol w:w="121"/>
        <w:gridCol w:w="121"/>
        <w:gridCol w:w="252"/>
        <w:gridCol w:w="979"/>
        <w:gridCol w:w="60"/>
      </w:tblGrid>
      <w:tr>
        <w:trPr/>
        <w:tc>
          <w:tcPr>
            <w:tcW w:w="33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270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2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7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17</w:t>
            </w:r>
          </w:p>
        </w:tc>
        <w:tc>
          <w:tcPr>
            <w:tcW w:w="121"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7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Plasma center operating expenses</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39</w:t>
            </w:r>
          </w:p>
        </w:tc>
        <w:tc>
          <w:tcPr>
            <w:tcW w:w="12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23</w:t>
            </w:r>
          </w:p>
        </w:tc>
        <w:tc>
          <w:tcPr>
            <w:tcW w:w="6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1,841</w:t>
            </w:r>
          </w:p>
        </w:tc>
        <w:tc>
          <w:tcPr>
            <w:tcW w:w="121"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978</w:t>
            </w:r>
          </w:p>
        </w:tc>
        <w:tc>
          <w:tcPr>
            <w:tcW w:w="60"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Cost of product revenue</w:t>
            </w:r>
          </w:p>
        </w:tc>
        <w:tc>
          <w:tcPr>
            <w:tcW w:w="60" w:type="dxa"/>
            <w:tcBorders/>
            <w:vAlign w:val="bottom"/>
          </w:tcPr>
          <w:p>
            <w:pPr>
              <w:pStyle w:val="TableContents"/>
              <w:bidi w:val="0"/>
              <w:spacing w:before="0" w:after="283"/>
              <w:jc w:val="righ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244</w:t>
            </w:r>
          </w:p>
        </w:tc>
        <w:tc>
          <w:tcPr>
            <w:tcW w:w="12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righ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bottom"/>
          </w:tcPr>
          <w:p>
            <w:pPr>
              <w:pStyle w:val="TableContents"/>
              <w:bidi w:val="0"/>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2,141</w:t>
            </w:r>
          </w:p>
        </w:tc>
        <w:tc>
          <w:tcPr>
            <w:tcW w:w="121"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1,110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83"/>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w:t>
            </w:r>
          </w:p>
        </w:tc>
        <w:tc>
          <w:tcPr>
            <w:tcW w:w="4160" w:type="dxa"/>
            <w:tcBorders/>
            <w:vAlign w:val="center"/>
          </w:tcPr>
          <w:p>
            <w:pPr>
              <w:pStyle w:val="TableContents"/>
              <w:bidi w:val="0"/>
              <w:spacing w:before="0" w:after="0"/>
              <w:jc w:val="left"/>
              <w:rPr>
                <w:b/>
                <w:u w:val="single"/>
              </w:rPr>
            </w:pPr>
            <w:r>
              <w:rPr>
                <w:b/>
                <w:u w:val="single"/>
              </w:rPr>
              <w:t>RELATED PARTY TRANSACTIONS</w:t>
            </w:r>
          </w:p>
        </w:tc>
      </w:tr>
    </w:tbl>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leases office space and equipment from Areth, LLC (“Areth”) pursuant to an agreement for services effective as of January 1, 2016, as amended from time to time, and pays monthly rent on this facility in the amount of $10,000 through December 31, 2026. Rent expense for the three months ended March 31, 2024 and 2023 amounted to $30,000. Areth is a company controlled by Dr. Jerrold B. Grossman, the Vice Chairman of the Company’s Board of Directors, and Adam S. Grossman, the Company’s President, Chief Executive Officer and Interim Chief Financial Officer. The Company also reimburses Areth for office and building-related (common area) expenses, equipment and certain other operational expenses, which were not material to the condensed consolidated financial statements for the three months ended March 31, 2024 and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March 31, 2024 and 2023, the Company purchased certain specialized medical equipment and services primarily related to the Company’s plasma collection centers, as well as personal protective equipment, from GenesisBPS and its affiliates (“Genesis”), aggregating to $0.1 million. Genesis is owned by Dr. Grossman and Mr. Grossman.</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371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COMMITMENTS AND CONTINGENCIES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General Legal Matters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 </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Vendor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wholly-owned ADMA plasma collection facilities.  During 2015, the Company amended the 2011 Plasma Purchase Agreement to (i) allow the Company to collect its raw material RSV high-titer plasma from any number of wholly-owned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On December 10, 2018, the Company’s former contract manufacturer assigned its rights and obligations under the 2011 Plasma Purchase Agreement to Grifols Worldwide Operations Limited (“Grifols”) as its successor-in-interest, effective January 1, 2019.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Post-Marketing Commitments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connection with the FDA’s approval of ASCENIV on April 1, 2019, the Company is required to perform a pediatric study to evaluate the safety and efficacy of ASCENIV in children and adolescents. For the three months ended March 31, 2024 and 2023, the Company incurred expenses related to this study in the amount of $0.3 million and $0.2 million, respectively. The Company expects to incur expenses of approximately $1.2 million to complete this study, which is required to be completed by June of 2026. </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Employment Contracts</w:t>
      </w:r>
    </w:p>
    <w:p>
      <w:pPr>
        <w:pStyle w:val="TextBody"/>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previously entered into employment agreements with Mr. Grossman and with Brian Lenz, the Company’s former Executive Vice President, Chief Financial Officer and General Manager, ADMA BioCenters. Effective as of April 1, 2024, Mr. Lenz transitioned to a non-employee consulting role and entered into a consulting agreement with the Company. On April 1, 2024, the Company entered into an employment agreement with Kaitlin Kestenberg, who was promoted to Chief Operating Officer and Senior Vice President, Compliance.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i/>
          <w:caps w:val="false"/>
          <w:smallCaps w:val="false"/>
          <w:color w:val="000000"/>
          <w:sz w:val="20"/>
          <w:u w:val="single"/>
          <w:shd w:fill="FFFFFF" w:val="clear"/>
        </w:rPr>
      </w:pPr>
      <w:r>
        <w:rPr>
          <w:rFonts w:ascii="Times New Roman" w:hAnsi="Times New Roman"/>
          <w:i/>
          <w:caps w:val="false"/>
          <w:smallCaps w:val="false"/>
          <w:color w:val="000000"/>
          <w:sz w:val="20"/>
          <w:u w:val="single"/>
          <w:shd w:fill="FFFFFF" w:val="clear"/>
        </w:rPr>
        <w:t>Other Commitments</w:t>
      </w:r>
    </w:p>
    <w:p>
      <w:pPr>
        <w:pStyle w:val="TextBody"/>
        <w:bidi w:val="0"/>
        <w:spacing w:before="0" w:after="0"/>
        <w:jc w:val="left"/>
        <w:rPr>
          <w:rFonts w:ascii="Times New Roman" w:hAnsi="Times New Roman"/>
          <w:i/>
          <w:caps w:val="false"/>
          <w:smallCaps w:val="false"/>
          <w:sz w:val="20"/>
          <w:u w:val="single"/>
        </w:rPr>
      </w:pPr>
      <w:r>
        <w:rPr>
          <w:rFonts w:ascii="Times New Roman" w:hAnsi="Times New Roman"/>
          <w:i/>
          <w:caps w:val="false"/>
          <w:smallCaps w:val="false"/>
          <w:sz w:val="20"/>
          <w:u w:val="single"/>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2024. The Company does not anticipate recognizing any significant losses relating to these arrangements.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111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SEGMENTS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aps w:val="false"/>
          <w:smallCaps w:val="false"/>
          <w:color w:val="000000"/>
          <w:sz w:val="20"/>
          <w:shd w:fill="FFFFFF" w:val="clear"/>
        </w:rPr>
        <w:t xml:space="preserve">The </w:t>
      </w:r>
      <w:r>
        <w:rPr>
          <w:rFonts w:ascii="Times New Roman" w:hAnsi="Times New Roman"/>
          <w:b w:val="false"/>
          <w:i w:val="false"/>
          <w:caps w:val="false"/>
          <w:smallCaps w:val="false"/>
          <w:color w:val="000000"/>
          <w:spacing w:val="0"/>
          <w:sz w:val="20"/>
          <w:shd w:fill="FFFFFF" w:val="clear"/>
        </w:rPr>
        <w:t>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w:t>
      </w:r>
      <w:r>
        <w:rPr>
          <w:rFonts w:ascii="Times New Roman" w:hAnsi="Times New Roman"/>
          <w:caps w:val="false"/>
          <w:smallCaps w:val="false"/>
          <w:color w:val="000000"/>
          <w:sz w:val="20"/>
          <w:shd w:fill="FFFFFF" w:val="clear"/>
        </w:rPr>
        <w:t xml:space="preserve"> </w:t>
      </w:r>
      <w:r>
        <w:rPr>
          <w:rFonts w:ascii="Times New Roman" w:hAnsi="Times New Roman"/>
          <w:color w:val="000000"/>
          <w:sz w:val="20"/>
          <w:shd w:fill="FFFFFF" w:val="clear"/>
        </w:rPr>
        <w:t xml:space="preserve">Summarized financial information concerning reportable segments is shown in the following tables: </w:t>
      </w:r>
    </w:p>
    <w:p>
      <w:pPr>
        <w:pStyle w:val="TextBody"/>
        <w:bidi w:val="0"/>
        <w:spacing w:before="0" w:after="0"/>
        <w:ind w:left="0" w:right="0" w:firstLine="72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28" w:type="dxa"/>
          <w:right w:w="0" w:type="dxa"/>
        </w:tblCellMar>
      </w:tblPr>
      <w:tblGrid>
        <w:gridCol w:w="2729"/>
        <w:gridCol w:w="60"/>
        <w:gridCol w:w="394"/>
        <w:gridCol w:w="2261"/>
        <w:gridCol w:w="95"/>
        <w:gridCol w:w="60"/>
        <w:gridCol w:w="299"/>
        <w:gridCol w:w="1459"/>
        <w:gridCol w:w="95"/>
        <w:gridCol w:w="60"/>
        <w:gridCol w:w="185"/>
        <w:gridCol w:w="900"/>
        <w:gridCol w:w="95"/>
        <w:gridCol w:w="60"/>
        <w:gridCol w:w="201"/>
        <w:gridCol w:w="1154"/>
        <w:gridCol w:w="98"/>
      </w:tblGrid>
      <w:tr>
        <w:trPr/>
        <w:tc>
          <w:tcPr>
            <w:tcW w:w="10107" w:type="dxa"/>
            <w:gridSpan w:val="16"/>
            <w:tcBorders>
              <w:bottom w:val="single" w:sz="12" w:space="0" w:color="000000"/>
            </w:tcBorders>
            <w:vAlign w:val="bottom"/>
          </w:tcPr>
          <w:p>
            <w:pPr>
              <w:pStyle w:val="TableContents"/>
              <w:bidi w:val="0"/>
              <w:spacing w:before="0" w:after="0"/>
              <w:jc w:val="center"/>
              <w:rPr>
                <w:b/>
                <w:color w:val="000000"/>
              </w:rPr>
            </w:pPr>
            <w:r>
              <w:rPr>
                <w:b/>
                <w:color w:val="000000"/>
              </w:rPr>
              <w:t xml:space="preserve">Three Months Ended </w:t>
            </w:r>
            <w:r>
              <w:rPr>
                <w:rFonts w:ascii="Times New Roman" w:hAnsi="Times New Roman"/>
                <w:b/>
                <w:caps w:val="false"/>
                <w:smallCaps w:val="false"/>
                <w:color w:val="000000"/>
                <w:sz w:val="20"/>
              </w:rPr>
              <w:t>March 31</w:t>
            </w:r>
            <w:r>
              <w:rPr>
                <w:b/>
                <w:color w:val="000000"/>
              </w:rPr>
              <w:t xml:space="preserve">, </w:t>
            </w:r>
            <w:r>
              <w:rPr>
                <w:rFonts w:ascii="Times New Roman" w:hAnsi="Times New Roman"/>
                <w:b/>
                <w:caps w:val="false"/>
                <w:smallCaps w:val="false"/>
                <w:color w:val="000000"/>
                <w:sz w:val="20"/>
              </w:rPr>
              <w:t>2024</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0"/>
              <w:jc w:val="center"/>
              <w:rPr>
                <w:i/>
                <w:color w:val="000000"/>
                <w:sz w:val="20"/>
              </w:rPr>
            </w:pPr>
            <w:r>
              <w:rPr>
                <w:i/>
                <w:color w:val="000000"/>
                <w:sz w:val="20"/>
              </w:rPr>
              <w:t>(in thousands)</w:t>
            </w:r>
          </w:p>
        </w:tc>
        <w:tc>
          <w:tcPr>
            <w:tcW w:w="60" w:type="dxa"/>
            <w:tcBorders/>
            <w:tcMar>
              <w:bottom w:w="0" w:type="dxa"/>
            </w:tcMar>
            <w:vAlign w:val="bottom"/>
          </w:tcPr>
          <w:p>
            <w:pPr>
              <w:pStyle w:val="TableContents"/>
              <w:bidi w:val="0"/>
              <w:spacing w:before="0" w:after="283"/>
              <w:jc w:val="left"/>
              <w:rPr/>
            </w:pPr>
            <w:r>
              <w:rPr/>
              <w:t> </w:t>
            </w:r>
          </w:p>
        </w:tc>
        <w:tc>
          <w:tcPr>
            <w:tcW w:w="2655" w:type="dxa"/>
            <w:gridSpan w:val="2"/>
            <w:tcBorders>
              <w:bottom w:val="single" w:sz="12" w:space="0" w:color="000000"/>
            </w:tcBorders>
            <w:vAlign w:val="bottom"/>
          </w:tcPr>
          <w:p>
            <w:pPr>
              <w:pStyle w:val="TableContents"/>
              <w:bidi w:val="0"/>
              <w:spacing w:before="0" w:after="0"/>
              <w:jc w:val="center"/>
              <w:rPr>
                <w:b/>
                <w:color w:val="000000"/>
              </w:rPr>
            </w:pPr>
            <w:r>
              <w:rPr>
                <w:b/>
                <w:color w:val="000000"/>
              </w:rPr>
              <w:t>ADMA BioManufacturing</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58" w:type="dxa"/>
            <w:gridSpan w:val="2"/>
            <w:tcBorders>
              <w:bottom w:val="single" w:sz="12" w:space="0" w:color="000000"/>
            </w:tcBorders>
            <w:vAlign w:val="bottom"/>
          </w:tcPr>
          <w:p>
            <w:pPr>
              <w:pStyle w:val="TableContents"/>
              <w:bidi w:val="0"/>
              <w:spacing w:before="0" w:after="0"/>
              <w:jc w:val="center"/>
              <w:rPr>
                <w:b/>
                <w:color w:val="000000"/>
              </w:rPr>
            </w:pPr>
            <w:r>
              <w:rPr>
                <w:b/>
                <w:color w:val="000000"/>
              </w:rPr>
              <w:t>Plasma Collection</w:t>
            </w:r>
          </w:p>
          <w:p>
            <w:pPr>
              <w:pStyle w:val="TableContents"/>
              <w:bidi w:val="0"/>
              <w:spacing w:before="0" w:after="0"/>
              <w:jc w:val="center"/>
              <w:rPr>
                <w:b/>
                <w:color w:val="000000"/>
              </w:rPr>
            </w:pPr>
            <w:r>
              <w:rPr>
                <w:b/>
                <w:color w:val="000000"/>
              </w:rPr>
              <w:t>Centers</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Corporate</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5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Consolidated</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5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58"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55" w:type="dxa"/>
            <w:gridSpan w:val="2"/>
            <w:tcBorders/>
            <w:tcMar>
              <w:bottom w:w="0" w:type="dxa"/>
            </w:tcMar>
            <w:vAlign w:val="bottom"/>
          </w:tcPr>
          <w:p>
            <w:pPr>
              <w:pStyle w:val="TableContents"/>
              <w:bidi w:val="0"/>
              <w:spacing w:before="0" w:after="283"/>
              <w:jc w:val="lef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80,113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1,726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36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81,875</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Cost of product revenue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40,991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1,776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42,767</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283"/>
              <w:jc w:val="left"/>
              <w:rPr/>
            </w:pPr>
            <w:r>
              <w:rPr/>
              <w:t xml:space="preserve">Income (loss) from operations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283"/>
              <w:jc w:val="right"/>
              <w:rPr/>
            </w:pPr>
            <w:r>
              <w:rPr/>
              <w:t>28,696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283"/>
              <w:jc w:val="right"/>
              <w:rPr/>
            </w:pPr>
            <w:r>
              <w:rPr/>
              <w:t>(1,055</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283"/>
              <w:jc w:val="right"/>
              <w:rPr/>
            </w:pPr>
            <w:r>
              <w:rPr/>
              <w:t>(5,820</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283"/>
              <w:jc w:val="right"/>
              <w:rPr/>
            </w:pPr>
            <w:r>
              <w:rPr/>
              <w:t>21,821</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Interest and other expense, net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(30</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(3,389</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(3,420</w:t>
            </w:r>
          </w:p>
        </w:tc>
        <w:tc>
          <w:tcPr>
            <w:tcW w:w="98"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Income (loss) before taxes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28,666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(1,056</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(9,209</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18,401</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Capital expenditures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2,330</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2,347</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0"/>
              <w:ind w:left="144" w:right="0" w:hanging="144"/>
              <w:jc w:val="left"/>
              <w:rPr>
                <w:color w:val="000000"/>
              </w:rPr>
            </w:pPr>
            <w:r>
              <w:rPr>
                <w:color w:val="000000"/>
              </w:rPr>
              <w:t>Depreciation expense</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0"/>
              <w:jc w:val="right"/>
              <w:rPr>
                <w:color w:val="000000"/>
              </w:rPr>
            </w:pPr>
            <w:r>
              <w:rPr>
                <w:color w:val="000000"/>
              </w:rPr>
              <w:t>1,307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0"/>
              <w:jc w:val="right"/>
              <w:rPr>
                <w:color w:val="000000"/>
              </w:rPr>
            </w:pPr>
            <w:r>
              <w:rPr>
                <w:color w:val="000000"/>
              </w:rPr>
              <w:t>807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900" w:type="dxa"/>
            <w:tcBorders/>
            <w:tcMar>
              <w:bottom w:w="0" w:type="dxa"/>
            </w:tcMar>
            <w:vAlign w:val="bottom"/>
          </w:tcPr>
          <w:p>
            <w:pPr>
              <w:pStyle w:val="TableContents"/>
              <w:bidi w:val="0"/>
              <w:spacing w:before="0" w:after="0"/>
              <w:jc w:val="right"/>
              <w:rPr>
                <w:color w:val="000000"/>
              </w:rPr>
            </w:pPr>
            <w:r>
              <w:rPr>
                <w:color w:val="000000"/>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0"/>
              <w:jc w:val="right"/>
              <w:rPr>
                <w:color w:val="000000"/>
              </w:rPr>
            </w:pPr>
            <w:r>
              <w:rPr>
                <w:color w:val="000000"/>
              </w:rPr>
              <w:t>2,114</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Total assets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278,331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33,990</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900" w:type="dxa"/>
            <w:tcBorders/>
            <w:shd w:fill="CCEEFF" w:val="clear"/>
            <w:tcMar>
              <w:bottom w:w="0" w:type="dxa"/>
            </w:tcMar>
            <w:vAlign w:val="bottom"/>
          </w:tcPr>
          <w:p>
            <w:pPr>
              <w:pStyle w:val="TableContents"/>
              <w:bidi w:val="0"/>
              <w:spacing w:before="0" w:after="0"/>
              <w:jc w:val="right"/>
              <w:rPr>
                <w:color w:val="000000"/>
              </w:rPr>
            </w:pPr>
            <w:r>
              <w:rPr>
                <w:color w:val="000000"/>
              </w:rPr>
              <w:t>38,554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350,875</w:t>
            </w:r>
          </w:p>
        </w:tc>
        <w:tc>
          <w:tcPr>
            <w:tcW w:w="98"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ind w:left="0" w:right="0" w:firstLine="72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28" w:type="dxa"/>
          <w:right w:w="0" w:type="dxa"/>
        </w:tblCellMar>
      </w:tblPr>
      <w:tblGrid>
        <w:gridCol w:w="2729"/>
        <w:gridCol w:w="60"/>
        <w:gridCol w:w="394"/>
        <w:gridCol w:w="2261"/>
        <w:gridCol w:w="95"/>
        <w:gridCol w:w="60"/>
        <w:gridCol w:w="299"/>
        <w:gridCol w:w="1459"/>
        <w:gridCol w:w="95"/>
        <w:gridCol w:w="60"/>
        <w:gridCol w:w="169"/>
        <w:gridCol w:w="916"/>
        <w:gridCol w:w="95"/>
        <w:gridCol w:w="60"/>
        <w:gridCol w:w="201"/>
        <w:gridCol w:w="1154"/>
        <w:gridCol w:w="98"/>
      </w:tblGrid>
      <w:tr>
        <w:trPr/>
        <w:tc>
          <w:tcPr>
            <w:tcW w:w="10107" w:type="dxa"/>
            <w:gridSpan w:val="16"/>
            <w:tcBorders>
              <w:bottom w:val="single" w:sz="12" w:space="0" w:color="000000"/>
            </w:tcBorders>
            <w:vAlign w:val="bottom"/>
          </w:tcPr>
          <w:p>
            <w:pPr>
              <w:pStyle w:val="TableContents"/>
              <w:bidi w:val="0"/>
              <w:spacing w:before="0" w:after="0"/>
              <w:jc w:val="center"/>
              <w:rPr>
                <w:b/>
                <w:color w:val="000000"/>
              </w:rPr>
            </w:pPr>
            <w:r>
              <w:rPr>
                <w:b/>
                <w:color w:val="000000"/>
              </w:rPr>
              <w:t xml:space="preserve">Three Months Ended </w:t>
            </w:r>
            <w:r>
              <w:rPr>
                <w:rFonts w:ascii="Times New Roman" w:hAnsi="Times New Roman"/>
                <w:b/>
                <w:caps w:val="false"/>
                <w:smallCaps w:val="false"/>
                <w:color w:val="000000"/>
                <w:sz w:val="20"/>
              </w:rPr>
              <w:t>March 31</w:t>
            </w:r>
            <w:r>
              <w:rPr>
                <w:b/>
                <w:color w:val="000000"/>
              </w:rPr>
              <w:t>, 2023</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0"/>
              <w:jc w:val="center"/>
              <w:rPr>
                <w:i/>
                <w:color w:val="000000"/>
                <w:sz w:val="20"/>
              </w:rPr>
            </w:pPr>
            <w:r>
              <w:rPr>
                <w:i/>
                <w:color w:val="000000"/>
                <w:sz w:val="20"/>
              </w:rPr>
              <w:t>(in thousands)</w:t>
            </w:r>
          </w:p>
        </w:tc>
        <w:tc>
          <w:tcPr>
            <w:tcW w:w="60" w:type="dxa"/>
            <w:tcBorders/>
            <w:tcMar>
              <w:bottom w:w="0" w:type="dxa"/>
            </w:tcMar>
            <w:vAlign w:val="bottom"/>
          </w:tcPr>
          <w:p>
            <w:pPr>
              <w:pStyle w:val="TableContents"/>
              <w:bidi w:val="0"/>
              <w:spacing w:before="0" w:after="283"/>
              <w:jc w:val="left"/>
              <w:rPr/>
            </w:pPr>
            <w:r>
              <w:rPr/>
              <w:t> </w:t>
            </w:r>
          </w:p>
        </w:tc>
        <w:tc>
          <w:tcPr>
            <w:tcW w:w="2655" w:type="dxa"/>
            <w:gridSpan w:val="2"/>
            <w:tcBorders>
              <w:bottom w:val="single" w:sz="12" w:space="0" w:color="000000"/>
            </w:tcBorders>
            <w:vAlign w:val="bottom"/>
          </w:tcPr>
          <w:p>
            <w:pPr>
              <w:pStyle w:val="TableContents"/>
              <w:bidi w:val="0"/>
              <w:spacing w:before="0" w:after="0"/>
              <w:jc w:val="center"/>
              <w:rPr>
                <w:b/>
                <w:color w:val="000000"/>
              </w:rPr>
            </w:pPr>
            <w:r>
              <w:rPr>
                <w:b/>
                <w:color w:val="000000"/>
              </w:rPr>
              <w:t>ADMA BioManufacturing</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58" w:type="dxa"/>
            <w:gridSpan w:val="2"/>
            <w:tcBorders>
              <w:bottom w:val="single" w:sz="12" w:space="0" w:color="000000"/>
            </w:tcBorders>
            <w:vAlign w:val="bottom"/>
          </w:tcPr>
          <w:p>
            <w:pPr>
              <w:pStyle w:val="TableContents"/>
              <w:bidi w:val="0"/>
              <w:spacing w:before="0" w:after="0"/>
              <w:jc w:val="center"/>
              <w:rPr>
                <w:b/>
                <w:color w:val="000000"/>
              </w:rPr>
            </w:pPr>
            <w:r>
              <w:rPr>
                <w:b/>
                <w:color w:val="000000"/>
              </w:rPr>
              <w:t>Plasma Collection</w:t>
            </w:r>
          </w:p>
          <w:p>
            <w:pPr>
              <w:pStyle w:val="TableContents"/>
              <w:bidi w:val="0"/>
              <w:spacing w:before="0" w:after="0"/>
              <w:jc w:val="center"/>
              <w:rPr>
                <w:b/>
                <w:color w:val="000000"/>
              </w:rPr>
            </w:pPr>
            <w:r>
              <w:rPr>
                <w:b/>
                <w:color w:val="000000"/>
              </w:rPr>
              <w:t>Centers</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Corporate</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5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Consolidated</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5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58"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55" w:type="dxa"/>
            <w:gridSpan w:val="2"/>
            <w:tcBorders/>
            <w:tcMar>
              <w:bottom w:w="0" w:type="dxa"/>
            </w:tcMar>
            <w:vAlign w:val="bottom"/>
          </w:tcPr>
          <w:p>
            <w:pPr>
              <w:pStyle w:val="TableContents"/>
              <w:bidi w:val="0"/>
              <w:spacing w:before="0" w:after="283"/>
              <w:jc w:val="lef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49,577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7,301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36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56,914</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Cost of product revenue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33,934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6,467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40,401</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283"/>
              <w:jc w:val="left"/>
              <w:rPr/>
            </w:pPr>
            <w:r>
              <w:rPr/>
              <w:t xml:space="preserve">Income (loss) from operations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283"/>
              <w:jc w:val="right"/>
              <w:rPr/>
            </w:pPr>
            <w:r>
              <w:rPr/>
              <w:t>5,476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283"/>
              <w:jc w:val="right"/>
              <w:rPr/>
            </w:pPr>
            <w:r>
              <w:rPr/>
              <w:t>(947</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283"/>
              <w:jc w:val="right"/>
              <w:rPr/>
            </w:pPr>
            <w:r>
              <w:rPr/>
              <w:t>(5,342</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283"/>
              <w:jc w:val="right"/>
              <w:rPr/>
            </w:pPr>
            <w:r>
              <w:rPr/>
              <w:t>(813</w:t>
            </w:r>
          </w:p>
        </w:tc>
        <w:tc>
          <w:tcPr>
            <w:tcW w:w="98" w:type="dxa"/>
            <w:tcBorders/>
            <w:shd w:fill="CCEEFF" w:val="clear"/>
            <w:tcMar>
              <w:bottom w:w="0" w:type="dxa"/>
            </w:tcMar>
            <w:vAlign w:val="bottom"/>
          </w:tcPr>
          <w:p>
            <w:pPr>
              <w:pStyle w:val="TableContents"/>
              <w:bidi w:val="0"/>
              <w:spacing w:before="0" w:after="283"/>
              <w:jc w:val="left"/>
              <w:rPr/>
            </w:pPr>
            <w:r>
              <w:rPr/>
              <w:t>)</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Interest and other expense, net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(23</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(5,953</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(5,976</w:t>
            </w:r>
          </w:p>
        </w:tc>
        <w:tc>
          <w:tcPr>
            <w:tcW w:w="98"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Income (loss) before taxes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5,453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(947</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(11,295</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(6,789</w:t>
            </w:r>
          </w:p>
        </w:tc>
        <w:tc>
          <w:tcPr>
            <w:tcW w:w="98"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2729"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283"/>
              <w:jc w:val="right"/>
              <w:rPr/>
            </w:pPr>
            <w:r>
              <w:rPr/>
              <w:t> </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Capital expenditures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452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1,493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1,945</w:t>
            </w:r>
          </w:p>
        </w:tc>
        <w:tc>
          <w:tcPr>
            <w:tcW w:w="98" w:type="dxa"/>
            <w:tcBorders/>
            <w:shd w:fill="CCEEFF" w:val="clear"/>
            <w:tcMar>
              <w:bottom w:w="0" w:type="dxa"/>
            </w:tcMar>
            <w:vAlign w:val="bottom"/>
          </w:tcPr>
          <w:p>
            <w:pPr>
              <w:pStyle w:val="TableContents"/>
              <w:bidi w:val="0"/>
              <w:spacing w:before="0" w:after="283"/>
              <w:jc w:val="left"/>
              <w:rPr/>
            </w:pPr>
            <w:r>
              <w:rPr/>
              <w:t> </w:t>
            </w:r>
          </w:p>
        </w:tc>
      </w:tr>
      <w:tr>
        <w:trPr/>
        <w:tc>
          <w:tcPr>
            <w:tcW w:w="2729" w:type="dxa"/>
            <w:tcBorders/>
            <w:tcMar>
              <w:bottom w:w="0" w:type="dxa"/>
            </w:tcMar>
            <w:vAlign w:val="bottom"/>
          </w:tcPr>
          <w:p>
            <w:pPr>
              <w:pStyle w:val="TableContents"/>
              <w:bidi w:val="0"/>
              <w:spacing w:before="0" w:after="0"/>
              <w:ind w:left="144" w:right="0" w:hanging="144"/>
              <w:jc w:val="left"/>
              <w:rPr>
                <w:color w:val="000000"/>
              </w:rPr>
            </w:pPr>
            <w:r>
              <w:rPr>
                <w:color w:val="000000"/>
              </w:rPr>
              <w:t>Depreciation expense</w:t>
            </w:r>
          </w:p>
        </w:tc>
        <w:tc>
          <w:tcPr>
            <w:tcW w:w="60" w:type="dxa"/>
            <w:tcBorders/>
            <w:tcMar>
              <w:bottom w:w="0" w:type="dxa"/>
            </w:tcMar>
            <w:vAlign w:val="bottom"/>
          </w:tcPr>
          <w:p>
            <w:pPr>
              <w:pStyle w:val="TableContents"/>
              <w:bidi w:val="0"/>
              <w:spacing w:before="0" w:after="283"/>
              <w:jc w:val="right"/>
              <w:rPr/>
            </w:pPr>
            <w:r>
              <w:rPr/>
              <w:t> </w:t>
            </w:r>
          </w:p>
        </w:tc>
        <w:tc>
          <w:tcPr>
            <w:tcW w:w="394" w:type="dxa"/>
            <w:tcBorders/>
            <w:tcMar>
              <w:bottom w:w="0" w:type="dxa"/>
            </w:tcMar>
            <w:vAlign w:val="bottom"/>
          </w:tcPr>
          <w:p>
            <w:pPr>
              <w:pStyle w:val="TableContents"/>
              <w:bidi w:val="0"/>
              <w:spacing w:before="0" w:after="283"/>
              <w:jc w:val="left"/>
              <w:rPr/>
            </w:pPr>
            <w:r>
              <w:rPr/>
              <w:t> </w:t>
            </w:r>
          </w:p>
        </w:tc>
        <w:tc>
          <w:tcPr>
            <w:tcW w:w="2261" w:type="dxa"/>
            <w:tcBorders/>
            <w:tcMar>
              <w:bottom w:w="0" w:type="dxa"/>
            </w:tcMar>
            <w:vAlign w:val="bottom"/>
          </w:tcPr>
          <w:p>
            <w:pPr>
              <w:pStyle w:val="TableContents"/>
              <w:bidi w:val="0"/>
              <w:spacing w:before="0" w:after="0"/>
              <w:jc w:val="right"/>
              <w:rPr>
                <w:color w:val="000000"/>
              </w:rPr>
            </w:pPr>
            <w:r>
              <w:rPr>
                <w:color w:val="000000"/>
              </w:rPr>
              <w:t>1,293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9" w:type="dxa"/>
            <w:tcBorders/>
            <w:tcMar>
              <w:bottom w:w="0" w:type="dxa"/>
            </w:tcMar>
            <w:vAlign w:val="bottom"/>
          </w:tcPr>
          <w:p>
            <w:pPr>
              <w:pStyle w:val="TableContents"/>
              <w:bidi w:val="0"/>
              <w:spacing w:before="0" w:after="283"/>
              <w:jc w:val="left"/>
              <w:rPr/>
            </w:pPr>
            <w:r>
              <w:rPr/>
              <w:t> </w:t>
            </w:r>
          </w:p>
        </w:tc>
        <w:tc>
          <w:tcPr>
            <w:tcW w:w="1459" w:type="dxa"/>
            <w:tcBorders/>
            <w:tcMar>
              <w:bottom w:w="0" w:type="dxa"/>
            </w:tcMar>
            <w:vAlign w:val="bottom"/>
          </w:tcPr>
          <w:p>
            <w:pPr>
              <w:pStyle w:val="TableContents"/>
              <w:bidi w:val="0"/>
              <w:spacing w:before="0" w:after="0"/>
              <w:jc w:val="right"/>
              <w:rPr>
                <w:color w:val="000000"/>
              </w:rPr>
            </w:pPr>
            <w:r>
              <w:rPr>
                <w:color w:val="000000"/>
              </w:rPr>
              <w:t>740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69" w:type="dxa"/>
            <w:tcBorders/>
            <w:tcMar>
              <w:bottom w:w="0" w:type="dxa"/>
            </w:tcMar>
            <w:vAlign w:val="bottom"/>
          </w:tcPr>
          <w:p>
            <w:pPr>
              <w:pStyle w:val="TableContents"/>
              <w:bidi w:val="0"/>
              <w:spacing w:before="0" w:after="283"/>
              <w:jc w:val="left"/>
              <w:rPr/>
            </w:pPr>
            <w:r>
              <w:rPr/>
              <w:t> </w:t>
            </w:r>
          </w:p>
        </w:tc>
        <w:tc>
          <w:tcPr>
            <w:tcW w:w="916" w:type="dxa"/>
            <w:tcBorders/>
            <w:tcMar>
              <w:bottom w:w="0" w:type="dxa"/>
            </w:tcMar>
            <w:vAlign w:val="bottom"/>
          </w:tcPr>
          <w:p>
            <w:pPr>
              <w:pStyle w:val="TableContents"/>
              <w:bidi w:val="0"/>
              <w:spacing w:before="0" w:after="0"/>
              <w:jc w:val="right"/>
              <w:rPr>
                <w:color w:val="000000"/>
              </w:rPr>
            </w:pPr>
            <w:r>
              <w:rPr>
                <w:color w:val="000000"/>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01" w:type="dxa"/>
            <w:tcBorders/>
            <w:tcMar>
              <w:bottom w:w="0" w:type="dxa"/>
            </w:tcMar>
            <w:vAlign w:val="bottom"/>
          </w:tcPr>
          <w:p>
            <w:pPr>
              <w:pStyle w:val="TableContents"/>
              <w:bidi w:val="0"/>
              <w:spacing w:before="0" w:after="283"/>
              <w:jc w:val="left"/>
              <w:rPr/>
            </w:pPr>
            <w:r>
              <w:rPr/>
              <w:t> </w:t>
            </w:r>
          </w:p>
        </w:tc>
        <w:tc>
          <w:tcPr>
            <w:tcW w:w="1154" w:type="dxa"/>
            <w:tcBorders/>
            <w:tcMar>
              <w:bottom w:w="0" w:type="dxa"/>
            </w:tcMar>
            <w:vAlign w:val="bottom"/>
          </w:tcPr>
          <w:p>
            <w:pPr>
              <w:pStyle w:val="TableContents"/>
              <w:bidi w:val="0"/>
              <w:spacing w:before="0" w:after="0"/>
              <w:jc w:val="right"/>
              <w:rPr>
                <w:color w:val="000000"/>
              </w:rPr>
            </w:pPr>
            <w:r>
              <w:rPr>
                <w:color w:val="000000"/>
              </w:rPr>
              <w:t>2,033</w:t>
            </w:r>
          </w:p>
        </w:tc>
        <w:tc>
          <w:tcPr>
            <w:tcW w:w="98" w:type="dxa"/>
            <w:tcBorders/>
            <w:tcMar>
              <w:bottom w:w="0" w:type="dxa"/>
            </w:tcMar>
            <w:vAlign w:val="bottom"/>
          </w:tcPr>
          <w:p>
            <w:pPr>
              <w:pStyle w:val="TableContents"/>
              <w:bidi w:val="0"/>
              <w:spacing w:before="0" w:after="283"/>
              <w:jc w:val="left"/>
              <w:rPr/>
            </w:pPr>
            <w:r>
              <w:rPr/>
              <w:t> </w:t>
            </w:r>
          </w:p>
        </w:tc>
      </w:tr>
      <w:tr>
        <w:trPr/>
        <w:tc>
          <w:tcPr>
            <w:tcW w:w="2729"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Total assets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94" w:type="dxa"/>
            <w:tcBorders/>
            <w:shd w:fill="CCEEFF" w:val="clear"/>
            <w:tcMar>
              <w:bottom w:w="0" w:type="dxa"/>
            </w:tcMar>
            <w:vAlign w:val="bottom"/>
          </w:tcPr>
          <w:p>
            <w:pPr>
              <w:pStyle w:val="TableContents"/>
              <w:bidi w:val="0"/>
              <w:spacing w:before="0" w:after="283"/>
              <w:jc w:val="left"/>
              <w:rPr/>
            </w:pPr>
            <w:r>
              <w:rPr/>
              <w:t> </w:t>
            </w:r>
          </w:p>
        </w:tc>
        <w:tc>
          <w:tcPr>
            <w:tcW w:w="2261" w:type="dxa"/>
            <w:tcBorders/>
            <w:shd w:fill="CCEEFF" w:val="clear"/>
            <w:tcMar>
              <w:bottom w:w="0" w:type="dxa"/>
            </w:tcMar>
            <w:vAlign w:val="bottom"/>
          </w:tcPr>
          <w:p>
            <w:pPr>
              <w:pStyle w:val="TableContents"/>
              <w:bidi w:val="0"/>
              <w:spacing w:before="0" w:after="0"/>
              <w:jc w:val="right"/>
              <w:rPr>
                <w:color w:val="000000"/>
              </w:rPr>
            </w:pPr>
            <w:r>
              <w:rPr>
                <w:color w:val="000000"/>
              </w:rPr>
              <w:t>234,895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9" w:type="dxa"/>
            <w:tcBorders/>
            <w:shd w:fill="CCEEFF" w:val="clear"/>
            <w:tcMar>
              <w:bottom w:w="0" w:type="dxa"/>
            </w:tcMar>
            <w:vAlign w:val="bottom"/>
          </w:tcPr>
          <w:p>
            <w:pPr>
              <w:pStyle w:val="TableContents"/>
              <w:bidi w:val="0"/>
              <w:spacing w:before="0" w:after="283"/>
              <w:jc w:val="left"/>
              <w:rPr/>
            </w:pPr>
            <w:r>
              <w:rPr/>
              <w:t> </w:t>
            </w:r>
          </w:p>
        </w:tc>
        <w:tc>
          <w:tcPr>
            <w:tcW w:w="1459" w:type="dxa"/>
            <w:tcBorders/>
            <w:shd w:fill="CCEEFF" w:val="clear"/>
            <w:tcMar>
              <w:bottom w:w="0" w:type="dxa"/>
            </w:tcMar>
            <w:vAlign w:val="bottom"/>
          </w:tcPr>
          <w:p>
            <w:pPr>
              <w:pStyle w:val="TableContents"/>
              <w:bidi w:val="0"/>
              <w:spacing w:before="0" w:after="0"/>
              <w:jc w:val="right"/>
              <w:rPr>
                <w:color w:val="000000"/>
              </w:rPr>
            </w:pPr>
            <w:r>
              <w:rPr>
                <w:color w:val="000000"/>
              </w:rPr>
              <w:t>38,854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916" w:type="dxa"/>
            <w:tcBorders/>
            <w:shd w:fill="CCEEFF" w:val="clear"/>
            <w:tcMar>
              <w:bottom w:w="0" w:type="dxa"/>
            </w:tcMar>
            <w:vAlign w:val="bottom"/>
          </w:tcPr>
          <w:p>
            <w:pPr>
              <w:pStyle w:val="TableContents"/>
              <w:bidi w:val="0"/>
              <w:spacing w:before="0" w:after="0"/>
              <w:jc w:val="right"/>
              <w:rPr>
                <w:color w:val="000000"/>
              </w:rPr>
            </w:pPr>
            <w:r>
              <w:rPr>
                <w:color w:val="000000"/>
              </w:rPr>
              <w:t>67,039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154" w:type="dxa"/>
            <w:tcBorders/>
            <w:shd w:fill="CCEEFF" w:val="clear"/>
            <w:tcMar>
              <w:bottom w:w="0" w:type="dxa"/>
            </w:tcMar>
            <w:vAlign w:val="bottom"/>
          </w:tcPr>
          <w:p>
            <w:pPr>
              <w:pStyle w:val="TableContents"/>
              <w:bidi w:val="0"/>
              <w:spacing w:before="0" w:after="0"/>
              <w:jc w:val="right"/>
              <w:rPr>
                <w:color w:val="000000"/>
              </w:rPr>
            </w:pPr>
            <w:r>
              <w:rPr>
                <w:color w:val="000000"/>
              </w:rPr>
              <w:t>340,788</w:t>
            </w:r>
          </w:p>
        </w:tc>
        <w:tc>
          <w:tcPr>
            <w:tcW w:w="98"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ind w:left="720" w:right="0" w:hanging="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Net revenues according to geographic area, based on the location of where the product is shipped, is as follows:</w:t>
      </w:r>
    </w:p>
    <w:p>
      <w:pPr>
        <w:pStyle w:val="TextBody"/>
        <w:bidi w:val="0"/>
        <w:spacing w:before="0" w:after="0"/>
        <w:jc w:val="left"/>
        <w:rPr/>
      </w:pPr>
      <w:r>
        <w:rPr/>
      </w:r>
    </w:p>
    <w:tbl>
      <w:tblPr>
        <w:tblW w:w="4042" w:type="dxa"/>
        <w:jc w:val="left"/>
        <w:tblInd w:w="0" w:type="dxa"/>
        <w:tblLayout w:type="fixed"/>
        <w:tblCellMar>
          <w:top w:w="0" w:type="dxa"/>
          <w:left w:w="0" w:type="dxa"/>
          <w:bottom w:w="0" w:type="dxa"/>
          <w:right w:w="0" w:type="dxa"/>
        </w:tblCellMar>
      </w:tblPr>
      <w:tblGrid>
        <w:gridCol w:w="1220"/>
        <w:gridCol w:w="60"/>
        <w:gridCol w:w="218"/>
        <w:gridCol w:w="1029"/>
        <w:gridCol w:w="104"/>
        <w:gridCol w:w="104"/>
        <w:gridCol w:w="218"/>
        <w:gridCol w:w="1029"/>
        <w:gridCol w:w="60"/>
      </w:tblGrid>
      <w:tr>
        <w:trPr/>
        <w:tc>
          <w:tcPr>
            <w:tcW w:w="122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bottom"/>
          </w:tcPr>
          <w:p>
            <w:pPr>
              <w:pStyle w:val="TableContents"/>
              <w:bidi w:val="0"/>
              <w:spacing w:before="0" w:after="283"/>
              <w:jc w:val="right"/>
              <w:rPr>
                <w:rFonts w:ascii="Times New Roman" w:hAnsi="Times New Roman"/>
                <w:i/>
                <w:caps w:val="false"/>
                <w:smallCaps w:val="false"/>
                <w:sz w:val="20"/>
              </w:rPr>
            </w:pPr>
            <w:r>
              <w:rPr>
                <w:rFonts w:ascii="Times New Roman" w:hAnsi="Times New Roman"/>
                <w:i/>
                <w:caps w:val="false"/>
                <w:smallCaps w:val="false"/>
                <w:sz w:val="20"/>
              </w:rPr>
              <w:t>(in thousands)</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24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04" w:type="dxa"/>
            <w:tcBorders/>
            <w:vAlign w:val="bottom"/>
          </w:tcPr>
          <w:p>
            <w:pPr>
              <w:pStyle w:val="TableContents"/>
              <w:bidi w:val="0"/>
              <w:spacing w:before="0" w:after="283"/>
              <w:jc w:val="left"/>
              <w:rPr>
                <w:caps w:val="false"/>
                <w:smallCaps w:val="false"/>
              </w:rPr>
            </w:pPr>
            <w:r>
              <w:rPr>
                <w:caps w:val="false"/>
                <w:smallCaps w:val="false"/>
              </w:rPr>
              <w:t> </w:t>
            </w:r>
          </w:p>
        </w:tc>
        <w:tc>
          <w:tcPr>
            <w:tcW w:w="104" w:type="dxa"/>
            <w:tcBorders/>
            <w:vAlign w:val="bottom"/>
          </w:tcPr>
          <w:p>
            <w:pPr>
              <w:pStyle w:val="TableContents"/>
              <w:bidi w:val="0"/>
              <w:spacing w:before="0" w:after="283"/>
              <w:jc w:val="left"/>
              <w:rPr>
                <w:caps w:val="false"/>
                <w:smallCaps w:val="false"/>
              </w:rPr>
            </w:pPr>
            <w:r>
              <w:rPr>
                <w:caps w:val="false"/>
                <w:smallCaps w:val="false"/>
              </w:rPr>
              <w:t> </w:t>
            </w:r>
          </w:p>
        </w:tc>
        <w:tc>
          <w:tcPr>
            <w:tcW w:w="124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shd w:fill="CCEEFF" w:val="clear"/>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02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77,991</w:t>
            </w:r>
          </w:p>
        </w:tc>
        <w:tc>
          <w:tcPr>
            <w:tcW w:w="10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029" w:type="dxa"/>
            <w:tcBorders/>
            <w:shd w:fill="CCEEFF" w:val="cle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52,695</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bottom"/>
          </w:tcPr>
          <w:p>
            <w:pPr>
              <w:pStyle w:val="TableContents"/>
              <w:bidi w:val="0"/>
              <w:spacing w:before="0" w:after="0"/>
              <w:ind w:left="144" w:right="0" w:hanging="144"/>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0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3,884</w:t>
            </w:r>
          </w:p>
        </w:tc>
        <w:tc>
          <w:tcPr>
            <w:tcW w:w="104" w:type="dxa"/>
            <w:tcBorders/>
            <w:vAlign w:val="bottom"/>
          </w:tcPr>
          <w:p>
            <w:pPr>
              <w:pStyle w:val="TableContents"/>
              <w:bidi w:val="0"/>
              <w:spacing w:before="0" w:after="283"/>
              <w:jc w:val="left"/>
              <w:rPr>
                <w:caps w:val="false"/>
                <w:smallCaps w:val="false"/>
              </w:rPr>
            </w:pPr>
            <w:r>
              <w:rPr>
                <w:caps w:val="false"/>
                <w:smallCaps w:val="false"/>
              </w:rPr>
              <w:t> </w:t>
            </w:r>
          </w:p>
        </w:tc>
        <w:tc>
          <w:tcPr>
            <w:tcW w:w="104" w:type="dxa"/>
            <w:tcBorders/>
            <w:vAlign w:val="bottom"/>
          </w:tcPr>
          <w:p>
            <w:pPr>
              <w:pStyle w:val="TableContents"/>
              <w:bidi w:val="0"/>
              <w:spacing w:before="0" w:after="283"/>
              <w:jc w:val="left"/>
              <w:rPr>
                <w:caps w:val="false"/>
                <w:smallCaps w:val="false"/>
              </w:rPr>
            </w:pPr>
            <w:r>
              <w:rPr>
                <w:caps w:val="false"/>
                <w:smallCaps w:val="false"/>
              </w:rPr>
              <w:t> </w:t>
            </w:r>
          </w:p>
        </w:tc>
        <w:tc>
          <w:tcPr>
            <w:tcW w:w="218"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02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4,219</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1220"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0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81,875</w:t>
            </w:r>
          </w:p>
        </w:tc>
        <w:tc>
          <w:tcPr>
            <w:tcW w:w="10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10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56,914</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2105"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LEASE OBLIGATIONS</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200" w:after="20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CONSOLIDATED FINANCIAL STATEMENTS (UNAUDITED)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w:t>
      </w:r>
      <w:r>
        <w:rPr>
          <w:rFonts w:ascii="Times New Roman" w:hAnsi="Times New Roman"/>
          <w:caps w:val="false"/>
          <w:smallCaps w:val="false"/>
          <w:color w:val="000000"/>
          <w:spacing w:val="0"/>
          <w:sz w:val="20"/>
          <w:shd w:fill="FFFFFF" w:val="clear"/>
        </w:rPr>
        <w:t xml:space="preserve"> </w:t>
      </w:r>
      <w:r>
        <w:rPr>
          <w:rFonts w:ascii="Times New Roman" w:hAnsi="Times New Roman"/>
          <w:caps w:val="false"/>
          <w:smallCaps w:val="false"/>
          <w:color w:val="000000"/>
          <w:sz w:val="20"/>
          <w:shd w:fill="FFFFFF" w:val="clear"/>
        </w:rPr>
        <w:t xml:space="preserve">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w:t>
      </w:r>
      <w:r>
        <w:rPr>
          <w:rFonts w:ascii="Times New Roman" w:hAnsi="Times New Roman"/>
          <w:b w:val="false"/>
          <w:i w:val="false"/>
          <w:caps w:val="false"/>
          <w:smallCaps w:val="false"/>
          <w:color w:val="000000"/>
          <w:spacing w:val="0"/>
          <w:sz w:val="20"/>
          <w:shd w:fill="FFFFFF" w:val="clear"/>
        </w:rPr>
        <w:t xml:space="preserve">Aggregate lease expense for the Company’s leases for the three months ended March 31, 2024 and 2023 was approximately $0.6 million . Cash paid for the Company’s leases for the three months ended March 31, 2024 and 2023 was also approximately $0.6 million.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The Company has aggregate lease liabilities of $10.6 million and $10.8 million as of </w:t>
      </w:r>
      <w:r>
        <w:rPr>
          <w:rFonts w:ascii="Times New Roman" w:hAnsi="Times New Roman"/>
          <w:b w:val="false"/>
          <w:i w:val="false"/>
          <w:caps w:val="false"/>
          <w:smallCaps w:val="false"/>
          <w:color w:val="000000"/>
          <w:spacing w:val="0"/>
          <w:sz w:val="20"/>
          <w:shd w:fill="FFFFFF" w:val="clear"/>
        </w:rPr>
        <w:t>March 31, 2024 and December 31, 2023,</w:t>
      </w:r>
      <w:r>
        <w:rPr>
          <w:rFonts w:ascii="Times New Roman" w:hAnsi="Times New Roman"/>
          <w:caps w:val="false"/>
          <w:smallCaps w:val="false"/>
          <w:color w:val="000000"/>
          <w:sz w:val="20"/>
          <w:shd w:fill="FFFFFF" w:val="clear"/>
        </w:rPr>
        <w:t xml:space="preserve">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7.4 years. Scheduled payments under the Company’s lease obligations are as follows </w:t>
      </w:r>
      <w:r>
        <w:rPr>
          <w:rFonts w:ascii="Times New Roman" w:hAnsi="Times New Roman"/>
          <w:b w:val="false"/>
          <w:i w:val="false"/>
          <w:caps w:val="false"/>
          <w:smallCaps w:val="false"/>
          <w:color w:val="000000"/>
          <w:spacing w:val="0"/>
          <w:sz w:val="20"/>
          <w:shd w:fill="FFFFFF" w:val="clear"/>
        </w:rPr>
        <w:t>(in thousands):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3995" w:type="dxa"/>
        <w:jc w:val="left"/>
        <w:tblInd w:w="0" w:type="dxa"/>
        <w:tblLayout w:type="fixed"/>
        <w:tblCellMar>
          <w:top w:w="0" w:type="dxa"/>
          <w:left w:w="0" w:type="dxa"/>
          <w:bottom w:w="0" w:type="dxa"/>
          <w:right w:w="0" w:type="dxa"/>
        </w:tblCellMar>
      </w:tblPr>
      <w:tblGrid>
        <w:gridCol w:w="3080"/>
        <w:gridCol w:w="60"/>
        <w:gridCol w:w="60"/>
        <w:gridCol w:w="125"/>
        <w:gridCol w:w="590"/>
        <w:gridCol w:w="80"/>
      </w:tblGrid>
      <w:tr>
        <w:trPr/>
        <w:tc>
          <w:tcPr>
            <w:tcW w:w="3080" w:type="dxa"/>
            <w:tcBorders/>
            <w:shd w:fill="CCEEFF" w:val="clear"/>
            <w:vAlign w:val="bottom"/>
          </w:tcPr>
          <w:p>
            <w:pPr>
              <w:pStyle w:val="TableContents"/>
              <w:bidi w:val="0"/>
              <w:spacing w:before="0" w:after="0"/>
              <w:ind w:left="180" w:right="0" w:hanging="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Remainder of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1,802</w:t>
            </w:r>
          </w:p>
        </w:tc>
        <w:tc>
          <w:tcPr>
            <w:tcW w:w="8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Year ended December 31,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2,421</w:t>
            </w:r>
          </w:p>
        </w:tc>
        <w:tc>
          <w:tcPr>
            <w:tcW w:w="8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0" w:right="0" w:hanging="0"/>
              <w:jc w:val="right"/>
              <w:rPr>
                <w:caps w:val="false"/>
                <w:smallCaps w:val="false"/>
                <w:color w:val="000000"/>
              </w:rPr>
            </w:pPr>
            <w:r>
              <w:rPr>
                <w:caps w:val="false"/>
                <w:smallCaps w:val="false"/>
                <w:color w:val="000000"/>
              </w:rPr>
              <w:t> </w:t>
            </w:r>
            <w:r>
              <w:rPr>
                <w:rFonts w:ascii="Times New Roman" w:hAnsi="Times New Roman"/>
                <w:caps w:val="false"/>
                <w:smallCaps w:val="false"/>
                <w:color w:val="000000"/>
                <w:sz w:val="20"/>
              </w:rPr>
              <w:t>2026</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2,157</w:t>
            </w:r>
          </w:p>
        </w:tc>
        <w:tc>
          <w:tcPr>
            <w:tcW w:w="8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2027</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2,041</w:t>
            </w:r>
          </w:p>
        </w:tc>
        <w:tc>
          <w:tcPr>
            <w:tcW w:w="8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2028</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2,088</w:t>
            </w:r>
          </w:p>
        </w:tc>
        <w:tc>
          <w:tcPr>
            <w:tcW w:w="8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2029</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2,109</w:t>
            </w:r>
          </w:p>
        </w:tc>
        <w:tc>
          <w:tcPr>
            <w:tcW w:w="8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Thereafter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4,041</w:t>
            </w:r>
          </w:p>
        </w:tc>
        <w:tc>
          <w:tcPr>
            <w:tcW w:w="8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Total payments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16,659</w:t>
            </w:r>
          </w:p>
        </w:tc>
        <w:tc>
          <w:tcPr>
            <w:tcW w:w="8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Less: imputed interest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(6,079</w:t>
            </w:r>
          </w:p>
        </w:tc>
        <w:tc>
          <w:tcPr>
            <w:tcW w:w="80"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080" w:type="dxa"/>
            <w:tcBorders/>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Current portion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(1,093</w:t>
            </w:r>
          </w:p>
        </w:tc>
        <w:tc>
          <w:tcPr>
            <w:tcW w:w="80" w:type="dxa"/>
            <w:tcBorders/>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r>
      <w:tr>
        <w:trPr/>
        <w:tc>
          <w:tcPr>
            <w:tcW w:w="3080" w:type="dxa"/>
            <w:tcBorders/>
            <w:shd w:fill="CCEEFF" w:val="clear"/>
            <w:vAlign w:val="bottom"/>
          </w:tcPr>
          <w:p>
            <w:pPr>
              <w:pStyle w:val="TableContents"/>
              <w:bidi w:val="0"/>
              <w:spacing w:before="0" w:after="0"/>
              <w:ind w:left="180" w:right="0" w:hanging="0"/>
              <w:jc w:val="right"/>
              <w:rPr>
                <w:caps w:val="false"/>
                <w:smallCaps w:val="false"/>
                <w:color w:val="000000"/>
              </w:rPr>
            </w:pPr>
            <w:r>
              <w:rPr>
                <w:caps w:val="false"/>
                <w:smallCaps w:val="false"/>
                <w:color w:val="000000"/>
              </w:rPr>
              <w:t xml:space="preserve">          </w:t>
            </w:r>
            <w:r>
              <w:rPr>
                <w:rFonts w:ascii="Times New Roman" w:hAnsi="Times New Roman"/>
                <w:caps w:val="false"/>
                <w:smallCaps w:val="false"/>
                <w:color w:val="000000"/>
                <w:sz w:val="20"/>
              </w:rPr>
              <w:t>Balance at March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9,487</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2275" w:type="dxa"/>
        <w:jc w:val="left"/>
        <w:tblInd w:w="180" w:type="dxa"/>
        <w:shd w:fill="FFFFFF" w:val="clear"/>
        <w:tblLayout w:type="fixed"/>
        <w:tblCellMar>
          <w:top w:w="0" w:type="dxa"/>
          <w:left w:w="0" w:type="dxa"/>
          <w:bottom w:w="0" w:type="dxa"/>
          <w:right w:w="0" w:type="dxa"/>
        </w:tblCellMar>
      </w:tblPr>
      <w:tblGrid>
        <w:gridCol w:w="335"/>
        <w:gridCol w:w="1940"/>
      </w:tblGrid>
      <w:tr>
        <w:trPr/>
        <w:tc>
          <w:tcPr>
            <w:tcW w:w="335" w:type="dxa"/>
            <w:tcBorders/>
            <w:shd w:fill="FFFFFF" w:val="clear"/>
            <w:vAlign w:val="center"/>
          </w:tcPr>
          <w:p>
            <w:pPr>
              <w:pStyle w:val="TableContents"/>
              <w:bidi w:val="0"/>
              <w:spacing w:before="0" w:after="283"/>
              <w:jc w:val="left"/>
              <w:rPr>
                <w:b/>
              </w:rPr>
            </w:pPr>
            <w:r>
              <w:rPr>
                <w:b/>
              </w:rPr>
              <w:t>13.</w:t>
            </w:r>
          </w:p>
        </w:tc>
        <w:tc>
          <w:tcPr>
            <w:tcW w:w="1940" w:type="dxa"/>
            <w:tcBorders/>
            <w:shd w:fill="FFFFFF" w:val="clear"/>
            <w:vAlign w:val="center"/>
          </w:tcPr>
          <w:p>
            <w:pPr>
              <w:pStyle w:val="TableContents"/>
              <w:bidi w:val="0"/>
              <w:spacing w:before="0" w:after="0"/>
              <w:jc w:val="left"/>
              <w:rPr>
                <w:b/>
                <w:u w:val="single"/>
              </w:rPr>
            </w:pPr>
            <w:r>
              <w:rPr>
                <w:b/>
                <w:u w:val="single"/>
              </w:rPr>
              <w:t>INCOME TAXES</w:t>
            </w:r>
          </w:p>
        </w:tc>
      </w:tr>
    </w:tbl>
    <w:p>
      <w:pPr>
        <w:pStyle w:val="TextBody"/>
        <w:bidi w:val="0"/>
        <w:spacing w:before="0" w:after="0"/>
        <w:ind w:left="180" w:right="0" w:hanging="0"/>
        <w:jc w:val="left"/>
        <w:rPr/>
      </w:pPr>
      <w:r>
        <w:rPr/>
      </w:r>
    </w:p>
    <w:p>
      <w:pPr>
        <w:pStyle w:val="TextBody"/>
        <w:widowControl/>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uses the estimated annual effective tax rate approach as prescribed by ASC 740-270, Interim Reporting, to calculate its interim tax provision. For the three months ended March 31, 2024, the Company recorded income tax expense of $0.6 million, resulting in an effective tax rate of 3.2%. The tax expense for the three months ended March 31, 2024 represents federal and state tax liabilities that are not fully sheltered by net operating loss carryforwards (“NOLs”) or research and development tax credit carryforwards due to limitations from prior ownership changes and other limitations on NOLs incurred after 2017. The Company’s effective tax rate differs from the federal statutory tax rate of 21% due primarily to the reversal of the valuation allowance on certain federal and state NOLs estimated to be realized in the current year.</w:t>
      </w:r>
    </w:p>
    <w:p>
      <w:pPr>
        <w:pStyle w:val="TextBody"/>
        <w:bidi w:val="0"/>
        <w:spacing w:before="0" w:after="0"/>
        <w:jc w:val="left"/>
        <w:rPr/>
      </w:pPr>
      <w:r>
        <w:rPr/>
      </w:r>
    </w:p>
    <w:p>
      <w:pPr>
        <w:pStyle w:val="TextBody"/>
        <w:widowControl/>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180" w:right="0" w:hanging="0"/>
        <w:jc w:val="left"/>
        <w:rPr>
          <w:rFonts w:ascii="Times New Roman" w:hAnsi="Times New Roman"/>
          <w:b w:val="false"/>
          <w:i/>
          <w:color w:val="000000"/>
          <w:spacing w:val="0"/>
          <w:sz w:val="20"/>
          <w:u w:val="single"/>
          <w:shd w:fill="FFFFFF" w:val="clear"/>
        </w:rPr>
      </w:pPr>
      <w:r>
        <w:rPr>
          <w:rFonts w:ascii="Times New Roman" w:hAnsi="Times New Roman"/>
          <w:b w:val="false"/>
          <w:i/>
          <w:color w:val="000000"/>
          <w:spacing w:val="0"/>
          <w:sz w:val="20"/>
          <w:u w:val="single"/>
          <w:shd w:fill="FFFFFF" w:val="clear"/>
        </w:rPr>
        <w:t>Valuation Allowance</w:t>
      </w:r>
    </w:p>
    <w:p>
      <w:pPr>
        <w:pStyle w:val="TextBody"/>
        <w:bidi w:val="0"/>
        <w:spacing w:before="0" w:after="0"/>
        <w:jc w:val="left"/>
        <w:rPr/>
      </w:pPr>
      <w:r>
        <w:rPr/>
      </w:r>
    </w:p>
    <w:p>
      <w:pPr>
        <w:pStyle w:val="TextBody"/>
        <w:widowControl/>
        <w:bidi w:val="0"/>
        <w:spacing w:before="0" w:after="0"/>
        <w:ind w:left="18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the Company continues to maintain a full valuation allowance against its net deferred tax assets.</w:t>
      </w:r>
    </w:p>
    <w:p>
      <w:pPr>
        <w:pStyle w:val="TextBody"/>
        <w:bidi w:val="0"/>
        <w:spacing w:before="0" w:after="0"/>
        <w:jc w:val="left"/>
        <w:rPr/>
      </w:pPr>
      <w:r>
        <w:rPr/>
      </w:r>
    </w:p>
    <w:p>
      <w:pPr>
        <w:pStyle w:val="TextBody"/>
        <w:widowControl/>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180" w:right="0" w:hanging="0"/>
        <w:jc w:val="left"/>
        <w:rPr>
          <w:rFonts w:ascii="Times New Roman" w:hAnsi="Times New Roman"/>
          <w:b w:val="false"/>
          <w:i/>
          <w:color w:val="000000"/>
          <w:spacing w:val="0"/>
          <w:sz w:val="20"/>
          <w:u w:val="single"/>
          <w:shd w:fill="FFFFFF" w:val="clear"/>
        </w:rPr>
      </w:pPr>
      <w:r>
        <w:rPr>
          <w:rFonts w:ascii="Times New Roman" w:hAnsi="Times New Roman"/>
          <w:b w:val="false"/>
          <w:i/>
          <w:color w:val="000000"/>
          <w:spacing w:val="0"/>
          <w:sz w:val="20"/>
          <w:u w:val="single"/>
          <w:shd w:fill="FFFFFF" w:val="clear"/>
        </w:rPr>
        <w:t>Net Operating Losses</w:t>
      </w:r>
    </w:p>
    <w:p>
      <w:pPr>
        <w:pStyle w:val="TextBody"/>
        <w:bidi w:val="0"/>
        <w:spacing w:before="0" w:after="0"/>
        <w:jc w:val="left"/>
        <w:rPr/>
      </w:pPr>
      <w:r>
        <w:rPr/>
      </w:r>
    </w:p>
    <w:p>
      <w:pPr>
        <w:pStyle w:val="TextBody"/>
        <w:widowControl/>
        <w:bidi w:val="0"/>
        <w:spacing w:before="0" w:after="0"/>
        <w:ind w:left="18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December 31, 2023, the Company had federal and state (post-apportioned basis) NOLs of $315.6 million and $216.4 million, respectively, as well as federal research and development tax credit carryforwards of approximately $0.1 million. Approximately $35.6 million and $95.1 million of the foregoing federal and state NOLs, respectively, will expire at various dates from 2028 through 2043, if not limited by triggering events prior to such time.</w:t>
      </w:r>
    </w:p>
    <w:p>
      <w:pPr>
        <w:pStyle w:val="TextBody"/>
        <w:bidi w:val="0"/>
        <w:spacing w:before="0" w:after="0"/>
        <w:jc w:val="left"/>
        <w:rPr/>
      </w:pPr>
      <w:r>
        <w:rPr/>
      </w:r>
    </w:p>
    <w:p>
      <w:pPr>
        <w:pStyle w:val="TextBody"/>
        <w:widowControl/>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As of December 31, 2023, approximately $267.8 million of the foregoing federal NOLs are subject to limitation under Section 382 due to prior ownership changes.</w:t>
      </w:r>
    </w:p>
    <w:p>
      <w:pPr>
        <w:pStyle w:val="TextBody"/>
        <w:bidi w:val="0"/>
        <w:spacing w:before="0" w:after="0"/>
        <w:jc w:val="left"/>
        <w:rPr/>
      </w:pPr>
      <w:r>
        <w:rPr/>
      </w:r>
    </w:p>
    <w:p>
      <w:pPr>
        <w:pStyle w:val="TextBody"/>
        <w:widowControl/>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18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w:t>
      </w:r>
    </w:p>
    <w:p>
      <w:pPr>
        <w:pStyle w:val="TextBody"/>
        <w:bidi w:val="0"/>
        <w:spacing w:before="0" w:after="0"/>
        <w:jc w:val="left"/>
        <w:rPr/>
      </w:pPr>
      <w:r>
        <w:rPr/>
      </w:r>
    </w:p>
    <w:tbl>
      <w:tblPr>
        <w:tblW w:w="6220" w:type="dxa"/>
        <w:jc w:val="left"/>
        <w:tblInd w:w="0" w:type="dxa"/>
        <w:tblLayout w:type="fixed"/>
        <w:tblCellMar>
          <w:top w:w="0" w:type="dxa"/>
          <w:left w:w="0" w:type="dxa"/>
          <w:bottom w:w="0" w:type="dxa"/>
          <w:right w:w="0" w:type="dxa"/>
        </w:tblCellMar>
      </w:tblPr>
      <w:tblGrid>
        <w:gridCol w:w="290"/>
        <w:gridCol w:w="5930"/>
      </w:tblGrid>
      <w:tr>
        <w:trPr/>
        <w:tc>
          <w:tcPr>
            <w:tcW w:w="290" w:type="dxa"/>
            <w:tcBorders/>
            <w:vAlign w:val="center"/>
          </w:tcPr>
          <w:p>
            <w:pPr>
              <w:pStyle w:val="TableContents"/>
              <w:bidi w:val="0"/>
              <w:spacing w:before="0" w:after="283"/>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5930" w:type="dxa"/>
            <w:tcBorders/>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SUPPLEMENTAL DISCLOSURE OF CASH FLOW INFORMATION</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Supplemental cash flow information for the three months ended March 31, 2024 and 2023 is as follows: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tbl>
      <w:tblPr>
        <w:tblW w:w="7420" w:type="dxa"/>
        <w:jc w:val="left"/>
        <w:tblInd w:w="0" w:type="dxa"/>
        <w:tblLayout w:type="fixed"/>
        <w:tblCellMar>
          <w:top w:w="0" w:type="dxa"/>
          <w:left w:w="0" w:type="dxa"/>
          <w:bottom w:w="0" w:type="dxa"/>
          <w:right w:w="0" w:type="dxa"/>
        </w:tblCellMar>
      </w:tblPr>
      <w:tblGrid>
        <w:gridCol w:w="5945"/>
        <w:gridCol w:w="60"/>
        <w:gridCol w:w="125"/>
        <w:gridCol w:w="485"/>
        <w:gridCol w:w="60"/>
        <w:gridCol w:w="60"/>
        <w:gridCol w:w="125"/>
        <w:gridCol w:w="485"/>
        <w:gridCol w:w="75"/>
      </w:tblGrid>
      <w:tr>
        <w:trPr/>
        <w:tc>
          <w:tcPr>
            <w:tcW w:w="5945" w:type="dxa"/>
            <w:tcBorders/>
            <w:vAlign w:val="bottom"/>
          </w:tcPr>
          <w:p>
            <w:pPr>
              <w:pStyle w:val="TableContents"/>
              <w:bidi w:val="0"/>
              <w:spacing w:before="0" w:after="283"/>
              <w:jc w:val="left"/>
              <w:rPr>
                <w:caps w:val="false"/>
                <w:smallCaps w:val="false"/>
              </w:rPr>
            </w:pPr>
            <w:r>
              <w:rPr>
                <w:caps w:val="false"/>
                <w:smallCaps w:val="false"/>
              </w:rPr>
              <w:t> </w:t>
            </w:r>
          </w:p>
        </w:tc>
        <w:tc>
          <w:tcPr>
            <w:tcW w:w="67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vAlign w:val="bottom"/>
          </w:tcPr>
          <w:p>
            <w:pPr>
              <w:pStyle w:val="TableContents"/>
              <w:bidi w:val="0"/>
              <w:spacing w:before="0" w:after="283"/>
              <w:jc w:val="left"/>
              <w:rPr/>
            </w:pPr>
            <w:r>
              <w:rPr/>
              <w:t> </w:t>
            </w:r>
          </w:p>
        </w:tc>
        <w:tc>
          <w:tcPr>
            <w:tcW w:w="67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5" w:type="dxa"/>
            <w:tcBorders/>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283"/>
              <w:jc w:val="left"/>
              <w:rPr/>
            </w:pPr>
            <w:r>
              <w:rPr/>
              <w:t> </w:t>
            </w:r>
          </w:p>
        </w:tc>
        <w:tc>
          <w:tcPr>
            <w:tcW w:w="1400" w:type="dxa"/>
            <w:gridSpan w:val="7"/>
            <w:tcBorders/>
            <w:vAlign w:val="bottom"/>
          </w:tcPr>
          <w:p>
            <w:pPr>
              <w:pStyle w:val="TableContents"/>
              <w:bidi w:val="0"/>
              <w:spacing w:before="0" w:after="283"/>
              <w:jc w:val="center"/>
              <w:rPr>
                <w:rFonts w:ascii="Times New Roman" w:hAnsi="Times New Roman"/>
                <w:i/>
                <w:caps w:val="false"/>
                <w:smallCaps w:val="false"/>
                <w:sz w:val="20"/>
              </w:rPr>
            </w:pPr>
            <w:r>
              <w:rPr>
                <w:rFonts w:ascii="Times New Roman" w:hAnsi="Times New Roman"/>
                <w:i/>
                <w:caps w:val="false"/>
                <w:smallCaps w:val="false"/>
                <w:sz w:val="20"/>
              </w:rPr>
              <w:t>(In thousands)</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bottom"/>
          </w:tcPr>
          <w:p>
            <w:pPr>
              <w:pStyle w:val="TableContents"/>
              <w:bidi w:val="0"/>
              <w:spacing w:before="0" w:after="0"/>
              <w:ind w:left="144" w:right="0" w:hanging="144"/>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70" w:type="dxa"/>
            <w:gridSpan w:val="3"/>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70" w:type="dxa"/>
            <w:gridSpan w:val="3"/>
            <w:tcBorders/>
            <w:vAlign w:val="bottom"/>
          </w:tcPr>
          <w:p>
            <w:pPr>
              <w:pStyle w:val="TableContents"/>
              <w:bidi w:val="0"/>
              <w:spacing w:before="0" w:after="283"/>
              <w:jc w:val="left"/>
              <w:rPr>
                <w:caps w:val="false"/>
                <w:smallCaps w:val="false"/>
              </w:rPr>
            </w:pPr>
            <w:r>
              <w:rPr>
                <w:caps w:val="false"/>
                <w:smallCaps w:val="false"/>
              </w:rPr>
              <w:t>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4,639</w:t>
            </w:r>
          </w:p>
        </w:tc>
        <w:tc>
          <w:tcPr>
            <w:tcW w:w="7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144" w:right="0" w:hanging="144"/>
              <w:jc w:val="left"/>
              <w:rPr>
                <w:rFonts w:ascii="Times New Roman" w:hAnsi="Times New Roman"/>
                <w:b/>
                <w:caps w:val="false"/>
                <w:smallCaps w:val="false"/>
                <w:sz w:val="20"/>
              </w:rPr>
            </w:pPr>
            <w:r>
              <w:rPr>
                <w:rFonts w:ascii="Times New Roman" w:hAnsi="Times New Roman"/>
                <w:b/>
                <w:caps w:val="false"/>
                <w:smallCaps w:val="false"/>
                <w:sz w:val="20"/>
              </w:rPr>
              <w:t>Noncash Financing and Investing Activities:</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485" w:type="dxa"/>
            <w:tcBorders/>
            <w:vAlign w:val="bottom"/>
          </w:tcPr>
          <w:p>
            <w:pPr>
              <w:pStyle w:val="TableContents"/>
              <w:bidi w:val="0"/>
              <w:spacing w:before="0" w:after="283"/>
              <w:jc w:val="righ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485" w:type="dxa"/>
            <w:tcBorders/>
            <w:vAlign w:val="bottom"/>
          </w:tcPr>
          <w:p>
            <w:pPr>
              <w:pStyle w:val="TableContents"/>
              <w:bidi w:val="0"/>
              <w:spacing w:before="0" w:after="283"/>
              <w:jc w:val="right"/>
              <w:rPr>
                <w:caps w:val="false"/>
                <w:smallCaps w:val="false"/>
              </w:rPr>
            </w:pPr>
            <w:r>
              <w:rPr>
                <w:caps w:val="false"/>
                <w:smallCaps w:val="false"/>
              </w:rPr>
              <w:t> </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bottom"/>
          </w:tcPr>
          <w:p>
            <w:pPr>
              <w:pStyle w:val="TableContents"/>
              <w:bidi w:val="0"/>
              <w:spacing w:before="0" w:after="0"/>
              <w:ind w:left="324" w:right="0" w:hanging="144"/>
              <w:jc w:val="left"/>
              <w:rPr>
                <w:rFonts w:ascii="Times New Roman" w:hAnsi="Times New Roman"/>
                <w:caps w:val="false"/>
                <w:smallCaps w:val="false"/>
                <w:sz w:val="20"/>
              </w:rPr>
            </w:pPr>
            <w:r>
              <w:rPr>
                <w:rFonts w:ascii="Times New Roman" w:hAnsi="Times New Roman"/>
                <w:caps w:val="false"/>
                <w:smallCaps w:val="false"/>
                <w:sz w:val="20"/>
              </w:rPr>
              <w:t>Equipment acquired reflected in accounts payable and accrued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1,351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aps w:val="false"/>
                <w:smallCaps w:val="false"/>
                <w:sz w:val="20"/>
              </w:rPr>
            </w:pPr>
            <w:r>
              <w:rPr>
                <w:rFonts w:ascii="Times New Roman" w:hAnsi="Times New Roman"/>
                <w:caps w:val="false"/>
                <w:smallCaps w:val="false"/>
                <w:sz w:val="20"/>
              </w:rPr>
              <w:t>530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8" w:name="ManagementsDiscussionandA"/>
      <w:bookmarkStart w:id="9" w:name="ManagementsDiscussionandA"/>
      <w:bookmarkEnd w:id="9"/>
    </w:p>
    <w:tbl>
      <w:tblPr>
        <w:tblW w:w="9850" w:type="dxa"/>
        <w:jc w:val="left"/>
        <w:tblInd w:w="0" w:type="dxa"/>
        <w:tblLayout w:type="fixed"/>
        <w:tblCellMar>
          <w:top w:w="0" w:type="dxa"/>
          <w:left w:w="0" w:type="dxa"/>
          <w:bottom w:w="0" w:type="dxa"/>
          <w:right w:w="0" w:type="dxa"/>
        </w:tblCellMar>
      </w:tblPr>
      <w:tblGrid>
        <w:gridCol w:w="740"/>
        <w:gridCol w:w="9110"/>
      </w:tblGrid>
      <w:tr>
        <w:trPr/>
        <w:tc>
          <w:tcPr>
            <w:tcW w:w="740" w:type="dxa"/>
            <w:tcBorders/>
            <w:vAlign w:val="center"/>
          </w:tcPr>
          <w:p>
            <w:pPr>
              <w:pStyle w:val="TableContents"/>
              <w:bidi w:val="0"/>
              <w:spacing w:before="0" w:after="283"/>
              <w:jc w:val="left"/>
              <w:rPr>
                <w:b/>
              </w:rPr>
            </w:pPr>
            <w:r>
              <w:rPr>
                <w:b/>
              </w:rPr>
              <w:t>Item 2.</w:t>
            </w:r>
          </w:p>
        </w:tc>
        <w:tc>
          <w:tcPr>
            <w:tcW w:w="911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i/>
          <w:color w:val="000000"/>
          <w:sz w:val="20"/>
          <w:shd w:fill="FFFFFF" w:val="clear"/>
        </w:rPr>
      </w:pPr>
      <w:r>
        <w:rPr>
          <w:rFonts w:ascii="Times New Roman" w:hAnsi="Times New Roman"/>
          <w:i/>
          <w:color w:val="000000"/>
          <w:sz w:val="20"/>
          <w:shd w:fill="FFFFFF" w:val="clear"/>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2023, filed on February 28, 2024 (the “2023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Biologics, Inc. (the “Company,” “ADMA,” “we,” “us” or “our”) is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(Immune Globulin Intravenous, Human),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hAnsi="Times New Roman"/>
          <w:i/>
          <w:color w:val="000000"/>
          <w:sz w:val="20"/>
          <w:shd w:fill="FFFFFF" w:val="clear"/>
        </w:rPr>
        <w:t>S. pneumonia</w:t>
      </w:r>
      <w:r>
        <w:rPr>
          <w:rFonts w:ascii="Times New Roman" w:hAnsi="Times New Roman"/>
          <w:color w:val="000000"/>
          <w:sz w:val="20"/>
          <w:shd w:fill="FFFFFF" w:val="clear"/>
        </w:rPr>
        <w:t xml:space="preserve"> infection for an immunoglobulin manufactured to contain standardized antibodies to numerous serotypes of </w:t>
      </w:r>
      <w:r>
        <w:rPr>
          <w:rFonts w:ascii="Times New Roman" w:hAnsi="Times New Roman"/>
          <w:i/>
          <w:color w:val="000000"/>
          <w:sz w:val="20"/>
          <w:shd w:fill="FFFFFF" w:val="clear"/>
        </w:rPr>
        <w:t>S. pneumoniae</w:t>
      </w:r>
      <w:r>
        <w:rPr>
          <w:rFonts w:ascii="Times New Roman" w:hAnsi="Times New Roman"/>
          <w:color w:val="000000"/>
          <w:sz w:val="20"/>
          <w:shd w:fill="FFFFFF" w:val="clear"/>
        </w:rPr>
        <w:t>. Our products and product candidates are intended to be used by physician specialists focused on caring for immune-compromised patients with or at risk for certain infectious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annual revenues greater than $355 million in 2024 and $410 million in 2025. These revenue targets translate to potential fiscal year 2024 and 2025 net income exceeding $85 million and $135 million, respectively, and adjusted EBITDA exceeding $110 million and $160 million, respectively.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 our ADMA BioCenters subsidiary, we currently operate ten source plasma collection facilities in the United States,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sell plasma-derived intermediate fractions to certain customers, which are generated as part of our FDA-approved manufacturing process for IG and IVIG products, through a five-year plasma intermediates supply agreement we entered into in October 2019. These intermediate by-products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ASCENIV</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ADMA commenced manufacturing ASCENIV at the 4,400 Liter production scale for the first time in the Company’s history. We believe that this expansion will meaningfully improve the product’s margin profile and increase plant production capacity as fewer batches will be needed to support our revenue goals. ASCENIV’s prescriber and patient base continued to expand during 2023, which drove record utilization and pull-through for this product. These elevated demand trends have sustained into 2024, and ADMA currently expects that this product’s rapid growth will continue throughout 2024 and beyond.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BIVIGAM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12, 2023, we announced that the FDA approved the expansion of BIVIGAM’s label in the United States to now include the pediatric setting for those two years of age and older.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Nabi-HB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valuation of inventory, impairment of long-lived assets, assumptions used in projecting future liquidity and capital requirements, assumptions used in the fair value of awards granted under our equity incentive plans and warrants issued in connection with the issuance of notes payable and estimates related to the valuation allowance for our deferred tax assets our effective tax rate for the current fiscal year.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2023 10-K. Estimates and assumptions used in projecting future liquidity and capital requirements are described in Note 1 to the condensed consolidated financial statements appearing elsewhere in this Quarterly Report on Form 10-Q.</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Historically, adjustments to these estimates to reflect actual results or updated expectations have not been material to our overall business. While we have some historical sales and rebate experience from our two primary immunoglobulin products, ASCENIV and BIVIGAM, since their FDA approvals in 2019, it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Valuation of Inventory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Estimates related to the valuation of inventory include net realizable value of inventory in determining whether the cost of inventory exceeds its net realizable value which, if this were the case, would require a charge against earnings to write down the value of the inventory to its net realizable value. Net realizable value of inventory is based on our management’s estimate of the future net selling price of the inventory, which is subject to market conditions and the estimation processes we use for revenues as discussed above. With respect to raw materials inventory, we are required to estimate the level and timing of usage of these materials prior to their expiration dates in determining whether it is appropriate to carry these materials on our balance sheet as a valid asset of the Company. Changes in either of these estimates could materially impact our cost of product revenue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Stock-Based Compensation and Valuation of Warrants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We will continue to analyze the expected stock price volatility and expected term assumptions and will adjust our Black-Scholes option pricing assumptions as appropriate. Any changes in the foregoing Black-Scholes assumptions, or our election to utilize an alternative method for valuing stock options granted to employees, directors and officers, could potentially impact our stock-based compensation expense and our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use the Black-Scholes option valuation model for the purpose of estimating the fair value of warrants we issue from time to time in connection with the issuance of notes payable. Changes in our Black-Scholes assumptions, or our election to utilize an alternative method for valuing warrants issued to our lenders, could impact our interest expense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Impairment of Long-Lived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2024 and 2023, we did not identify any impairment indicators for our long-lived assets, and as a result no impairment charges were recorded. Examples of events or circumstances that may be indicative of impairment that would require the use of significant judgment by management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legal factors or in the business climate that could affect the value of the asset.</w:t>
            </w:r>
          </w:p>
        </w:tc>
      </w:tr>
    </w:tbl>
    <w:tbl>
      <w:tblPr>
        <w:tblW w:w="4248" w:type="dxa"/>
        <w:jc w:val="left"/>
        <w:tblInd w:w="0" w:type="dxa"/>
        <w:tblLayout w:type="fixed"/>
        <w:tblCellMar>
          <w:top w:w="0" w:type="dxa"/>
          <w:left w:w="0" w:type="dxa"/>
          <w:bottom w:w="0" w:type="dxa"/>
          <w:right w:w="0" w:type="dxa"/>
        </w:tblCellMar>
      </w:tblPr>
      <w:tblGrid>
        <w:gridCol w:w="38"/>
        <w:gridCol w:w="110"/>
        <w:gridCol w:w="4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pPr>
            <w:r>
              <w:rPr/>
              <w:t>Significant and continued cash flow losses.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the extent or manner in which an asset is used, such as a restriction imposed by the FDA or other regulatory authorities that could affect our ability to manufacture our products using a particular asset.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three months ended March 31, 2024 and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Deferred Tax Assets and Effective Tax 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maintain a full valuation allowance against all of our net deferred tax assets, and as a result we have historically not recorded an income tax benefit in the accompanying consolidated financial statements despite continued losses through December 31, 2023.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through December 31, 2023, at this time we have not included future projected taxable income as a source of income to recognize our deferred tax assets, despite our achievement of positive net income for the three months ended March 31,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After consideration of all available positive and negative evidence regarding our estimates of future taxable income, we have elected to maintain a full valuation allowance for our deferred tax assets as of March 31, 2024. We will continue to monitor this evidence through the balance of 2024 to determine if a reduction to the valuation allowance is required, which could potentially result in our recognition of an income tax benefit sometime during fiscal 2024.</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income tax expense for the three months ended March 31, 2024 is based on our estimated effective tax rate for the full year 2024, which is a function of our projected net income under U.S. GAAP, our estimates and assumptions regarding certain permanent and temporary differences between U.S. GAAP income and taxable income, and the limitations to our net operating loss carryforwards and their limitations under Section 382 of the Internal Revenue Code of 1986, as amended (see “Risk Factors” appearing elsewhere in this report and Note 13 to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Three Months Ended March 31, 2024 Compared to Three Months Ended March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a summary of the changes in our results of operations for the three months ended March 31, 2024, our first fiscal quarter, compared to the three months ended March 31, 2023:</w:t>
      </w:r>
    </w:p>
    <w:p>
      <w:pPr>
        <w:pStyle w:val="TextBody"/>
        <w:bidi w:val="0"/>
        <w:spacing w:before="0" w:after="0"/>
        <w:jc w:val="left"/>
        <w:rPr/>
      </w:pPr>
      <w:r>
        <w:rPr/>
      </w:r>
    </w:p>
    <w:tbl>
      <w:tblPr>
        <w:tblW w:w="8706" w:type="dxa"/>
        <w:jc w:val="left"/>
        <w:tblInd w:w="0" w:type="dxa"/>
        <w:tblLayout w:type="fixed"/>
        <w:tblCellMar>
          <w:top w:w="0" w:type="dxa"/>
          <w:left w:w="0" w:type="dxa"/>
          <w:bottom w:w="0" w:type="dxa"/>
          <w:right w:w="0" w:type="dxa"/>
        </w:tblCellMar>
      </w:tblPr>
      <w:tblGrid>
        <w:gridCol w:w="4205"/>
        <w:gridCol w:w="60"/>
        <w:gridCol w:w="167"/>
        <w:gridCol w:w="815"/>
        <w:gridCol w:w="113"/>
        <w:gridCol w:w="71"/>
        <w:gridCol w:w="167"/>
        <w:gridCol w:w="815"/>
        <w:gridCol w:w="113"/>
        <w:gridCol w:w="71"/>
        <w:gridCol w:w="340"/>
        <w:gridCol w:w="1659"/>
        <w:gridCol w:w="110"/>
      </w:tblGrid>
      <w:tr>
        <w:trPr/>
        <w:tc>
          <w:tcPr>
            <w:tcW w:w="4205" w:type="dxa"/>
            <w:vMerge w:val="restart"/>
            <w:tcBorders/>
            <w:vAlign w:val="bottom"/>
          </w:tcPr>
          <w:p>
            <w:pPr>
              <w:pStyle w:val="TableContents"/>
              <w:bidi w:val="0"/>
              <w:spacing w:before="0" w:after="0"/>
              <w:ind w:left="144" w:right="0" w:hanging="144"/>
              <w:jc w:val="center"/>
              <w:rPr>
                <w:i/>
                <w:color w:val="000000"/>
                <w:sz w:val="20"/>
              </w:rPr>
            </w:pPr>
            <w:r>
              <w:rPr>
                <w:i/>
                <w:color w:val="000000"/>
                <w:sz w:val="20"/>
              </w:rPr>
              <w:t>(in thousands)</w:t>
            </w:r>
          </w:p>
        </w:tc>
        <w:tc>
          <w:tcPr>
            <w:tcW w:w="60" w:type="dxa"/>
            <w:tcBorders/>
            <w:vAlign w:val="bottom"/>
          </w:tcPr>
          <w:p>
            <w:pPr>
              <w:pStyle w:val="TableContents"/>
              <w:bidi w:val="0"/>
              <w:spacing w:before="0" w:after="283"/>
              <w:jc w:val="left"/>
              <w:rPr/>
            </w:pPr>
            <w:r>
              <w:rPr/>
              <w:t> </w:t>
            </w:r>
          </w:p>
        </w:tc>
        <w:tc>
          <w:tcPr>
            <w:tcW w:w="4331"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March 31,</w:t>
            </w:r>
          </w:p>
        </w:tc>
        <w:tc>
          <w:tcPr>
            <w:tcW w:w="110" w:type="dxa"/>
            <w:tcBorders/>
            <w:vAlign w:val="bottom"/>
          </w:tcPr>
          <w:p>
            <w:pPr>
              <w:pStyle w:val="TableContents"/>
              <w:bidi w:val="0"/>
              <w:spacing w:before="0" w:after="283"/>
              <w:jc w:val="left"/>
              <w:rPr/>
            </w:pPr>
            <w:r>
              <w:rPr/>
              <w:t> </w:t>
            </w:r>
          </w:p>
        </w:tc>
      </w:tr>
      <w:tr>
        <w:trPr/>
        <w:tc>
          <w:tcPr>
            <w:tcW w:w="420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Revenues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81,875</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56,914</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1659" w:type="dxa"/>
            <w:tcBorders/>
            <w:shd w:fill="CCEEFF" w:val="clear"/>
            <w:vAlign w:val="bottom"/>
          </w:tcPr>
          <w:p>
            <w:pPr>
              <w:pStyle w:val="TableContents"/>
              <w:bidi w:val="0"/>
              <w:spacing w:before="0" w:after="0"/>
              <w:jc w:val="right"/>
              <w:rPr>
                <w:color w:val="000000"/>
              </w:rPr>
            </w:pPr>
            <w:r>
              <w:rPr>
                <w:color w:val="000000"/>
              </w:rPr>
              <w:t>24,961</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Cost of product revenue</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42,767</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40,401</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2,366</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39,108</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16,513</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22,595</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Research and development expenses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450</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855</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(405</w:t>
            </w:r>
          </w:p>
        </w:tc>
        <w:tc>
          <w:tcPr>
            <w:tcW w:w="110" w:type="dxa"/>
            <w:tcBorders/>
            <w:vAlign w:val="bottom"/>
          </w:tcPr>
          <w:p>
            <w:pPr>
              <w:pStyle w:val="TableContents"/>
              <w:bidi w:val="0"/>
              <w:spacing w:before="0" w:after="0"/>
              <w:jc w:val="left"/>
              <w:rPr>
                <w:color w:val="000000"/>
              </w:rPr>
            </w:pPr>
            <w:r>
              <w:rPr>
                <w:color w:val="000000"/>
              </w:rPr>
              <w:t>)</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Plasma center operating expenses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1,005</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1,780</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(775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ind w:left="144" w:right="0" w:hanging="144"/>
              <w:jc w:val="left"/>
              <w:rPr>
                <w:color w:val="000000"/>
              </w:rPr>
            </w:pPr>
            <w:r>
              <w:rPr>
                <w:color w:val="000000"/>
              </w:rPr>
              <w:t>Amortization of intangibles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193</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179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14</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15,639</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14,512</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1,127</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Income (loss) from operations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21,821</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(813</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22,634</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(3,769</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(6,115</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2,346</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Other income, net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210</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color w:val="000000"/>
              </w:rPr>
            </w:pPr>
            <w:r>
              <w:rPr>
                <w:color w:val="000000"/>
              </w:rPr>
              <w:t>Income (loss) from before taxes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18,401</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color w:val="000000"/>
              </w:rPr>
            </w:pPr>
            <w:r>
              <w:rPr>
                <w:color w:val="000000"/>
              </w:rPr>
              <w:t>(6,789</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0"/>
              <w:jc w:val="right"/>
              <w:rPr>
                <w:color w:val="000000"/>
              </w:rPr>
            </w:pPr>
            <w:r>
              <w:rPr>
                <w:color w:val="000000"/>
              </w:rPr>
              <w:t>25,190</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Provision for income taxes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595</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0"/>
              <w:jc w:val="right"/>
              <w:rPr>
                <w:color w:val="000000"/>
              </w:rPr>
            </w:pPr>
            <w:r>
              <w:rPr>
                <w:color w:val="000000"/>
              </w:rPr>
              <w:t>595</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5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Net income (loss)</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17,806</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(6,789</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24,595</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color w:val="000000"/>
              </w:rPr>
            </w:pPr>
            <w:r>
              <w:rPr>
                <w:color w:val="000000"/>
              </w:rPr>
              <w:t>Adjusted EBITDA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26,425</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23,956</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 - See Non-GAAP Financial Measures appearing at the end of this discussion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recorded total revenues of $81.9 million for the three months ended March 31, 2024, as compared to $56.9 million for the three months ended March 31, 2023, an increase of $25.0 million, or approximately 44%. The increase is primarily related to increased sales of our IG products, ASCENIV, BIVIGAM and Nabi-HB, of $30.5 million in 2024, as we continue to experience increased physician, payer and patient acceptance and utilization of ASCENIV and expand our customer base for BIVIGAM.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foregoing increase in IG revenues in the first quarter of 2024 was partially offset by a $5.6 million decrease in third-party plasma sales by our Plasma Collection Centers business segment. During the first quarter of 2023, we fulfilled our entire commitment to supply normal source plasma (“NSP”) to our primary third-party customer for fiscal 2023, while that same commitment for fiscal 2024 will be met over the course of the full year.</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Product Revenue and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Cost of product revenue was $42.8 million for the three months ended March 31, 2024, as compared to $40.4 million for the three months ended March 31, 2023. This increase is primarily attributable to volume-driven increases in product revenue costs related to the increased sales of our IG products of $7.9 million, partially offset by $4.9 million of lower product revenue costs related to plasma sales.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three months ended March 31, 2024, we had gross profit of $39.1 million, as compared to $16.5 million for the same period of a year ago, which represents a gross margin in the first quarter of 2024 of 47.8%, as compared to 29.0% in the first quarter of 2023. This improvement in gross margin is mainly driven by a significantly more favorable mix of higher margin IG sales in 2024 as compared to 2023, along with the 44% revenue increase which allows for additional coverage of our non-variable manufacturing costs in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Research and development (“R&amp;D”) expenses totaled $0.5 million for the first quarter of 2024, as compared to $0.9 million for the first quarter of 2023. The decrease is primarily due to the absence of expenditures in 2024 related to the BIVIGAM post-marketing commitments, which were completed in June of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Plasma Center Operating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Center Operating Expenses decreased from $1.8 million for the three months ended March 31, 2023 to $1.0 million for the three months ended March 31, 2024. The decrease is due to a 38% increase in the amount of plasma collected in the first quarter of 2024 as compared to the first quarter of 2023, which resulted in a $3.7 million increase in the amount of plasma center costs we capitalized into inventory in 2024. This amount was partially offset by increases in donor fees of $1.3 million, softgoods and supplies of $0.7 million, donor testing expenses of $0.7 million, compensation, benefits and temporary labor of $0.1 million, depreciation of $0.1 million and software maintenance expense of $0.1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Amortization of Intangibles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Amortization expense mainly pertains to the amortization of intangible assets acquired in a 2017 acquisition transaction and was $0.2 million for the three months ended March 31, 2024 and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(“SG&amp;A”) expenses were $15.6 million for the three months ended March 31, 2024, an increase of $1.1 million from the three months ended March 31, 2023. The increase reflects increases in employee-related costs, including salaries, benefits, stock-based compensation, travel, relocation and recruiting, in the amount of $1.4 million, state and local taxes of $0.1 million and insurance expense of $0.1 million, partially offset by lower severance expense of $0.3 million and professional service fees of $0.2 million. SG&amp;A expenses as a percentage of net revenues decreased from 25.5% in the first quarter of 2023 to 19.1% in the first quarter of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Income/Loss from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operating income was $21.8 million for the first quarter of 2024, as compared to an operating loss of $0.8 million for the first quarter of 2023. The $22.6 million increase in operating income was due to the improved gross profit, as total operating expenses of $17.3 million in 2024 was essentially unchanged from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expense for the three months ended March 31, 2024 was $3.8 million, as compared to $6.1 million for the three months ended March 31, 2023. The decrease is due to the refinancing of our senior debt in December of 2023 (see “Liquidity and Capital Resources”). This transaction reduced our stated rate of interest from approximately 14.10% in the first quarter of 2023 to approximately 10.38% in the first quarter of 2024, and also resulted in a reduction to our outstanding debt principal in the first quarter of 2024 compared with the first quarter of 2023 of approximately $20.4 million. In addition, we had lower amortization of debt discount in 2024 of approximately $0.2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Other Income,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Other income, net, for the three months ended March 31, 2024 was $0.3 million, as compared to $0.1 million for the three months ended March 31, 2023. The increase is mainly due to an increase in interest income of $0.2 million in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 for Income Taxes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result of our generating pre-tax U.S. GAAP income of $18.4 million for the three months ended March 31, 2024, we recorded income tax expense of $0.6 million for the three months ending March 31, 2024, with no comparable amount for the three months ending March 31, 2023. The provision for income taxes for the first quarter of 2024 represents an effective tax rate of 3.2% and reflects federal and state income tax liabilities that are not fully sheltered by net operating losses or research and development tax credit carryforwards due to limitations from prior ownership changes and other limitations on net operating loss carryforwards under the Internal Revenue Code of 1986, as amended (see “Risk Factors” appearing elsewhere in this report and Note 13 to the Consolidated Financial Statements). Our effective tax rate for the three months ended March 31, 2024 differs from the federal statutory tax rate of 21%, mainly due to the reversal of the valuation allowance on certain federal and state net operating loss carryforwards expected to be realized in the current year.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net income was $17.8 million for the first quarter of 2024, as compared to a net loss of $6.8 million for the first quarter of 2023. This $24.6 million improvement in our results of operations was primarily due to the increase in operating income of $22.6 million discussed above, combined with the reduction in interest expense for the period.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Non-GAAP Financial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Earnings Before Interest, Taxes, Depreciation and Amortization (“EBITDA”), 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EBITDA and Adjusted EBITDA are important non-GAAP financial measures used by our management and Board of Directors to assess our operating performance. We use EBITDA and Adjusted EBITDA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one-time and non-recurring items. In addition, we believe that EBITDA, Adjusted EBITDA and similar measures are widely used by investors, securities analysts, ratings agencies and other parties in evaluating companies in our industry as a measure of financial performance and debt-service capabilities. See below for a reconciliation of our EBITDA and Adjusted EBITDA to net income/loss, the most directly comparable financial measure calculated and presented in accordance with U.S. GAAP.</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EBITDA and Adjusted EBITDA are measures not deemed to be in accordance with U.S. GAAP and are susceptible to varying calculations, our EBITDA and Adjusted EBITDA may not be comparable to similarly titled measures of other companies, including companies in our industry, because other companies may calculate EBITDA and Adjusted EBITDA in a different manner than we calculate these measurements. Although the Company uses Adjusted EBITDA as one of several financial measures to assess its operating performance, its use is limited as it excludes certain significant operating expenses. EBITDA and Adjusted EBITDA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income/loss to EBITDA and Adjusted EBITDA for the three months ended March 31, 2024 and 2023:</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6044" w:type="dxa"/>
        <w:jc w:val="left"/>
        <w:tblInd w:w="0" w:type="dxa"/>
        <w:tblLayout w:type="fixed"/>
        <w:tblCellMar>
          <w:top w:w="0" w:type="dxa"/>
          <w:left w:w="0" w:type="dxa"/>
          <w:bottom w:w="0" w:type="dxa"/>
          <w:right w:w="0" w:type="dxa"/>
        </w:tblCellMar>
      </w:tblPr>
      <w:tblGrid>
        <w:gridCol w:w="2555"/>
        <w:gridCol w:w="60"/>
        <w:gridCol w:w="271"/>
        <w:gridCol w:w="1316"/>
        <w:gridCol w:w="116"/>
        <w:gridCol w:w="116"/>
        <w:gridCol w:w="271"/>
        <w:gridCol w:w="1229"/>
        <w:gridCol w:w="110"/>
      </w:tblGrid>
      <w:tr>
        <w:trPr/>
        <w:tc>
          <w:tcPr>
            <w:tcW w:w="2555" w:type="dxa"/>
            <w:vMerge w:val="restart"/>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9"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0" w:type="dxa"/>
            <w:tcBorders/>
            <w:vAlign w:val="bottom"/>
          </w:tcPr>
          <w:p>
            <w:pPr>
              <w:pStyle w:val="TableContents"/>
              <w:bidi w:val="0"/>
              <w:spacing w:before="0" w:after="283"/>
              <w:jc w:val="left"/>
              <w:rPr/>
            </w:pPr>
            <w:r>
              <w:rPr/>
              <w:t> </w:t>
            </w:r>
          </w:p>
        </w:tc>
      </w:tr>
      <w:tr>
        <w:trPr/>
        <w:tc>
          <w:tcPr>
            <w:tcW w:w="25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58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1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0"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19" w:type="dxa"/>
            <w:gridSpan w:val="6"/>
            <w:tcBorders/>
            <w:vAlign w:val="bottom"/>
          </w:tcPr>
          <w:p>
            <w:pPr>
              <w:pStyle w:val="TableContents"/>
              <w:bidi w:val="0"/>
              <w:spacing w:before="0" w:after="0"/>
              <w:jc w:val="center"/>
              <w:rPr>
                <w:i/>
              </w:rPr>
            </w:pPr>
            <w:r>
              <w:rPr>
                <w:i/>
              </w:rPr>
              <w:t>(in thousands)</w:t>
            </w:r>
          </w:p>
        </w:tc>
        <w:tc>
          <w:tcPr>
            <w:tcW w:w="11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b/>
              </w:rPr>
            </w:pPr>
            <w:r>
              <w:rPr>
                <w:b/>
              </w:rPr>
              <w:t>Net income (loss)</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pPr>
            <w:r>
              <w:rPr/>
              <w:t>$</w:t>
            </w:r>
          </w:p>
        </w:tc>
        <w:tc>
          <w:tcPr>
            <w:tcW w:w="1316" w:type="dxa"/>
            <w:tcBorders/>
            <w:shd w:fill="CCEEFF" w:val="clear"/>
            <w:vAlign w:val="bottom"/>
          </w:tcPr>
          <w:p>
            <w:pPr>
              <w:pStyle w:val="TableContents"/>
              <w:bidi w:val="0"/>
              <w:spacing w:before="0" w:after="0"/>
              <w:jc w:val="right"/>
              <w:rPr/>
            </w:pPr>
            <w:r>
              <w:rPr/>
              <w:t>17,806</w:t>
            </w:r>
          </w:p>
        </w:tc>
        <w:tc>
          <w:tcPr>
            <w:tcW w:w="11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pPr>
            <w:r>
              <w:rPr/>
              <w:t>$</w:t>
            </w:r>
          </w:p>
        </w:tc>
        <w:tc>
          <w:tcPr>
            <w:tcW w:w="1229" w:type="dxa"/>
            <w:tcBorders/>
            <w:shd w:fill="CCEEFF" w:val="clear"/>
            <w:vAlign w:val="bottom"/>
          </w:tcPr>
          <w:p>
            <w:pPr>
              <w:pStyle w:val="TableContents"/>
              <w:bidi w:val="0"/>
              <w:spacing w:before="0" w:after="0"/>
              <w:jc w:val="right"/>
              <w:rPr/>
            </w:pPr>
            <w:r>
              <w:rPr/>
              <w:t>(6,789</w:t>
            </w:r>
          </w:p>
        </w:tc>
        <w:tc>
          <w:tcPr>
            <w:tcW w:w="110" w:type="dxa"/>
            <w:tcBorders/>
            <w:shd w:fill="CCEEFF" w:val="clear"/>
            <w:vAlign w:val="bottom"/>
          </w:tcPr>
          <w:p>
            <w:pPr>
              <w:pStyle w:val="TableContents"/>
              <w:bidi w:val="0"/>
              <w:spacing w:before="0" w:after="0"/>
              <w:jc w:val="left"/>
              <w:rPr/>
            </w:pPr>
            <w:r>
              <w:rPr/>
              <w:t>)</w:t>
            </w:r>
          </w:p>
        </w:tc>
      </w:tr>
      <w:tr>
        <w:trPr/>
        <w:tc>
          <w:tcPr>
            <w:tcW w:w="2555" w:type="dxa"/>
            <w:tcBorders/>
            <w:vAlign w:val="bottom"/>
          </w:tcPr>
          <w:p>
            <w:pPr>
              <w:pStyle w:val="TableContents"/>
              <w:bidi w:val="0"/>
              <w:spacing w:before="0" w:after="0"/>
              <w:ind w:left="144" w:right="0" w:hanging="144"/>
              <w:jc w:val="left"/>
              <w:rPr>
                <w:color w:val="000000"/>
              </w:rPr>
            </w:pPr>
            <w:r>
              <w:rPr>
                <w:color w:val="000000"/>
              </w:rPr>
              <w:t>Depreciation</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1,921</w:t>
            </w:r>
          </w:p>
        </w:tc>
        <w:tc>
          <w:tcPr>
            <w:tcW w:w="11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1,854</w:t>
            </w:r>
          </w:p>
        </w:tc>
        <w:tc>
          <w:tcPr>
            <w:tcW w:w="11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color w:val="000000"/>
              </w:rPr>
            </w:pPr>
            <w:r>
              <w:rPr>
                <w:color w:val="000000"/>
              </w:rPr>
              <w:t>Amortization</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0"/>
              <w:jc w:val="right"/>
              <w:rPr>
                <w:color w:val="000000"/>
              </w:rPr>
            </w:pPr>
            <w:r>
              <w:rPr>
                <w:color w:val="000000"/>
              </w:rPr>
              <w:t>193</w:t>
            </w:r>
          </w:p>
        </w:tc>
        <w:tc>
          <w:tcPr>
            <w:tcW w:w="11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0"/>
              <w:jc w:val="right"/>
              <w:rPr>
                <w:color w:val="000000"/>
              </w:rPr>
            </w:pPr>
            <w:r>
              <w:rPr>
                <w:color w:val="000000"/>
              </w:rPr>
              <w:t>179</w:t>
            </w:r>
          </w:p>
        </w:tc>
        <w:tc>
          <w:tcPr>
            <w:tcW w:w="11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color w:val="000000"/>
              </w:rPr>
            </w:pPr>
            <w:r>
              <w:rPr>
                <w:color w:val="000000"/>
              </w:rPr>
              <w:t>Income taxes</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595</w:t>
            </w:r>
          </w:p>
        </w:tc>
        <w:tc>
          <w:tcPr>
            <w:tcW w:w="11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3,769</w:t>
            </w:r>
          </w:p>
        </w:tc>
        <w:tc>
          <w:tcPr>
            <w:tcW w:w="11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6,115</w:t>
            </w:r>
          </w:p>
        </w:tc>
        <w:tc>
          <w:tcPr>
            <w:tcW w:w="11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b/>
                <w:color w:val="000000"/>
              </w:rPr>
            </w:pPr>
            <w:r>
              <w:rPr>
                <w:b/>
                <w:color w:val="000000"/>
              </w:rPr>
              <w:t>EBITDA</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0"/>
              <w:jc w:val="right"/>
              <w:rPr>
                <w:color w:val="000000"/>
              </w:rPr>
            </w:pPr>
            <w:r>
              <w:rPr>
                <w:color w:val="000000"/>
              </w:rPr>
              <w:t>24,284</w:t>
            </w:r>
          </w:p>
        </w:tc>
        <w:tc>
          <w:tcPr>
            <w:tcW w:w="11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1,359</w:t>
            </w:r>
          </w:p>
        </w:tc>
        <w:tc>
          <w:tcPr>
            <w:tcW w:w="11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2,141</w:t>
            </w:r>
          </w:p>
        </w:tc>
        <w:tc>
          <w:tcPr>
            <w:tcW w:w="116"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1,110</w:t>
            </w:r>
          </w:p>
        </w:tc>
        <w:tc>
          <w:tcPr>
            <w:tcW w:w="11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b/>
                <w:color w:val="000000"/>
              </w:rPr>
            </w:pPr>
            <w:r>
              <w:rPr>
                <w:b/>
                <w:color w:val="000000"/>
              </w:rPr>
              <w:t>Adjusted EBITDA</w:t>
            </w:r>
          </w:p>
        </w:tc>
        <w:tc>
          <w:tcPr>
            <w:tcW w:w="60" w:type="dxa"/>
            <w:tcBorders/>
            <w:vAlign w:val="bottom"/>
          </w:tcPr>
          <w:p>
            <w:pPr>
              <w:pStyle w:val="TableContents"/>
              <w:bidi w:val="0"/>
              <w:spacing w:before="0" w:after="283"/>
              <w:jc w:val="left"/>
              <w:rPr/>
            </w:pPr>
            <w:r>
              <w:rPr/>
              <w:t> </w:t>
            </w:r>
          </w:p>
        </w:tc>
        <w:tc>
          <w:tcPr>
            <w:tcW w:w="2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1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26,425</w:t>
            </w:r>
          </w:p>
        </w:tc>
        <w:tc>
          <w:tcPr>
            <w:tcW w:w="116"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2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2,469</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Adjusted EBITDA increased by $24.0 million for the three months ended March 31, 2024 as compared to the same period of a year ago. The improvement is driven primarily by the increased sales and gross profit in 2024, as well as continued operational oversight and cost containment efforts at both of our business segments.</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At March 31, 2024, we had working capital of $223.3 million, primarily consisting of $177.7 million of inventory, cash and cash equivalents of $45.3 million and $49.6 million of accounts receivable, partially offset by current liabilities of $53.1 million, as compared to working capital at December 31, 2023 of $207.2 million, primarily consisting of $172.9 million of inventory, cash and cash equivalents of $51.4 million and accounts receivable of $27.4 million, partially offset by current liabilities of $49.8 million. We have incurred an accumulated deficit of $488.5 million since inception, and although we had negative cash flows from operations of $2.2 million and $14.7 million for the three months ended March 31, 2024 and 2023, respectively, we had positive cash flows from operations for the year ended December 31, 2023 of $8.8 million and we expect to generate significant cash flows from operations and net income for the year ended December 31, 2024. Prior to fiscal 2023, we have funded our operations primarily from the sale of our equity and debt securities. Our material cash requirements are primarily comprised of:</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collection and procurement of raw material source plasma, which includes plasma donor fees and plasma center supplies, and other raw materials necessary to maintain and scale up our manufacturing operations;</w:t>
            </w:r>
          </w:p>
        </w:tc>
      </w:tr>
    </w:tbl>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pPr>
            <w:r>
              <w:rPr/>
              <w:t>Employee compensation and benefits;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Capital expenditures for equipment upgrades and capacity expansion at the Boca Facility and to maintain our plasma collection facilities;</w:t>
            </w:r>
          </w:p>
        </w:tc>
      </w:tr>
    </w:tbl>
    <w:tbl>
      <w:tblPr>
        <w:tblW w:w="2073" w:type="dxa"/>
        <w:jc w:val="left"/>
        <w:tblInd w:w="0" w:type="dxa"/>
        <w:tblLayout w:type="fixed"/>
        <w:tblCellMar>
          <w:top w:w="0" w:type="dxa"/>
          <w:left w:w="0" w:type="dxa"/>
          <w:bottom w:w="0" w:type="dxa"/>
          <w:right w:w="0" w:type="dxa"/>
        </w:tblCellMar>
      </w:tblPr>
      <w:tblGrid>
        <w:gridCol w:w="38"/>
        <w:gridCol w:w="110"/>
        <w:gridCol w:w="1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left"/>
              <w:rPr/>
            </w:pPr>
            <w:r>
              <w:rPr/>
              <w:t>Interest on our debt;</w:t>
            </w:r>
          </w:p>
        </w:tc>
      </w:tr>
    </w:tbl>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Marketing programs, medical education and continued commercialization efforts;</w:t>
            </w:r>
          </w:p>
        </w:tc>
      </w:tr>
    </w:tbl>
    <w:tbl>
      <w:tblPr>
        <w:tblW w:w="4728" w:type="dxa"/>
        <w:jc w:val="left"/>
        <w:tblInd w:w="0" w:type="dxa"/>
        <w:tblLayout w:type="fixed"/>
        <w:tblCellMar>
          <w:top w:w="0" w:type="dxa"/>
          <w:left w:w="0" w:type="dxa"/>
          <w:bottom w:w="0" w:type="dxa"/>
          <w:right w:w="0" w:type="dxa"/>
        </w:tblCellMar>
      </w:tblPr>
      <w:tblGrid>
        <w:gridCol w:w="38"/>
        <w:gridCol w:w="110"/>
        <w:gridCol w:w="45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left"/>
              <w:rPr/>
            </w:pPr>
            <w:r>
              <w:rPr/>
              <w:t>Boca Facility maintenance, repairs and supplies;</w:t>
            </w:r>
          </w:p>
        </w:tc>
      </w:tr>
    </w:tbl>
    <w:tbl>
      <w:tblPr>
        <w:tblW w:w="8403" w:type="dxa"/>
        <w:jc w:val="left"/>
        <w:tblInd w:w="0" w:type="dxa"/>
        <w:tblLayout w:type="fixed"/>
        <w:tblCellMar>
          <w:top w:w="0" w:type="dxa"/>
          <w:left w:w="0" w:type="dxa"/>
          <w:bottom w:w="0" w:type="dxa"/>
          <w:right w:w="0" w:type="dxa"/>
        </w:tblCellMar>
      </w:tblPr>
      <w:tblGrid>
        <w:gridCol w:w="38"/>
        <w:gridCol w:w="110"/>
        <w:gridCol w:w="8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0"/>
              <w:jc w:val="left"/>
              <w:rPr/>
            </w:pPr>
            <w:r>
              <w:rPr/>
              <w:t>Conducting required post-marketing clinical trials for our FDA-approved products;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Continuous improvements and updates to our IT infrastructure, laboratory equipment and assays, and facilities and engineering equipment.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second quarter of fiscal 2025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continues to evaluate a variety of strategic alternatives, and the exploration of value-creating opportunities remains a top corporate priority.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18, 2023 (the “Ares Closing Date”), we and all of our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we used the proceeds from the Ares Loans, along with a portion of our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Borrowings under the term loan bear interest at the adjusted Term SOFR for a three</w:t>
        <w:noBreakHyphen/>
        <w:t>month tenor in effect on the day that is two business days prior to the first day of the applicable calendar quarter plus 6.50% (the “Initial SOFR Term Loan Applicable Margin”). Borrowings under the revolving facility initially bear interest at the adjusted Term SOFR for a three</w:t>
        <w:noBreakHyphen/>
        <w:t>month tenor in effect on the day that is two business days prior to the first day of the applicable calendar quarter plus 3.75% (the “SOFR Revolving Facility Applicable Margin”). As of March 31, 2024 and December 31, 2023, the interest rate on the term loan was approximately 11.83% and 11.88%, respectively, and the interest rate on the revolving facility was approximately 9.08% and 9.13%, respectively.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Ares Credit Facility of approximately $3.6 million.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prepay an amount under the revolving facility that is greater than 50% of the current $72.5 million outstanding balance, we will still be required to pay interest on 50% of this balance, or $36.3 million, through the term of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closing of the Ares Credit Facility, we incurred fees and expenses related to the transaction of approximately $2.7 million, including a $1.7 million original issue discount payable to Ares, all of which was deducted from the Ares loan proceeds. In addition, we are also required to pay Ares an exit fee of $1.7 million upon the earlier of any prepayment date or the Ares Maturity Date, and this amount has been accrued as a separate liability in our consolidated balance sheet as of December 31, 2023. As a result, we recognized an aggregate debt discount of $4.4 million as of the Ares Closing Date, and the weighted-average effective interest rate on the Ares Loans as of March 31, 2024 and December 31, 2023 was 11.36% and 11.39%,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March 31, 2024, we were in compliance with all of the covenants contained in the Ares Credit Agreement.</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a summary of our cash flows for the periods indicated: </w:t>
      </w:r>
    </w:p>
    <w:p>
      <w:pPr>
        <w:pStyle w:val="TextBody"/>
        <w:bidi w:val="0"/>
        <w:spacing w:before="0" w:after="0"/>
        <w:ind w:left="0" w:right="0" w:firstLine="720"/>
        <w:jc w:val="left"/>
        <w:rPr/>
      </w:pPr>
      <w:r>
        <w:rPr/>
      </w:r>
    </w:p>
    <w:tbl>
      <w:tblPr>
        <w:tblW w:w="8067" w:type="dxa"/>
        <w:jc w:val="left"/>
        <w:tblInd w:w="0" w:type="dxa"/>
        <w:tblLayout w:type="fixed"/>
        <w:tblCellMar>
          <w:top w:w="0" w:type="dxa"/>
          <w:left w:w="0" w:type="dxa"/>
          <w:bottom w:w="0" w:type="dxa"/>
          <w:right w:w="0" w:type="dxa"/>
        </w:tblCellMar>
      </w:tblPr>
      <w:tblGrid>
        <w:gridCol w:w="4580"/>
        <w:gridCol w:w="60"/>
        <w:gridCol w:w="248"/>
        <w:gridCol w:w="1207"/>
        <w:gridCol w:w="168"/>
        <w:gridCol w:w="106"/>
        <w:gridCol w:w="248"/>
        <w:gridCol w:w="1340"/>
        <w:gridCol w:w="110"/>
      </w:tblGrid>
      <w:tr>
        <w:trPr/>
        <w:tc>
          <w:tcPr>
            <w:tcW w:w="4580" w:type="dxa"/>
            <w:vMerge w:val="restart"/>
            <w:tcBorders/>
            <w:vAlign w:val="bottom"/>
          </w:tcPr>
          <w:p>
            <w:pPr>
              <w:pStyle w:val="TableContents"/>
              <w:bidi w:val="0"/>
              <w:spacing w:before="0" w:after="0"/>
              <w:ind w:left="144" w:right="0" w:hanging="144"/>
              <w:jc w:val="center"/>
              <w:rPr>
                <w:i/>
                <w:color w:val="000000"/>
                <w:sz w:val="20"/>
              </w:rPr>
            </w:pPr>
            <w:r>
              <w:rPr>
                <w:i/>
                <w:color w:val="000000"/>
                <w:sz w:val="20"/>
              </w:rPr>
              <w:t>(in thousands)</w:t>
            </w:r>
          </w:p>
        </w:tc>
        <w:tc>
          <w:tcPr>
            <w:tcW w:w="60" w:type="dxa"/>
            <w:tcBorders/>
            <w:vAlign w:val="bottom"/>
          </w:tcPr>
          <w:p>
            <w:pPr>
              <w:pStyle w:val="TableContents"/>
              <w:bidi w:val="0"/>
              <w:spacing w:before="0" w:after="283"/>
              <w:jc w:val="left"/>
              <w:rPr/>
            </w:pPr>
            <w:r>
              <w:rPr/>
              <w:t> </w:t>
            </w:r>
          </w:p>
        </w:tc>
        <w:tc>
          <w:tcPr>
            <w:tcW w:w="3317" w:type="dxa"/>
            <w:gridSpan w:val="6"/>
            <w:tcBorders/>
            <w:vAlign w:val="bottom"/>
          </w:tcPr>
          <w:p>
            <w:pPr>
              <w:pStyle w:val="TableContents"/>
              <w:bidi w:val="0"/>
              <w:spacing w:before="0" w:after="0"/>
              <w:jc w:val="center"/>
              <w:rPr>
                <w:b/>
              </w:rPr>
            </w:pPr>
            <w:r>
              <w:rPr>
                <w:b/>
              </w:rPr>
              <w:t>Three Months Ended March 31,</w:t>
            </w:r>
          </w:p>
        </w:tc>
        <w:tc>
          <w:tcPr>
            <w:tcW w:w="110" w:type="dxa"/>
            <w:tcBorders/>
            <w:vAlign w:val="bottom"/>
          </w:tcPr>
          <w:p>
            <w:pPr>
              <w:pStyle w:val="TableContents"/>
              <w:bidi w:val="0"/>
              <w:spacing w:before="0" w:after="283"/>
              <w:jc w:val="left"/>
              <w:rPr/>
            </w:pPr>
            <w:r>
              <w:rPr/>
              <w:t> </w:t>
            </w:r>
          </w:p>
        </w:tc>
      </w:tr>
      <w:tr>
        <w:trPr/>
        <w:tc>
          <w:tcPr>
            <w:tcW w:w="458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45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rPr>
            </w:pPr>
            <w:r>
              <w:rPr>
                <w:b/>
              </w:rPr>
              <w:t>2024</w:t>
            </w:r>
          </w:p>
        </w:tc>
        <w:tc>
          <w:tcPr>
            <w:tcW w:w="16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88"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rPr>
            </w:pPr>
            <w:r>
              <w:rPr>
                <w:b/>
              </w:rPr>
              <w:t>2023</w:t>
            </w:r>
          </w:p>
        </w:tc>
        <w:tc>
          <w:tcPr>
            <w:tcW w:w="11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ind w:left="144" w:right="0" w:hanging="144"/>
              <w:jc w:val="left"/>
              <w:rPr/>
            </w:pPr>
            <w:r>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1207" w:type="dxa"/>
            <w:tcBorders/>
            <w:shd w:fill="CCEEFF" w:val="clear"/>
            <w:vAlign w:val="bottom"/>
          </w:tcPr>
          <w:p>
            <w:pPr>
              <w:pStyle w:val="TableContents"/>
              <w:bidi w:val="0"/>
              <w:spacing w:before="0" w:after="0"/>
              <w:jc w:val="right"/>
              <w:rPr/>
            </w:pPr>
            <w:r>
              <w:rPr/>
              <w:t>(2,218</w:t>
            </w:r>
          </w:p>
        </w:tc>
        <w:tc>
          <w:tcPr>
            <w:tcW w:w="168" w:type="dxa"/>
            <w:tcBorders/>
            <w:shd w:fill="CCEEFF" w:val="clear"/>
            <w:vAlign w:val="bottom"/>
          </w:tcPr>
          <w:p>
            <w:pPr>
              <w:pStyle w:val="TableContents"/>
              <w:bidi w:val="0"/>
              <w:spacing w:before="0" w:after="0"/>
              <w:jc w:val="left"/>
              <w:rPr/>
            </w:pPr>
            <w:r>
              <w:rPr/>
              <w:t>)</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1340" w:type="dxa"/>
            <w:tcBorders/>
            <w:shd w:fill="CCEEFF" w:val="clear"/>
            <w:vAlign w:val="bottom"/>
          </w:tcPr>
          <w:p>
            <w:pPr>
              <w:pStyle w:val="TableContents"/>
              <w:bidi w:val="0"/>
              <w:spacing w:before="0" w:after="0"/>
              <w:jc w:val="right"/>
              <w:rPr/>
            </w:pPr>
            <w:r>
              <w:rPr/>
              <w:t>(14,723</w:t>
            </w:r>
          </w:p>
        </w:tc>
        <w:tc>
          <w:tcPr>
            <w:tcW w:w="110" w:type="dxa"/>
            <w:tcBorders/>
            <w:shd w:fill="CCEEFF" w:val="clear"/>
            <w:vAlign w:val="bottom"/>
          </w:tcPr>
          <w:p>
            <w:pPr>
              <w:pStyle w:val="TableContents"/>
              <w:bidi w:val="0"/>
              <w:spacing w:before="0" w:after="0"/>
              <w:jc w:val="left"/>
              <w:rPr/>
            </w:pPr>
            <w:r>
              <w:rPr/>
              <w:t>)</w:t>
            </w:r>
          </w:p>
        </w:tc>
      </w:tr>
      <w:tr>
        <w:trPr/>
        <w:tc>
          <w:tcPr>
            <w:tcW w:w="4580" w:type="dxa"/>
            <w:tcBorders/>
            <w:vAlign w:val="bottom"/>
          </w:tcPr>
          <w:p>
            <w:pPr>
              <w:pStyle w:val="TableContents"/>
              <w:bidi w:val="0"/>
              <w:spacing w:before="0" w:after="0"/>
              <w:ind w:left="144" w:right="0" w:hanging="144"/>
              <w:jc w:val="left"/>
              <w:rPr/>
            </w:pPr>
            <w:r>
              <w:rPr/>
              <w:t>Net cash used in investing activities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pPr>
            <w:r>
              <w:rPr/>
              <w:t>(2,362</w:t>
            </w:r>
          </w:p>
        </w:tc>
        <w:tc>
          <w:tcPr>
            <w:tcW w:w="168" w:type="dxa"/>
            <w:tcBorders/>
            <w:vAlign w:val="bottom"/>
          </w:tcPr>
          <w:p>
            <w:pPr>
              <w:pStyle w:val="TableContents"/>
              <w:bidi w:val="0"/>
              <w:spacing w:before="0" w:after="0"/>
              <w:jc w:val="left"/>
              <w:rPr/>
            </w:pPr>
            <w:r>
              <w:rPr/>
              <w:t>)</w:t>
            </w:r>
          </w:p>
        </w:tc>
        <w:tc>
          <w:tcPr>
            <w:tcW w:w="1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right"/>
              <w:rPr/>
            </w:pPr>
            <w:r>
              <w:rPr/>
              <w:t>(1,945</w:t>
            </w:r>
          </w:p>
        </w:tc>
        <w:tc>
          <w:tcPr>
            <w:tcW w:w="110" w:type="dxa"/>
            <w:tcBorders/>
            <w:vAlign w:val="bottom"/>
          </w:tcPr>
          <w:p>
            <w:pPr>
              <w:pStyle w:val="TableContents"/>
              <w:bidi w:val="0"/>
              <w:spacing w:before="0" w:after="0"/>
              <w:jc w:val="left"/>
              <w:rPr/>
            </w:pPr>
            <w:r>
              <w:rPr/>
              <w:t>)</w:t>
            </w:r>
          </w:p>
        </w:tc>
      </w:tr>
      <w:tr>
        <w:trPr/>
        <w:tc>
          <w:tcPr>
            <w:tcW w:w="4580" w:type="dxa"/>
            <w:tcBorders/>
            <w:shd w:fill="CCEEFF" w:val="clear"/>
            <w:vAlign w:val="bottom"/>
          </w:tcPr>
          <w:p>
            <w:pPr>
              <w:pStyle w:val="TableContents"/>
              <w:bidi w:val="0"/>
              <w:spacing w:before="0" w:after="0"/>
              <w:ind w:left="144" w:right="0" w:hanging="144"/>
              <w:jc w:val="left"/>
              <w:rPr/>
            </w:pPr>
            <w:r>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bottom"/>
          </w:tcPr>
          <w:p>
            <w:pPr>
              <w:pStyle w:val="TableContents"/>
              <w:bidi w:val="0"/>
              <w:spacing w:before="0" w:after="0"/>
              <w:jc w:val="right"/>
              <w:rPr/>
            </w:pPr>
            <w:r>
              <w:rPr/>
              <w:t>(1,447</w:t>
            </w:r>
          </w:p>
        </w:tc>
        <w:tc>
          <w:tcPr>
            <w:tcW w:w="168" w:type="dxa"/>
            <w:tcBorders/>
            <w:shd w:fill="CCEEFF" w:val="clear"/>
            <w:vAlign w:val="bottom"/>
          </w:tcPr>
          <w:p>
            <w:pPr>
              <w:pStyle w:val="TableContents"/>
              <w:bidi w:val="0"/>
              <w:spacing w:before="0" w:after="0"/>
              <w:jc w:val="left"/>
              <w:rPr/>
            </w:pPr>
            <w:r>
              <w:rPr/>
              <w:t>)</w:t>
            </w:r>
          </w:p>
        </w:tc>
        <w:tc>
          <w:tcPr>
            <w:tcW w:w="106"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bottom"/>
          </w:tcPr>
          <w:p>
            <w:pPr>
              <w:pStyle w:val="TableContents"/>
              <w:bidi w:val="0"/>
              <w:spacing w:before="0" w:after="0"/>
              <w:jc w:val="right"/>
              <w:rPr/>
            </w:pPr>
            <w:r>
              <w:rPr/>
              <w:t>(650</w:t>
            </w:r>
          </w:p>
        </w:tc>
        <w:tc>
          <w:tcPr>
            <w:tcW w:w="110" w:type="dxa"/>
            <w:tcBorders/>
            <w:shd w:fill="CCEEFF" w:val="clear"/>
            <w:vAlign w:val="bottom"/>
          </w:tcPr>
          <w:p>
            <w:pPr>
              <w:pStyle w:val="TableContents"/>
              <w:bidi w:val="0"/>
              <w:spacing w:before="0" w:after="0"/>
              <w:jc w:val="left"/>
              <w:rPr/>
            </w:pPr>
            <w:r>
              <w:rPr/>
              <w:t>)</w:t>
            </w:r>
          </w:p>
        </w:tc>
      </w:tr>
      <w:tr>
        <w:trPr/>
        <w:tc>
          <w:tcPr>
            <w:tcW w:w="4580" w:type="dxa"/>
            <w:tcBorders/>
            <w:vAlign w:val="bottom"/>
          </w:tcPr>
          <w:p>
            <w:pPr>
              <w:pStyle w:val="TableContents"/>
              <w:bidi w:val="0"/>
              <w:spacing w:before="0" w:after="0"/>
              <w:ind w:left="144" w:right="0" w:hanging="144"/>
              <w:jc w:val="left"/>
              <w:rPr/>
            </w:pPr>
            <w:r>
              <w:rPr/>
              <w:t>Net change in cash and cash equivalents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pPr>
            <w:r>
              <w:rPr/>
              <w:t>(6,027</w:t>
            </w:r>
          </w:p>
        </w:tc>
        <w:tc>
          <w:tcPr>
            <w:tcW w:w="168" w:type="dxa"/>
            <w:tcBorders/>
            <w:vAlign w:val="bottom"/>
          </w:tcPr>
          <w:p>
            <w:pPr>
              <w:pStyle w:val="TableContents"/>
              <w:bidi w:val="0"/>
              <w:spacing w:before="0" w:after="0"/>
              <w:jc w:val="left"/>
              <w:rPr/>
            </w:pPr>
            <w:r>
              <w:rPr/>
              <w:t>)</w:t>
            </w:r>
          </w:p>
        </w:tc>
        <w:tc>
          <w:tcPr>
            <w:tcW w:w="1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right"/>
              <w:rPr/>
            </w:pPr>
            <w:r>
              <w:rPr/>
              <w:t>(17,318</w:t>
            </w:r>
          </w:p>
        </w:tc>
        <w:tc>
          <w:tcPr>
            <w:tcW w:w="110" w:type="dxa"/>
            <w:tcBorders/>
            <w:vAlign w:val="bottom"/>
          </w:tcPr>
          <w:p>
            <w:pPr>
              <w:pStyle w:val="TableContents"/>
              <w:bidi w:val="0"/>
              <w:spacing w:before="0" w:after="0"/>
              <w:jc w:val="left"/>
              <w:rPr/>
            </w:pPr>
            <w:r>
              <w:rPr/>
              <w:t>)</w:t>
            </w:r>
          </w:p>
        </w:tc>
      </w:tr>
      <w:tr>
        <w:trPr/>
        <w:tc>
          <w:tcPr>
            <w:tcW w:w="45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0"/>
              <w:ind w:left="144" w:right="0" w:hanging="144"/>
              <w:jc w:val="left"/>
              <w:rPr/>
            </w:pPr>
            <w:r>
              <w:rPr/>
              <w:t>Cash and cash equivalents - beginning of period</w:t>
            </w:r>
          </w:p>
        </w:tc>
        <w:tc>
          <w:tcPr>
            <w:tcW w:w="6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pPr>
            <w:r>
              <w:rPr/>
              <w:t>51,352</w:t>
            </w:r>
          </w:p>
        </w:tc>
        <w:tc>
          <w:tcPr>
            <w:tcW w:w="16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0" w:type="dxa"/>
            <w:tcBorders>
              <w:bottom w:val="single" w:sz="12" w:space="0" w:color="000000"/>
            </w:tcBorders>
            <w:tcMar>
              <w:bottom w:w="28" w:type="dxa"/>
            </w:tcMar>
            <w:vAlign w:val="bottom"/>
          </w:tcPr>
          <w:p>
            <w:pPr>
              <w:pStyle w:val="TableContents"/>
              <w:bidi w:val="0"/>
              <w:spacing w:before="0" w:after="0"/>
              <w:jc w:val="right"/>
              <w:rPr/>
            </w:pPr>
            <w:r>
              <w:rPr/>
              <w:t>86,522</w:t>
            </w:r>
          </w:p>
        </w:tc>
        <w:tc>
          <w:tcPr>
            <w:tcW w:w="11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ind w:left="144" w:right="0" w:hanging="144"/>
              <w:jc w:val="left"/>
              <w:rPr/>
            </w:pPr>
            <w:r>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07" w:type="dxa"/>
            <w:tcBorders>
              <w:bottom w:val="double" w:sz="8" w:space="0" w:color="000000"/>
            </w:tcBorders>
            <w:shd w:fill="CCEEFF" w:val="clear"/>
            <w:tcMar>
              <w:bottom w:w="28" w:type="dxa"/>
            </w:tcMar>
            <w:vAlign w:val="bottom"/>
          </w:tcPr>
          <w:p>
            <w:pPr>
              <w:pStyle w:val="TableContents"/>
              <w:bidi w:val="0"/>
              <w:spacing w:before="0" w:after="0"/>
              <w:jc w:val="right"/>
              <w:rPr/>
            </w:pPr>
            <w:r>
              <w:rPr/>
              <w:t>45,325</w:t>
            </w:r>
          </w:p>
        </w:tc>
        <w:tc>
          <w:tcPr>
            <w:tcW w:w="16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40" w:type="dxa"/>
            <w:tcBorders>
              <w:bottom w:val="double" w:sz="8" w:space="0" w:color="000000"/>
            </w:tcBorders>
            <w:shd w:fill="CCEEFF" w:val="clear"/>
            <w:tcMar>
              <w:bottom w:w="28" w:type="dxa"/>
            </w:tcMar>
            <w:vAlign w:val="bottom"/>
          </w:tcPr>
          <w:p>
            <w:pPr>
              <w:pStyle w:val="TableContents"/>
              <w:bidi w:val="0"/>
              <w:spacing w:before="0" w:after="0"/>
              <w:jc w:val="right"/>
              <w:rPr/>
            </w:pPr>
            <w:r>
              <w:rPr/>
              <w:t>69,204</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Used in Operating Activities</w:t>
      </w:r>
    </w:p>
    <w:p>
      <w:pPr>
        <w:pStyle w:val="TextBody"/>
        <w:bidi w:val="0"/>
        <w:spacing w:before="0" w:after="0"/>
        <w:jc w:val="left"/>
        <w:rPr>
          <w:b/>
          <w:i/>
        </w:rPr>
      </w:pPr>
      <w:r>
        <w:rPr>
          <w:b/>
          <w:i/>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Cash used in operations for the three months ended March 31, 2024 was $2.2 million, a decrease of $12.5 million from the same period of a year ago, mainly due to the increase in net income in 2024, partially offset by unfavorable changes in accounts receivable and inventories. The following table illustrates the primary components of and changes to our cash flows from operations:</w:t>
      </w:r>
    </w:p>
    <w:p>
      <w:pPr>
        <w:pStyle w:val="TextBody"/>
        <w:bidi w:val="0"/>
        <w:spacing w:before="0" w:after="0"/>
        <w:jc w:val="left"/>
        <w:rPr/>
      </w:pPr>
      <w:r>
        <w:rPr/>
      </w:r>
    </w:p>
    <w:tbl>
      <w:tblPr>
        <w:tblW w:w="8531" w:type="dxa"/>
        <w:jc w:val="left"/>
        <w:tblInd w:w="0" w:type="dxa"/>
        <w:tblLayout w:type="fixed"/>
        <w:tblCellMar>
          <w:top w:w="0" w:type="dxa"/>
          <w:left w:w="0" w:type="dxa"/>
          <w:bottom w:w="0" w:type="dxa"/>
          <w:right w:w="0" w:type="dxa"/>
        </w:tblCellMar>
      </w:tblPr>
      <w:tblGrid>
        <w:gridCol w:w="5045"/>
        <w:gridCol w:w="60"/>
        <w:gridCol w:w="238"/>
        <w:gridCol w:w="1288"/>
        <w:gridCol w:w="162"/>
        <w:gridCol w:w="102"/>
        <w:gridCol w:w="238"/>
        <w:gridCol w:w="1288"/>
        <w:gridCol w:w="110"/>
      </w:tblGrid>
      <w:tr>
        <w:trPr/>
        <w:tc>
          <w:tcPr>
            <w:tcW w:w="5045" w:type="dxa"/>
            <w:vMerge w:val="restart"/>
            <w:tcBorders/>
            <w:vAlign w:val="bottom"/>
          </w:tcPr>
          <w:p>
            <w:pPr>
              <w:pStyle w:val="TableContents"/>
              <w:bidi w:val="0"/>
              <w:spacing w:before="0" w:after="0"/>
              <w:ind w:left="144" w:right="0" w:hanging="144"/>
              <w:jc w:val="center"/>
              <w:rPr>
                <w:i/>
                <w:color w:val="000000"/>
                <w:sz w:val="20"/>
              </w:rPr>
            </w:pPr>
            <w:r>
              <w:rPr>
                <w:i/>
                <w:color w:val="000000"/>
                <w:sz w:val="20"/>
              </w:rPr>
              <w:t>(in thousands)</w:t>
            </w:r>
          </w:p>
        </w:tc>
        <w:tc>
          <w:tcPr>
            <w:tcW w:w="60" w:type="dxa"/>
            <w:tcBorders/>
            <w:vAlign w:val="bottom"/>
          </w:tcPr>
          <w:p>
            <w:pPr>
              <w:pStyle w:val="TableContents"/>
              <w:bidi w:val="0"/>
              <w:spacing w:before="0" w:after="283"/>
              <w:jc w:val="left"/>
              <w:rPr/>
            </w:pPr>
            <w:r>
              <w:rPr/>
              <w:t> </w:t>
            </w:r>
          </w:p>
        </w:tc>
        <w:tc>
          <w:tcPr>
            <w:tcW w:w="33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March 31,</w:t>
            </w:r>
          </w:p>
        </w:tc>
        <w:tc>
          <w:tcPr>
            <w:tcW w:w="110" w:type="dxa"/>
            <w:tcBorders/>
            <w:vAlign w:val="bottom"/>
          </w:tcPr>
          <w:p>
            <w:pPr>
              <w:pStyle w:val="TableContents"/>
              <w:bidi w:val="0"/>
              <w:spacing w:before="0" w:after="283"/>
              <w:jc w:val="left"/>
              <w:rPr/>
            </w:pPr>
            <w:r>
              <w:rPr/>
              <w:t> </w:t>
            </w:r>
          </w:p>
        </w:tc>
      </w:tr>
      <w:tr>
        <w:trPr/>
        <w:tc>
          <w:tcPr>
            <w:tcW w:w="504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pPr>
            <w:r>
              <w:rPr/>
              <w:t>Net income (loss)</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0"/>
              <w:jc w:val="left"/>
              <w:rPr/>
            </w:pPr>
            <w:r>
              <w:rPr/>
              <w:t>$</w:t>
            </w:r>
          </w:p>
        </w:tc>
        <w:tc>
          <w:tcPr>
            <w:tcW w:w="1288" w:type="dxa"/>
            <w:tcBorders/>
            <w:shd w:fill="CCEEFF" w:val="clear"/>
            <w:vAlign w:val="bottom"/>
          </w:tcPr>
          <w:p>
            <w:pPr>
              <w:pStyle w:val="TableContents"/>
              <w:bidi w:val="0"/>
              <w:spacing w:before="0" w:after="0"/>
              <w:jc w:val="right"/>
              <w:rPr/>
            </w:pPr>
            <w:r>
              <w:rPr/>
              <w:t>17,806</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0"/>
              <w:jc w:val="left"/>
              <w:rPr/>
            </w:pPr>
            <w:r>
              <w:rPr/>
              <w:t>$</w:t>
            </w:r>
          </w:p>
        </w:tc>
        <w:tc>
          <w:tcPr>
            <w:tcW w:w="1288" w:type="dxa"/>
            <w:tcBorders/>
            <w:shd w:fill="CCEEFF" w:val="clear"/>
            <w:vAlign w:val="bottom"/>
          </w:tcPr>
          <w:p>
            <w:pPr>
              <w:pStyle w:val="TableContents"/>
              <w:bidi w:val="0"/>
              <w:spacing w:before="0" w:after="0"/>
              <w:jc w:val="right"/>
              <w:rPr/>
            </w:pPr>
            <w:r>
              <w:rPr/>
              <w:t>(6,789</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Non-cash expenses, gains and losses</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4,495</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4,593</w:t>
            </w:r>
          </w:p>
        </w:tc>
        <w:tc>
          <w:tcPr>
            <w:tcW w:w="110" w:type="dxa"/>
            <w:tcBorders/>
            <w:vAlign w:val="bottom"/>
          </w:tcPr>
          <w:p>
            <w:pPr>
              <w:pStyle w:val="TableContents"/>
              <w:bidi w:val="0"/>
              <w:spacing w:before="0" w:after="283"/>
              <w:jc w:val="left"/>
              <w:rPr/>
            </w:pPr>
            <w:r>
              <w:rPr/>
              <w:t> </w:t>
            </w:r>
          </w:p>
        </w:tc>
      </w:tr>
      <w:tr>
        <w:trPr/>
        <w:tc>
          <w:tcPr>
            <w:tcW w:w="5045" w:type="dxa"/>
            <w:tcBorders/>
            <w:shd w:fill="CCEEFF" w:val="clear"/>
            <w:vAlign w:val="bottom"/>
          </w:tcPr>
          <w:p>
            <w:pPr>
              <w:pStyle w:val="TableContents"/>
              <w:bidi w:val="0"/>
              <w:spacing w:before="0" w:after="0"/>
              <w:ind w:left="144" w:right="0" w:hanging="144"/>
              <w:jc w:val="left"/>
              <w:rPr/>
            </w:pPr>
            <w:r>
              <w:rPr/>
              <w:t>Changes in accounts receivable</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pPr>
            <w:r>
              <w:rPr/>
              <w:t>(22,200</w:t>
            </w:r>
          </w:p>
        </w:tc>
        <w:tc>
          <w:tcPr>
            <w:tcW w:w="162" w:type="dxa"/>
            <w:tcBorders/>
            <w:shd w:fill="CCEEFF" w:val="clear"/>
            <w:vAlign w:val="bottom"/>
          </w:tcPr>
          <w:p>
            <w:pPr>
              <w:pStyle w:val="TableContents"/>
              <w:bidi w:val="0"/>
              <w:spacing w:before="0" w:after="0"/>
              <w:jc w:val="left"/>
              <w:rPr/>
            </w:pPr>
            <w:r>
              <w:rPr/>
              <w:t>)</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pPr>
            <w:r>
              <w:rPr/>
              <w:t>(11,013</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Changes in inventories</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(4,826</w:t>
            </w:r>
          </w:p>
        </w:tc>
        <w:tc>
          <w:tcPr>
            <w:tcW w:w="162" w:type="dxa"/>
            <w:tcBorders/>
            <w:vAlign w:val="bottom"/>
          </w:tcPr>
          <w:p>
            <w:pPr>
              <w:pStyle w:val="TableContents"/>
              <w:bidi w:val="0"/>
              <w:spacing w:before="0" w:after="0"/>
              <w:jc w:val="left"/>
              <w:rPr/>
            </w:pPr>
            <w:r>
              <w:rPr/>
              <w:t>)</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(705</w:t>
            </w:r>
          </w:p>
        </w:tc>
        <w:tc>
          <w:tcPr>
            <w:tcW w:w="110" w:type="dxa"/>
            <w:tcBorders/>
            <w:vAlign w:val="bottom"/>
          </w:tcPr>
          <w:p>
            <w:pPr>
              <w:pStyle w:val="TableContents"/>
              <w:bidi w:val="0"/>
              <w:spacing w:before="0" w:after="0"/>
              <w:jc w:val="left"/>
              <w:rPr/>
            </w:pPr>
            <w:r>
              <w:rPr/>
              <w:t>)</w:t>
            </w:r>
          </w:p>
        </w:tc>
      </w:tr>
      <w:tr>
        <w:trPr/>
        <w:tc>
          <w:tcPr>
            <w:tcW w:w="5045" w:type="dxa"/>
            <w:tcBorders/>
            <w:shd w:fill="CCEEFF" w:val="clear"/>
            <w:vAlign w:val="bottom"/>
          </w:tcPr>
          <w:p>
            <w:pPr>
              <w:pStyle w:val="TableContents"/>
              <w:bidi w:val="0"/>
              <w:spacing w:before="0" w:after="0"/>
              <w:ind w:left="144" w:right="0" w:hanging="144"/>
              <w:jc w:val="left"/>
              <w:rPr/>
            </w:pPr>
            <w:r>
              <w:rPr/>
              <w:t>Changes in 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pPr>
            <w:r>
              <w:rPr/>
              <w:t>1,593</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0"/>
              <w:jc w:val="right"/>
              <w:rPr/>
            </w:pPr>
            <w:r>
              <w:rPr/>
              <w:t>716</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pPr>
            <w:r>
              <w:rPr/>
              <w:t>Changes in accounts payable and accrued expenses</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1,219</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0"/>
              <w:jc w:val="right"/>
              <w:rPr/>
            </w:pPr>
            <w:r>
              <w:rPr/>
              <w:t>(1,627</w:t>
            </w:r>
          </w:p>
        </w:tc>
        <w:tc>
          <w:tcPr>
            <w:tcW w:w="110" w:type="dxa"/>
            <w:tcBorders/>
            <w:vAlign w:val="bottom"/>
          </w:tcPr>
          <w:p>
            <w:pPr>
              <w:pStyle w:val="TableContents"/>
              <w:bidi w:val="0"/>
              <w:spacing w:before="0" w:after="0"/>
              <w:jc w:val="left"/>
              <w:rPr/>
            </w:pPr>
            <w:r>
              <w:rPr/>
              <w:t>)</w:t>
            </w:r>
          </w:p>
        </w:tc>
      </w:tr>
      <w:tr>
        <w:trPr/>
        <w:tc>
          <w:tcPr>
            <w:tcW w:w="5045" w:type="dxa"/>
            <w:tcBorders/>
            <w:shd w:fill="CCEEFF" w:val="clear"/>
            <w:vAlign w:val="bottom"/>
          </w:tcPr>
          <w:p>
            <w:pPr>
              <w:pStyle w:val="TableContents"/>
              <w:bidi w:val="0"/>
              <w:spacing w:before="0" w:after="0"/>
              <w:ind w:left="144" w:right="0" w:hanging="144"/>
              <w:jc w:val="left"/>
              <w:rPr/>
            </w:pPr>
            <w:r>
              <w:rPr/>
              <w:t>Other</w:t>
            </w:r>
          </w:p>
        </w:tc>
        <w:tc>
          <w:tcPr>
            <w:tcW w:w="60" w:type="dxa"/>
            <w:tcBorders/>
            <w:shd w:fill="CCEEFF" w:val="clear"/>
            <w:vAlign w:val="bottom"/>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bidi w:val="0"/>
              <w:spacing w:before="0" w:after="0"/>
              <w:jc w:val="right"/>
              <w:rPr/>
            </w:pPr>
            <w:r>
              <w:rPr/>
              <w:t>(305</w:t>
            </w:r>
          </w:p>
        </w:tc>
        <w:tc>
          <w:tcPr>
            <w:tcW w:w="162" w:type="dxa"/>
            <w:tcBorders/>
            <w:shd w:fill="CCEEFF" w:val="clear"/>
            <w:vAlign w:val="bottom"/>
          </w:tcPr>
          <w:p>
            <w:pPr>
              <w:pStyle w:val="TableContents"/>
              <w:bidi w:val="0"/>
              <w:spacing w:before="0" w:after="0"/>
              <w:jc w:val="left"/>
              <w:rPr/>
            </w:pPr>
            <w:r>
              <w:rPr/>
              <w:t>)</w:t>
            </w:r>
          </w:p>
        </w:tc>
        <w:tc>
          <w:tcPr>
            <w:tcW w:w="102" w:type="dxa"/>
            <w:tcBorders/>
            <w:shd w:fill="CCEEFF" w:val="clear"/>
            <w:vAlign w:val="bottom"/>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bottom"/>
          </w:tcPr>
          <w:p>
            <w:pPr>
              <w:pStyle w:val="TableContents"/>
              <w:bidi w:val="0"/>
              <w:spacing w:before="0" w:after="0"/>
              <w:jc w:val="right"/>
              <w:rPr/>
            </w:pPr>
            <w:r>
              <w:rPr/>
              <w:t>102</w:t>
            </w:r>
          </w:p>
        </w:tc>
        <w:tc>
          <w:tcPr>
            <w:tcW w:w="110" w:type="dxa"/>
            <w:tcBorders/>
            <w:shd w:fill="CCEEFF" w:val="clear"/>
            <w:vAlign w:val="bottom"/>
          </w:tcPr>
          <w:p>
            <w:pPr>
              <w:pStyle w:val="TableContents"/>
              <w:bidi w:val="0"/>
              <w:spacing w:before="0" w:after="283"/>
              <w:jc w:val="left"/>
              <w:rPr/>
            </w:pPr>
            <w:r>
              <w:rPr/>
              <w:t> </w:t>
            </w:r>
          </w:p>
        </w:tc>
      </w:tr>
      <w:tr>
        <w:trPr/>
        <w:tc>
          <w:tcPr>
            <w:tcW w:w="5045" w:type="dxa"/>
            <w:tcBorders/>
            <w:vAlign w:val="bottom"/>
          </w:tcPr>
          <w:p>
            <w:pPr>
              <w:pStyle w:val="TableContents"/>
              <w:bidi w:val="0"/>
              <w:spacing w:before="0" w:after="0"/>
              <w:ind w:left="144" w:right="0" w:hanging="144"/>
              <w:jc w:val="left"/>
              <w:rPr/>
            </w:pPr>
            <w:r>
              <w:rPr/>
              <w:t>Cash used in operations</w:t>
            </w:r>
          </w:p>
        </w:tc>
        <w:tc>
          <w:tcPr>
            <w:tcW w:w="60" w:type="dxa"/>
            <w:tcBorders/>
            <w:vAlign w:val="bottom"/>
          </w:tcPr>
          <w:p>
            <w:pPr>
              <w:pStyle w:val="TableContents"/>
              <w:bidi w:val="0"/>
              <w:spacing w:before="0" w:after="283"/>
              <w:jc w:val="left"/>
              <w:rPr/>
            </w:pPr>
            <w:r>
              <w:rPr/>
              <w:t> </w:t>
            </w:r>
          </w:p>
        </w:tc>
        <w:tc>
          <w:tcPr>
            <w:tcW w:w="238" w:type="dxa"/>
            <w:tcBorders>
              <w:bottom w:val="double" w:sz="8" w:space="0" w:color="000000"/>
            </w:tcBorders>
            <w:tcMar>
              <w:bottom w:w="28" w:type="dxa"/>
            </w:tcMar>
            <w:vAlign w:val="bottom"/>
          </w:tcPr>
          <w:p>
            <w:pPr>
              <w:pStyle w:val="TableContents"/>
              <w:bidi w:val="0"/>
              <w:spacing w:before="0" w:after="0"/>
              <w:jc w:val="left"/>
              <w:rPr/>
            </w:pPr>
            <w:r>
              <w:rPr/>
              <w:t>$</w:t>
            </w:r>
          </w:p>
        </w:tc>
        <w:tc>
          <w:tcPr>
            <w:tcW w:w="1288" w:type="dxa"/>
            <w:tcBorders>
              <w:bottom w:val="double" w:sz="8" w:space="0" w:color="000000"/>
            </w:tcBorders>
            <w:tcMar>
              <w:bottom w:w="28" w:type="dxa"/>
            </w:tcMar>
            <w:vAlign w:val="bottom"/>
          </w:tcPr>
          <w:p>
            <w:pPr>
              <w:pStyle w:val="TableContents"/>
              <w:bidi w:val="0"/>
              <w:spacing w:before="0" w:after="0"/>
              <w:jc w:val="right"/>
              <w:rPr/>
            </w:pPr>
            <w:r>
              <w:rPr/>
              <w:t>(2,218</w:t>
            </w:r>
          </w:p>
        </w:tc>
        <w:tc>
          <w:tcPr>
            <w:tcW w:w="162" w:type="dxa"/>
            <w:tcBorders/>
            <w:vAlign w:val="bottom"/>
          </w:tcPr>
          <w:p>
            <w:pPr>
              <w:pStyle w:val="TableContents"/>
              <w:bidi w:val="0"/>
              <w:spacing w:before="0" w:after="0"/>
              <w:jc w:val="left"/>
              <w:rPr/>
            </w:pPr>
            <w:r>
              <w:rPr/>
              <w:t>)</w:t>
            </w:r>
          </w:p>
        </w:tc>
        <w:tc>
          <w:tcPr>
            <w:tcW w:w="102" w:type="dxa"/>
            <w:tcBorders/>
            <w:vAlign w:val="bottom"/>
          </w:tcPr>
          <w:p>
            <w:pPr>
              <w:pStyle w:val="TableContents"/>
              <w:bidi w:val="0"/>
              <w:spacing w:before="0" w:after="283"/>
              <w:jc w:val="left"/>
              <w:rPr/>
            </w:pPr>
            <w:r>
              <w:rPr/>
              <w:t> </w:t>
            </w:r>
          </w:p>
        </w:tc>
        <w:tc>
          <w:tcPr>
            <w:tcW w:w="238" w:type="dxa"/>
            <w:tcBorders>
              <w:bottom w:val="double" w:sz="8" w:space="0" w:color="000000"/>
            </w:tcBorders>
            <w:tcMar>
              <w:bottom w:w="28" w:type="dxa"/>
            </w:tcMar>
            <w:vAlign w:val="bottom"/>
          </w:tcPr>
          <w:p>
            <w:pPr>
              <w:pStyle w:val="TableContents"/>
              <w:bidi w:val="0"/>
              <w:spacing w:before="0" w:after="0"/>
              <w:jc w:val="left"/>
              <w:rPr/>
            </w:pPr>
            <w:r>
              <w:rPr/>
              <w:t>$</w:t>
            </w:r>
          </w:p>
        </w:tc>
        <w:tc>
          <w:tcPr>
            <w:tcW w:w="1288" w:type="dxa"/>
            <w:tcBorders>
              <w:bottom w:val="double" w:sz="8" w:space="0" w:color="000000"/>
            </w:tcBorders>
            <w:tcMar>
              <w:bottom w:w="28" w:type="dxa"/>
            </w:tcMar>
            <w:vAlign w:val="bottom"/>
          </w:tcPr>
          <w:p>
            <w:pPr>
              <w:pStyle w:val="TableContents"/>
              <w:bidi w:val="0"/>
              <w:spacing w:before="0" w:after="0"/>
              <w:jc w:val="right"/>
              <w:rPr/>
            </w:pPr>
            <w:r>
              <w:rPr/>
              <w:t>(14,723</w:t>
            </w:r>
          </w:p>
        </w:tc>
        <w:tc>
          <w:tcPr>
            <w:tcW w:w="11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Used in 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for the three months ended March 31, 2024 and 2023 was $2.4 million and $1.9 million, respectively, and is mainly comprised of capital expenditures at the Boca Facility. The decrease in capital expenditures in 2024 is due to the completion of the construction and buildout of our 10 plasma collection facilities, with the tenth facility opening in the first quarter of 2023. While we currently have no firm commitments for capital expenditures, we expect our total capital expenditures will be between $7.0 million and $12.0 million for the remainder of fiscal 2024, mainly for additional upgrades to the Boca Facility manufacturing operations and related operational systems.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Used in 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was $1.4 million and $0.7 million for the three months ended March 31, 2024 and 2023, respectively. The increase is due to additional taxes paid in connection with shares that were withheld from RSUs that vested during the period, partially offset by $1.0 million in proceeds from the exercise of stock options in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Effect of Inflation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Inflation impacted a number of facets of our business during the three months ended March 31, 2024 and for the years ended December 31, 2023 and 2022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2024 and potentially longer, which could potentially have a significant impact on our future results of operations. In addition, some of our third-party inventory purchase agreements provide for annual price increases that are tied to various consumer price indices, which have resulted in higher than historical percentage price increases and has resulted in and could continue to result in higher source plasma and other raw material and supplies costs in 2024 and beyond. Also, in a higher inflationary environment, we may not be able to raise the prices of our products to keep up with the rate of inflation. We are unable to predict when these external drivers of inflation will subside.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Off-Balance Sheet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ind w:left="1440" w:right="0" w:hanging="1440"/>
        <w:jc w:val="left"/>
        <w:rPr/>
      </w:pPr>
      <w:r>
        <w:rPr/>
      </w:r>
    </w:p>
    <w:p>
      <w:pPr>
        <w:pStyle w:val="Normal"/>
        <w:bidi w:val="0"/>
        <w:spacing w:before="0" w:after="0"/>
        <w:jc w:val="left"/>
        <w:rPr>
          <w:sz w:val="4"/>
          <w:szCs w:val="4"/>
        </w:rPr>
      </w:pPr>
      <w:r>
        <w:rPr>
          <w:sz w:val="4"/>
          <w:szCs w:val="4"/>
        </w:rPr>
      </w:r>
      <w:bookmarkStart w:id="10" w:name="QuantitativeandQualitativ"/>
      <w:bookmarkStart w:id="11" w:name="QuantitativeandQualitativ"/>
      <w:bookmarkEnd w:id="11"/>
    </w:p>
    <w:tbl>
      <w:tblPr>
        <w:tblW w:w="6970" w:type="dxa"/>
        <w:jc w:val="left"/>
        <w:tblInd w:w="0" w:type="dxa"/>
        <w:tblLayout w:type="fixed"/>
        <w:tblCellMar>
          <w:top w:w="0" w:type="dxa"/>
          <w:left w:w="0" w:type="dxa"/>
          <w:bottom w:w="0" w:type="dxa"/>
          <w:right w:w="0" w:type="dxa"/>
        </w:tblCellMar>
      </w:tblPr>
      <w:tblGrid>
        <w:gridCol w:w="740"/>
        <w:gridCol w:w="6230"/>
      </w:tblGrid>
      <w:tr>
        <w:trPr/>
        <w:tc>
          <w:tcPr>
            <w:tcW w:w="740" w:type="dxa"/>
            <w:tcBorders/>
            <w:vAlign w:val="center"/>
          </w:tcPr>
          <w:p>
            <w:pPr>
              <w:pStyle w:val="TableContents"/>
              <w:bidi w:val="0"/>
              <w:spacing w:before="0" w:after="283"/>
              <w:jc w:val="left"/>
              <w:rPr>
                <w:b/>
              </w:rPr>
            </w:pPr>
            <w:r>
              <w:rPr>
                <w:b/>
              </w:rPr>
              <w:t>Item 3.</w:t>
            </w:r>
          </w:p>
        </w:tc>
        <w:tc>
          <w:tcPr>
            <w:tcW w:w="62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March 31, 2024, we had $135.0 million outstanding under our senior credit facility that is subject to variable interest rates. As a result, the effect of a hypothetical, instantaneous and unfavorable change of 100 basis points in interest rates would have an approximate $1.4 million annualized negative impact on our earnings and 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ontrolsandProcedures."/>
      <w:bookmarkStart w:id="13" w:name="ControlsandProcedures."/>
      <w:bookmarkEnd w:id="13"/>
    </w:p>
    <w:tbl>
      <w:tblPr>
        <w:tblW w:w="3385" w:type="dxa"/>
        <w:jc w:val="left"/>
        <w:tblInd w:w="0" w:type="dxa"/>
        <w:tblLayout w:type="fixed"/>
        <w:tblCellMar>
          <w:top w:w="0" w:type="dxa"/>
          <w:left w:w="0" w:type="dxa"/>
          <w:bottom w:w="0" w:type="dxa"/>
          <w:right w:w="0" w:type="dxa"/>
        </w:tblCellMar>
      </w:tblPr>
      <w:tblGrid>
        <w:gridCol w:w="740"/>
        <w:gridCol w:w="2645"/>
      </w:tblGrid>
      <w:tr>
        <w:trPr/>
        <w:tc>
          <w:tcPr>
            <w:tcW w:w="740" w:type="dxa"/>
            <w:tcBorders/>
            <w:vAlign w:val="center"/>
          </w:tcPr>
          <w:p>
            <w:pPr>
              <w:pStyle w:val="TableContents"/>
              <w:bidi w:val="0"/>
              <w:spacing w:before="0" w:after="283"/>
              <w:jc w:val="left"/>
              <w:rPr>
                <w:b/>
              </w:rPr>
            </w:pPr>
            <w:r>
              <w:rPr>
                <w:b/>
              </w:rPr>
              <w:t>Item 4.</w:t>
            </w:r>
          </w:p>
        </w:tc>
        <w:tc>
          <w:tcPr>
            <w:tcW w:w="264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and financial officer, as appropriate to allow timely decisions regarding required disclosures.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Under the supervision of and with the participation of our management, including our principal executive and financial officer, we conducted an evaluation of our disclosure controls and procedures as of March 31, 2024. Based on this evaluation, our principal executive and financial officer concluded that our disclosure controls and procedures as of March 31, 2024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financial officer, as appropriate to allow timely decisions regarding disclosures.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have been no changes in our internal control over financial reporting during the quarter ended March 31, 2024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OTHER INFORMATION</w:t>
      </w:r>
      <w:bookmarkStart w:id="14" w:name="PARTIIOTHERINFORMATION"/>
      <w:bookmarkEnd w:id="14"/>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 w:name="LegalProceedings."/>
      <w:bookmarkStart w:id="16" w:name="LegalProceedings."/>
      <w:bookmarkEnd w:id="16"/>
    </w:p>
    <w:tbl>
      <w:tblPr>
        <w:tblW w:w="2695" w:type="dxa"/>
        <w:jc w:val="left"/>
        <w:tblInd w:w="0" w:type="dxa"/>
        <w:tblLayout w:type="fixed"/>
        <w:tblCellMar>
          <w:top w:w="0" w:type="dxa"/>
          <w:left w:w="0" w:type="dxa"/>
          <w:bottom w:w="0" w:type="dxa"/>
          <w:right w:w="0" w:type="dxa"/>
        </w:tblCellMar>
      </w:tblPr>
      <w:tblGrid>
        <w:gridCol w:w="740"/>
        <w:gridCol w:w="1955"/>
      </w:tblGrid>
      <w:tr>
        <w:trPr/>
        <w:tc>
          <w:tcPr>
            <w:tcW w:w="740" w:type="dxa"/>
            <w:tcBorders/>
            <w:vAlign w:val="center"/>
          </w:tcPr>
          <w:p>
            <w:pPr>
              <w:pStyle w:val="TableContents"/>
              <w:bidi w:val="0"/>
              <w:spacing w:before="0" w:after="283"/>
              <w:jc w:val="left"/>
              <w:rPr>
                <w:b/>
              </w:rPr>
            </w:pPr>
            <w:r>
              <w:rPr>
                <w:b/>
              </w:rPr>
              <w:t>Item 1.</w:t>
            </w:r>
          </w:p>
        </w:tc>
        <w:tc>
          <w:tcPr>
            <w:tcW w:w="195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RiskFactors"/>
      <w:bookmarkStart w:id="18" w:name="RiskFactors"/>
      <w:bookmarkEnd w:id="18"/>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Summary of Risk Factors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2023 10-K and our other filings with the SEC, before making an investment decision regarding our common stock.</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Although we achieved net income on a non-GAAP basis and generated positive cash flows for the year ended December 31, 2023 and generated positive net income for the three months ended March 31, 2024, we may not be able to maintain profitability and generate positive cash flows in the future.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a history of losses and we may, in the future, need to raise additional capital or seek alternative financing in order to operate, expand or maintain our business, which may not be available on favorable terms, if at all.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Both of our business segments and our facilities are subject to periodic inspections by the FDA, which, depending on the outcome of such inspections, could result in certain FDA actions, including the issuance of observations, notices, citations, warning letters or other enforcement actions.</w:t>
            </w:r>
          </w:p>
        </w:tc>
      </w:tr>
    </w:tbl>
    <w:p>
      <w:pPr>
        <w:pStyle w:val="TextBody"/>
        <w:bidi w:val="0"/>
        <w:spacing w:before="0" w:after="0"/>
        <w:jc w:val="left"/>
        <w:rPr>
          <w:color w:val="000000"/>
          <w:shd w:fill="FFFFFF" w:val="clear"/>
        </w:rPr>
      </w:pPr>
      <w:r>
        <w:rPr>
          <w:color w:val="000000"/>
          <w:shd w:fill="FFFFFF" w:val="clear"/>
        </w:rPr>
        <w:t> </w:t>
      </w:r>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left"/>
              <w:rPr/>
            </w:pPr>
            <w:r>
              <w:rPr/>
              <w:t>Business interruptions could adversely affect our business.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Biologics License Application (“BLA”) or other required submission for review, we may not be authorized to market ASCENIV for any other indication.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With the approval to market ASCENIV, BIVIGAM and Nabi-HB, there can be no assurance that we will be successful in further developing and expanding commercial operations or balancing our research and development activities with our commercialization activities.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depend on third-party researchers, developers and vendors to develop, manufacture, supply materials for or test our products and product candidates, and such parties are outside of our control.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unable to successfully expand our manufacturing processes to fulfill demand for our products or increase our production capabilities through the addition of new equipment, including if we do not obtain requisite approval from the FDA.</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Historically, a few customers have accounted for a significant amount of our total revenue and accounts receivable and the loss of any of these customers could have a material adverse effect on our business, results of operations and financial condition.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Issues with product quality and compliance could have a material adverse effect upon our business, subject us to regulatory actions and cause a loss of customer confidence in us or our products.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physicians, payers and patients do not accept and use our current products or our future product candidates, our ability to generate revenue from these products will be materially impaired.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ADMA BioCenters operations collect information from donors in the United States that subjects us to consumer and health privacy laws, which could create enforcement and litigation exposure if we fail to meet their requirements.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senior secured credit facility with Ares Capital Corporation and certain of its affiliates (“Ares”) is subject to acceleration in specified circumstances, which may result in Ares taking possession and disposing of any collateral.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are unable to protect our patents, trade secrets or other proprietary rights, if our patents are challenged or if our provisional patent applications do not get approved, our competitiveness and business prospects may be materially damaged.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Cyberattacks and other security breaches could compromise our proprietary and confidential information, which could harm our business and reputation.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continue to produce safe and effective products depends on the safety of our plasma supply, testing by third parties and the timing of receiving the testing results, and the manufacturing processes we have in place to counter transmittable diseases.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could become supply-constrained and our financial performance would suffer if we cannot obtain adequate quantities of FDA-approved source plasma with proper specifications or other necessary raw materials.</w:t>
            </w:r>
          </w:p>
        </w:tc>
      </w:tr>
    </w:tbl>
    <w:p>
      <w:pPr>
        <w:pStyle w:val="TextBody"/>
        <w:bidi w:val="0"/>
        <w:spacing w:before="0" w:after="0"/>
        <w:jc w:val="left"/>
        <w:rPr>
          <w:color w:val="000000"/>
          <w:shd w:fill="FFFFFF" w:val="clear"/>
        </w:rPr>
      </w:pPr>
      <w:r>
        <w:rPr>
          <w:color w:val="000000"/>
          <w:shd w:fill="FFFFFF" w:val="clear"/>
        </w:rPr>
        <w:t> </w:t>
      </w:r>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pPr>
            <w:r>
              <w:rPr/>
              <w:t>Our ability to use our net operating loss carryforwards (“NOLs”) may be limited.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market price of our common stock may be volatile and may fluctuate in a way that is disproportionate to our operating performance.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Through December 31, 2023, we have a history of losses and have historically needed to raise, and in the future may be required to raise, additional capital to operate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second quarter of fiscal 2025 and beyond. However, our current outlook on cash flows and profitability may change based upon how quickly we are able to execute on our commercialization efforts and operational initiatives and whether or not the assumptions underlying our projected revenues and expenses are correct. Although we achieved net income for the three months ended March 31, 2024 and positive cash flow from operations for the first time in our history for the year ended December 31, 2023, at present we cannot be certain that we will be able to generate a sufficient amount of product revenue to maintain profitability through 2024 and beyond. If we are unable to generate sufficient positive cash flow throughout 2024 and cannot raise additional capital or obtain alternative financing if needed, we may have to delay, curtail or eliminate our commercialization efforts and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Historically, the major source of our cash has been from proceeds from various public offerings of our common stock and debt transactions. The actual amount of additional cash that we may need, if any, is subject to many factors. There can be no assurances that additional financing will be available if needed or that management will be able to obtain financing on terms acceptable to us or that we will continue to be profitable and generate positive operating cash flow.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achieve profitability in 2024 and beyond.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a history of losses through December 31, 2023, and we may not be able to maintain profitability. Although we achieved net income of $17.8 million for the three months ended March 31, 2024, for the years ended December 31, 2023, 2022 and 2021, we incurred net losses of $28.2 million, $65.9 million and $71.6 million, respectively. From our inception in 2004 through March 31, 2024, we have incurred an accumulated deficit of $488.5 million. We may not be able to generate a sufficient amount of product revenue to maintain profitability throughout 2024, and if we are unable to continue to consistently achieve positive cash flows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pStyle w:val="TextBody"/>
        <w:bidi w:val="0"/>
        <w:spacing w:before="0" w:after="0"/>
        <w:jc w:val="left"/>
        <w:rPr/>
      </w:pPr>
      <w:r>
        <w:rPr/>
      </w:r>
    </w:p>
    <w:tbl>
      <w:tblPr>
        <w:tblW w:w="4788" w:type="dxa"/>
        <w:jc w:val="left"/>
        <w:tblInd w:w="0" w:type="dxa"/>
        <w:tblLayout w:type="fixed"/>
        <w:tblCellMar>
          <w:top w:w="0" w:type="dxa"/>
          <w:left w:w="0" w:type="dxa"/>
          <w:bottom w:w="0" w:type="dxa"/>
          <w:right w:w="0" w:type="dxa"/>
        </w:tblCellMar>
      </w:tblPr>
      <w:tblGrid>
        <w:gridCol w:w="38"/>
        <w:gridCol w:w="110"/>
        <w:gridCol w:w="46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left"/>
              <w:rPr/>
            </w:pPr>
            <w:r>
              <w:rPr/>
              <w:t>expand commercialization and marketing efforts;</w:t>
            </w:r>
          </w:p>
        </w:tc>
      </w:tr>
    </w:tbl>
    <w:p>
      <w:pPr>
        <w:pStyle w:val="TextBody"/>
        <w:bidi w:val="0"/>
        <w:spacing w:before="0" w:after="0"/>
        <w:jc w:val="left"/>
        <w:rPr/>
      </w:pPr>
      <w:r>
        <w:rPr/>
      </w:r>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left"/>
              <w:rPr/>
            </w:pPr>
            <w:r>
              <w:rPr/>
              <w:t>implement additional internal systems, controls and infrastructure;</w:t>
            </w:r>
          </w:p>
        </w:tc>
      </w:tr>
    </w:tbl>
    <w:p>
      <w:pPr>
        <w:pStyle w:val="TextBody"/>
        <w:bidi w:val="0"/>
        <w:spacing w:before="0" w:after="0"/>
        <w:jc w:val="left"/>
        <w:rPr/>
      </w:pPr>
      <w:r>
        <w:rPr/>
      </w:r>
    </w:p>
    <w:tbl>
      <w:tblPr>
        <w:tblW w:w="2973" w:type="dxa"/>
        <w:jc w:val="left"/>
        <w:tblInd w:w="0" w:type="dxa"/>
        <w:tblLayout w:type="fixed"/>
        <w:tblCellMar>
          <w:top w:w="0" w:type="dxa"/>
          <w:left w:w="0" w:type="dxa"/>
          <w:bottom w:w="0" w:type="dxa"/>
          <w:right w:w="0" w:type="dxa"/>
        </w:tblCellMar>
      </w:tblPr>
      <w:tblGrid>
        <w:gridCol w:w="38"/>
        <w:gridCol w:w="110"/>
        <w:gridCol w:w="2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pPr>
            <w:r>
              <w:rPr/>
              <w:t>hire additional personnel; and</w:t>
            </w:r>
          </w:p>
        </w:tc>
      </w:tr>
    </w:tbl>
    <w:p>
      <w:pPr>
        <w:pStyle w:val="TextBody"/>
        <w:bidi w:val="0"/>
        <w:spacing w:before="0" w:after="0"/>
        <w:jc w:val="left"/>
        <w:rPr/>
      </w:pPr>
      <w:r>
        <w:rPr/>
      </w:r>
    </w:p>
    <w:tbl>
      <w:tblPr>
        <w:tblW w:w="4743" w:type="dxa"/>
        <w:jc w:val="left"/>
        <w:tblInd w:w="0" w:type="dxa"/>
        <w:tblLayout w:type="fixed"/>
        <w:tblCellMar>
          <w:top w:w="0" w:type="dxa"/>
          <w:left w:w="0" w:type="dxa"/>
          <w:bottom w:w="0" w:type="dxa"/>
          <w:right w:w="0" w:type="dxa"/>
        </w:tblCellMar>
      </w:tblPr>
      <w:tblGrid>
        <w:gridCol w:w="38"/>
        <w:gridCol w:w="110"/>
        <w:gridCol w:w="4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left"/>
              <w:rPr/>
            </w:pPr>
            <w:r>
              <w:rPr/>
              <w:t>expand production capacity at the Boca Facility.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a result, we will need to generate significant revenues in order to maintain profitability. We may not be able to generate these revenues or maintain profitability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Pandemics, or a resurgence of a pandemic, may adversely affect our business, financial condition, liquidity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contract with third parties for a portion of the filling, packaging, testing and labeling of the drug substance we manufacture, and also obtain plasma from certain third parties. This reliance on third parties carries the risk that the services upon which we rely may not be performed in a timely manner, in sufficient quantities or according to our specifications, which could delay the availability of our finished drug product and could adversely affect our commercialization efforts and our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and products meeting the necessary quality standards or at all could have a material and adverse effect on our products, business, financial condition and results from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anticipated reliance on a limited number of third-party manufacturers exposes us to the following risks: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we may be unable to identify contractors on acceptable terms or at all because the number of potential service providers is limited and the FDA must inspect and qualify any contract manufacturers for current cGMP compliance as part of our marketing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a new fill/finisher would have to be educated in, or develop substantially equivalent processes for, the production of our products and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a pandemic, or the resurgence of a pandemic such as the COVID-19 pandemic, or a cyberattack or data breach, could adversely affect our contracted fill/finishers’ operations, supply chain or workforce;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third-party contractors might be unable to timely provide finished drug product or raw material plasma in sufficient quantity to meet our commercial needs;</w:t>
            </w:r>
          </w:p>
        </w:tc>
      </w:tr>
    </w:tbl>
    <w:p>
      <w:pPr>
        <w:pStyle w:val="TextBody"/>
        <w:bidi w:val="0"/>
        <w:spacing w:before="0" w:after="0"/>
        <w:jc w:val="left"/>
        <w:rPr/>
      </w:pPr>
      <w:r>
        <w:rPr/>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left"/>
              <w:rPr/>
            </w:pPr>
            <w:r>
              <w:rPr/>
              <w:t>contractors may not be able to execute our inspection procedures and required tests appropriately;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tc>
      </w:tr>
    </w:tbl>
    <w:p>
      <w:pPr>
        <w:pStyle w:val="TextBody"/>
        <w:bidi w:val="0"/>
        <w:spacing w:before="0" w:after="0"/>
        <w:jc w:val="left"/>
        <w:rPr/>
      </w:pPr>
      <w:r>
        <w:rPr/>
      </w:r>
    </w:p>
    <w:tbl>
      <w:tblPr>
        <w:tblW w:w="6925" w:type="dxa"/>
        <w:jc w:val="left"/>
        <w:tblInd w:w="0" w:type="dxa"/>
        <w:tblLayout w:type="fixed"/>
        <w:tblCellMar>
          <w:top w:w="0" w:type="dxa"/>
          <w:left w:w="0" w:type="dxa"/>
          <w:bottom w:w="0" w:type="dxa"/>
          <w:right w:w="0" w:type="dxa"/>
        </w:tblCellMar>
      </w:tblPr>
      <w:tblGrid>
        <w:gridCol w:w="125"/>
        <w:gridCol w:w="6800"/>
      </w:tblGrid>
      <w:tr>
        <w:trPr/>
        <w:tc>
          <w:tcPr>
            <w:tcW w:w="125"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0"/>
              <w:jc w:val="left"/>
              <w:rPr/>
            </w:pPr>
            <w:r>
              <w:rPr/>
              <w:t>our third parties could breach or terminate their agreements with us;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 fill/finishers may have unacceptable or inconsistent drug product quality success rates and yields, and we have no direct control over our contract fill/finishers’ ability to maintain adequate quality control, quality assurance and qualified personnel.</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hAnsi="Times New Roman"/>
          <w:i/>
          <w:color w:val="000000"/>
          <w:sz w:val="20"/>
          <w:shd w:fill="FFFFFF" w:val="clear"/>
        </w:rPr>
        <w:t>S. pneumoniae</w:t>
      </w:r>
      <w:r>
        <w:rPr>
          <w:rFonts w:ascii="Times New Roman" w:hAnsi="Times New Roman"/>
          <w:color w:val="000000"/>
          <w:sz w:val="20"/>
          <w:shd w:fill="FFFFFF" w:val="clear"/>
        </w:rPr>
        <w:t xml:space="preserve"> hyperimmune globulin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Geopolitical conditions, war, terrorism or other military actions may have a material adverse effect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geopolitical conditions, whether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or warning letters.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b/>
          <w:i/>
          <w:color w:val="000000"/>
          <w:sz w:val="20"/>
          <w:shd w:fill="FFFFFF" w:val="clear"/>
        </w:rPr>
        <w:t>Business interruptions could adversely affect our business</w:t>
      </w:r>
      <w:r>
        <w:rPr>
          <w:rFonts w:ascii="Times New Roman" w:hAnsi="Times New Roman"/>
          <w:b/>
          <w:color w:val="000000"/>
          <w:sz w:val="20"/>
          <w:shd w:fill="FFFFFF" w:val="clear"/>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commencement and completion of clinical trials or ultimate product approval for any current or future development product candidate may be delayed by several factors, including:</w:t>
      </w:r>
    </w:p>
    <w:p>
      <w:pPr>
        <w:pStyle w:val="TextBody"/>
        <w:bidi w:val="0"/>
        <w:spacing w:before="0" w:after="0"/>
        <w:jc w:val="left"/>
        <w:rPr/>
      </w:pPr>
      <w:r>
        <w:rPr/>
      </w:r>
    </w:p>
    <w:tbl>
      <w:tblPr>
        <w:tblW w:w="2508" w:type="dxa"/>
        <w:jc w:val="left"/>
        <w:tblInd w:w="0" w:type="dxa"/>
        <w:tblLayout w:type="fixed"/>
        <w:tblCellMar>
          <w:top w:w="0" w:type="dxa"/>
          <w:left w:w="0" w:type="dxa"/>
          <w:bottom w:w="0" w:type="dxa"/>
          <w:right w:w="0" w:type="dxa"/>
        </w:tblCellMar>
      </w:tblPr>
      <w:tblGrid>
        <w:gridCol w:w="38"/>
        <w:gridCol w:w="110"/>
        <w:gridCol w:w="2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left"/>
              <w:rPr/>
            </w:pPr>
            <w:r>
              <w:rPr/>
              <w:t>unforeseen safety issues;</w:t>
            </w:r>
          </w:p>
        </w:tc>
      </w:tr>
    </w:tbl>
    <w:p>
      <w:pPr>
        <w:pStyle w:val="TextBody"/>
        <w:bidi w:val="0"/>
        <w:spacing w:before="0" w:after="0"/>
        <w:jc w:val="left"/>
        <w:rPr/>
      </w:pPr>
      <w:r>
        <w:rPr/>
      </w:r>
    </w:p>
    <w:tbl>
      <w:tblPr>
        <w:tblW w:w="3093" w:type="dxa"/>
        <w:jc w:val="left"/>
        <w:tblInd w:w="0" w:type="dxa"/>
        <w:tblLayout w:type="fixed"/>
        <w:tblCellMar>
          <w:top w:w="0" w:type="dxa"/>
          <w:left w:w="0" w:type="dxa"/>
          <w:bottom w:w="0" w:type="dxa"/>
          <w:right w:w="0" w:type="dxa"/>
        </w:tblCellMar>
      </w:tblPr>
      <w:tblGrid>
        <w:gridCol w:w="38"/>
        <w:gridCol w:w="110"/>
        <w:gridCol w:w="2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0"/>
              <w:jc w:val="left"/>
              <w:rPr/>
            </w:pPr>
            <w:r>
              <w:rPr/>
              <w:t>determination of dosing issues;</w:t>
            </w:r>
          </w:p>
        </w:tc>
      </w:tr>
    </w:tbl>
    <w:p>
      <w:pPr>
        <w:pStyle w:val="TextBody"/>
        <w:bidi w:val="0"/>
        <w:spacing w:before="0" w:after="0"/>
        <w:jc w:val="left"/>
        <w:rPr/>
      </w:pPr>
      <w:r>
        <w:rPr/>
      </w:r>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pPr>
            <w:r>
              <w:rPr/>
              <w:t>lack of safety or effectiveness, or other adverse study results during clinical trials;</w:t>
            </w:r>
          </w:p>
        </w:tc>
      </w:tr>
    </w:tbl>
    <w:p>
      <w:pPr>
        <w:pStyle w:val="TextBody"/>
        <w:bidi w:val="0"/>
        <w:spacing w:before="0" w:after="0"/>
        <w:jc w:val="left"/>
        <w:rPr/>
      </w:pPr>
      <w:r>
        <w:rPr/>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pPr>
            <w:r>
              <w:rPr/>
              <w:t>slower than expected rates of patient recruitment or noncompliance with clinical trial requirements;</w:t>
            </w:r>
          </w:p>
        </w:tc>
      </w:tr>
    </w:tbl>
    <w:p>
      <w:pPr>
        <w:pStyle w:val="TextBody"/>
        <w:bidi w:val="0"/>
        <w:spacing w:before="0" w:after="0"/>
        <w:jc w:val="left"/>
        <w:rPr/>
      </w:pPr>
      <w:r>
        <w:rPr/>
      </w:r>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left"/>
              <w:rPr/>
            </w:pPr>
            <w:r>
              <w:rPr/>
              <w:t>inability to monitor patients adequately during or after treatment; and</w:t>
            </w:r>
          </w:p>
        </w:tc>
      </w:tr>
    </w:tbl>
    <w:p>
      <w:pPr>
        <w:pStyle w:val="TextBody"/>
        <w:bidi w:val="0"/>
        <w:spacing w:before="0" w:after="0"/>
        <w:jc w:val="left"/>
        <w:rPr/>
      </w:pPr>
      <w:r>
        <w:rPr/>
      </w:r>
    </w:p>
    <w:tbl>
      <w:tblPr>
        <w:tblW w:w="7878" w:type="dxa"/>
        <w:jc w:val="left"/>
        <w:tblInd w:w="0" w:type="dxa"/>
        <w:tblLayout w:type="fixed"/>
        <w:tblCellMar>
          <w:top w:w="0" w:type="dxa"/>
          <w:left w:w="0" w:type="dxa"/>
          <w:bottom w:w="0" w:type="dxa"/>
          <w:right w:w="0" w:type="dxa"/>
        </w:tblCellMar>
      </w:tblPr>
      <w:tblGrid>
        <w:gridCol w:w="38"/>
        <w:gridCol w:w="110"/>
        <w:gridCol w:w="7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pPr>
            <w:r>
              <w:rPr/>
              <w:t>inability or unwillingness of medical investigators to follow our clinical protocols.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the results of our clinical trials do not support our product candidate claims, completing the development of such product candidate may be significantly delayed or we may be forced to abandon development of such product candidate altogether.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Other issues that may impact our clinical trials and that could delay or prevent our ability to receive marketing approval or commercialize our product candidates,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Delays in reaching, or failure to reach, agreement on acceptable clinical trial contracts or clinical trial protocols with prospective trial sites and our contract research organizations (“CROs”);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Regulators requiring us to perform additional or unanticipated clinical trials to obtain approval or becoming subject to additional post-marketing testing, surveillance, or Risk Evaluation and Mitigation Strategies requirements to maintain regulatory approval;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Failure by our third-party contractors to comply with regulatory requirements or the clinical trial protocol, or meet their contractual obligations to us in a timely manner, or at all, or our being required to engage in additional clinical trial site monitoring;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cost of clinical trials of our product candidates being greater than we anticipate or our having insufficient funds for a clinical trial or to pay the substantial user fees required by FDA upon the filing of a marketing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Insufficient supply or inadequate quality of our product candidates or other materials necessary to conduct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Inability to achieve sufficient study enrollment, subjects dropping out or withdrawing from our studies, delays in adding new investigators or clinical trial sites or a withdrawal of clinical trial sites;</w:t>
            </w:r>
          </w:p>
        </w:tc>
      </w:tr>
    </w:tbl>
    <w:p>
      <w:pPr>
        <w:pStyle w:val="TextBody"/>
        <w:bidi w:val="0"/>
        <w:spacing w:before="0" w:after="0"/>
        <w:jc w:val="left"/>
        <w:rPr/>
      </w:pPr>
      <w:r>
        <w:rPr/>
      </w:r>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Flaws in our clinical trial design that are not discoverable until the clinical trial has progressed;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need to make changes to our product candidates that require additional testing or that cause our product candidates to perform differently than expected;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Global trade policies that may impact our ability to obtain raw materials and/or finished product for commercialization;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FDA or comparable regulatory authorities taking longer than we anticipate to make decisions on our products or product candidates;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Potential inability to demonstrate that a product or product candidate provides an advantage over current standards of care or current or future competitive therapies in development.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pStyle w:val="TextBody"/>
        <w:bidi w:val="0"/>
        <w:spacing w:before="0" w:after="0"/>
        <w:jc w:val="left"/>
        <w:rPr/>
      </w:pPr>
      <w:r>
        <w:rPr/>
      </w:r>
    </w:p>
    <w:tbl>
      <w:tblPr>
        <w:tblW w:w="8838" w:type="dxa"/>
        <w:jc w:val="left"/>
        <w:tblInd w:w="0" w:type="dxa"/>
        <w:tblLayout w:type="fixed"/>
        <w:tblCellMar>
          <w:top w:w="0" w:type="dxa"/>
          <w:left w:w="0" w:type="dxa"/>
          <w:bottom w:w="0" w:type="dxa"/>
          <w:right w:w="0" w:type="dxa"/>
        </w:tblCellMar>
      </w:tblPr>
      <w:tblGrid>
        <w:gridCol w:w="38"/>
        <w:gridCol w:w="110"/>
        <w:gridCol w:w="8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0"/>
              <w:jc w:val="left"/>
              <w:rPr/>
            </w:pPr>
            <w:r>
              <w:rPr/>
              <w:t>delay commercialization of, and our ability to derive revenues from, our product candidates;</w:t>
            </w:r>
          </w:p>
        </w:tc>
      </w:tr>
    </w:tbl>
    <w:p>
      <w:pPr>
        <w:pStyle w:val="TextBody"/>
        <w:bidi w:val="0"/>
        <w:spacing w:before="0" w:after="0"/>
        <w:jc w:val="left"/>
        <w:rPr/>
      </w:pPr>
      <w:r>
        <w:rPr/>
      </w:r>
    </w:p>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left"/>
              <w:rPr/>
            </w:pPr>
            <w:r>
              <w:rPr/>
              <w:t>impose costly procedures on us; and</w:t>
            </w:r>
          </w:p>
        </w:tc>
      </w:tr>
    </w:tbl>
    <w:p>
      <w:pPr>
        <w:pStyle w:val="TextBody"/>
        <w:bidi w:val="0"/>
        <w:spacing w:before="0" w:after="0"/>
        <w:jc w:val="left"/>
        <w:rPr/>
      </w:pPr>
      <w:r>
        <w:rPr/>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left"/>
              <w:rPr/>
            </w:pPr>
            <w:r>
              <w:rPr/>
              <w:t>diminish any competitive advantages that we may otherwise enjoy.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 titer-plasma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depend on third-party researchers, developers and vendors to develop, manufacture or test products and product candidates, as well as for other pre -and-post approval services, and such parties’ performance is, to some extent, outside of our control.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unable to successfully expand our manufacturing processes to fulfill demand for our products or increase our production capabilities through the addition of new equipment, including if we do not obtain requisite approval from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anticipate expanding the manufacturing capacity and product output capability of our Boca Facility. Following the expansion of any of our manufacturing processes or the addition of new equipment, such as our fill-finish machine,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pPr>
            <w:r>
              <w:rPr/>
              <w:t>restrictions on such products or manufacturing processes;</w:t>
            </w:r>
          </w:p>
        </w:tc>
      </w:tr>
    </w:tbl>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pPr>
            <w:r>
              <w:rPr/>
              <w:t>restrictions on the labeling or marketing of a product;</w:t>
            </w:r>
          </w:p>
        </w:tc>
      </w:tr>
    </w:tbl>
    <w:p>
      <w:pPr>
        <w:pStyle w:val="TextBody"/>
        <w:bidi w:val="0"/>
        <w:spacing w:before="0" w:after="0"/>
        <w:jc w:val="left"/>
        <w:rPr/>
      </w:pPr>
      <w:r>
        <w:rPr/>
      </w:r>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pPr>
            <w:r>
              <w:rPr/>
              <w:t>restrictions on product distribution or use;</w:t>
            </w:r>
          </w:p>
        </w:tc>
      </w:tr>
    </w:tbl>
    <w:p>
      <w:pPr>
        <w:pStyle w:val="TextBody"/>
        <w:bidi w:val="0"/>
        <w:spacing w:before="0" w:after="0"/>
        <w:jc w:val="left"/>
        <w:rPr/>
      </w:pPr>
      <w:r>
        <w:rPr/>
      </w:r>
    </w:p>
    <w:tbl>
      <w:tblPr>
        <w:tblW w:w="4368" w:type="dxa"/>
        <w:jc w:val="left"/>
        <w:tblInd w:w="0" w:type="dxa"/>
        <w:tblLayout w:type="fixed"/>
        <w:tblCellMar>
          <w:top w:w="0" w:type="dxa"/>
          <w:left w:w="0" w:type="dxa"/>
          <w:bottom w:w="0" w:type="dxa"/>
          <w:right w:w="0" w:type="dxa"/>
        </w:tblCellMar>
      </w:tblPr>
      <w:tblGrid>
        <w:gridCol w:w="38"/>
        <w:gridCol w:w="110"/>
        <w:gridCol w:w="42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clinical holds or termination of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requirements to conduct further post-marketing studies or clinical trials, implement risk mitigation strategies, or to issue corrective information;</w:t>
            </w:r>
          </w:p>
        </w:tc>
      </w:tr>
    </w:tbl>
    <w:p>
      <w:pPr>
        <w:pStyle w:val="TextBody"/>
        <w:bidi w:val="0"/>
        <w:spacing w:before="0" w:after="0"/>
        <w:jc w:val="left"/>
        <w:rPr/>
      </w:pPr>
      <w:r>
        <w:rPr/>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t>warning letters or untitled letters;</w:t>
            </w:r>
          </w:p>
        </w:tc>
      </w:tr>
    </w:tbl>
    <w:p>
      <w:pPr>
        <w:pStyle w:val="TextBody"/>
        <w:bidi w:val="0"/>
        <w:spacing w:before="0" w:after="0"/>
        <w:jc w:val="left"/>
        <w:rPr/>
      </w:pPr>
      <w:r>
        <w:rPr/>
      </w:r>
    </w:p>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pPr>
            <w:r>
              <w:rPr/>
              <w:t>withdrawal of the products from the market;</w:t>
            </w:r>
          </w:p>
        </w:tc>
      </w:tr>
    </w:tbl>
    <w:p>
      <w:pPr>
        <w:pStyle w:val="TextBody"/>
        <w:bidi w:val="0"/>
        <w:spacing w:before="0" w:after="0"/>
        <w:jc w:val="left"/>
        <w:rPr/>
      </w:pPr>
      <w:r>
        <w:rPr/>
      </w:r>
    </w:p>
    <w:tbl>
      <w:tblPr>
        <w:tblW w:w="9243" w:type="dxa"/>
        <w:jc w:val="left"/>
        <w:tblInd w:w="0" w:type="dxa"/>
        <w:tblLayout w:type="fixed"/>
        <w:tblCellMar>
          <w:top w:w="0" w:type="dxa"/>
          <w:left w:w="0" w:type="dxa"/>
          <w:bottom w:w="0" w:type="dxa"/>
          <w:right w:w="0" w:type="dxa"/>
        </w:tblCellMar>
      </w:tblPr>
      <w:tblGrid>
        <w:gridCol w:w="38"/>
        <w:gridCol w:w="110"/>
        <w:gridCol w:w="90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refusal to approve pending applications or supplements to approved applications that we submit;</w:t>
            </w:r>
          </w:p>
        </w:tc>
      </w:tr>
    </w:tbl>
    <w:p>
      <w:pPr>
        <w:pStyle w:val="TextBody"/>
        <w:bidi w:val="0"/>
        <w:spacing w:before="0" w:after="0"/>
        <w:jc w:val="left"/>
        <w:rPr/>
      </w:pPr>
      <w:r>
        <w:rPr/>
      </w:r>
    </w:p>
    <w:tbl>
      <w:tblPr>
        <w:tblW w:w="1878" w:type="dxa"/>
        <w:jc w:val="left"/>
        <w:tblInd w:w="0" w:type="dxa"/>
        <w:tblLayout w:type="fixed"/>
        <w:tblCellMar>
          <w:top w:w="0" w:type="dxa"/>
          <w:left w:w="0" w:type="dxa"/>
          <w:bottom w:w="0" w:type="dxa"/>
          <w:right w:w="0" w:type="dxa"/>
        </w:tblCellMar>
      </w:tblPr>
      <w:tblGrid>
        <w:gridCol w:w="38"/>
        <w:gridCol w:w="110"/>
        <w:gridCol w:w="1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pPr>
            <w:r>
              <w:rPr/>
              <w:t>recall of products;</w:t>
            </w:r>
          </w:p>
        </w:tc>
      </w:tr>
    </w:tbl>
    <w:p>
      <w:pPr>
        <w:pStyle w:val="TextBody"/>
        <w:bidi w:val="0"/>
        <w:spacing w:before="0" w:after="0"/>
        <w:jc w:val="left"/>
        <w:rPr/>
      </w:pPr>
      <w:r>
        <w:rPr/>
      </w:r>
    </w:p>
    <w:tbl>
      <w:tblPr>
        <w:tblW w:w="4503" w:type="dxa"/>
        <w:jc w:val="left"/>
        <w:tblInd w:w="0" w:type="dxa"/>
        <w:tblLayout w:type="fixed"/>
        <w:tblCellMar>
          <w:top w:w="0" w:type="dxa"/>
          <w:left w:w="0" w:type="dxa"/>
          <w:bottom w:w="0" w:type="dxa"/>
          <w:right w:w="0" w:type="dxa"/>
        </w:tblCellMar>
      </w:tblPr>
      <w:tblGrid>
        <w:gridCol w:w="38"/>
        <w:gridCol w:w="110"/>
        <w:gridCol w:w="43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pPr>
            <w:r>
              <w:rPr/>
              <w:t>restrictions on coverage by third-party payers;</w:t>
            </w:r>
          </w:p>
        </w:tc>
      </w:tr>
    </w:tbl>
    <w:p>
      <w:pPr>
        <w:pStyle w:val="TextBody"/>
        <w:bidi w:val="0"/>
        <w:spacing w:before="0" w:after="0"/>
        <w:jc w:val="left"/>
        <w:rPr/>
      </w:pPr>
      <w:r>
        <w:rPr/>
      </w:r>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left"/>
              <w:rPr/>
            </w:pPr>
            <w:r>
              <w:rPr/>
              <w:t>fines, restitution or disgorgement of profits or revenues;</w:t>
            </w:r>
          </w:p>
        </w:tc>
      </w:tr>
    </w:tbl>
    <w:p>
      <w:pPr>
        <w:pStyle w:val="TextBody"/>
        <w:bidi w:val="0"/>
        <w:spacing w:before="0" w:after="0"/>
        <w:jc w:val="left"/>
        <w:rPr/>
      </w:pPr>
      <w:r>
        <w:rPr/>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pPr>
            <w:r>
              <w:rPr/>
              <w:t>suspension or withdrawal of marketing approvals;</w:t>
            </w:r>
          </w:p>
        </w:tc>
      </w:tr>
    </w:tbl>
    <w:p>
      <w:pPr>
        <w:pStyle w:val="TextBody"/>
        <w:bidi w:val="0"/>
        <w:spacing w:before="0" w:after="0"/>
        <w:jc w:val="left"/>
        <w:rPr/>
      </w:pPr>
      <w:r>
        <w:rPr/>
      </w:r>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pPr>
            <w:r>
              <w:rPr/>
              <w:t>refusal to permit the import or export of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tc>
      </w:tr>
    </w:tbl>
    <w:p>
      <w:pPr>
        <w:pStyle w:val="TextBody"/>
        <w:bidi w:val="0"/>
        <w:spacing w:before="0" w:after="0"/>
        <w:jc w:val="left"/>
        <w:rPr/>
      </w:pPr>
      <w:r>
        <w:rPr/>
      </w:r>
    </w:p>
    <w:tbl>
      <w:tblPr>
        <w:tblW w:w="3123" w:type="dxa"/>
        <w:jc w:val="left"/>
        <w:tblInd w:w="0" w:type="dxa"/>
        <w:tblLayout w:type="fixed"/>
        <w:tblCellMar>
          <w:top w:w="0" w:type="dxa"/>
          <w:left w:w="0" w:type="dxa"/>
          <w:bottom w:w="0" w:type="dxa"/>
          <w:right w:w="0" w:type="dxa"/>
        </w:tblCellMar>
      </w:tblPr>
      <w:tblGrid>
        <w:gridCol w:w="38"/>
        <w:gridCol w:w="110"/>
        <w:gridCol w:w="2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product seizure or detention; or</w:t>
            </w:r>
          </w:p>
        </w:tc>
      </w:tr>
    </w:tbl>
    <w:p>
      <w:pPr>
        <w:pStyle w:val="TextBody"/>
        <w:bidi w:val="0"/>
        <w:spacing w:before="0" w:after="0"/>
        <w:jc w:val="left"/>
        <w:rPr/>
      </w:pPr>
      <w:r>
        <w:rPr/>
      </w:r>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pPr>
            <w:r>
              <w:rPr/>
              <w:t>injunctions or the imposition of civil penalties or criminal fines.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Historically, a few customers have accounted for a significant amount of our total revenue and accounts receivable and the loss of any of these customers could have a material adverse effect on our business, results of operations and financial condition.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three months ended March 31, 2024, two customers, BioCARE, Inc. (“BioCare”) and Priority Healthcare Distribution, Inc. d/b/a CuraScript SD Specialty Distribution (“Curascript”), represented an aggregate of approximately 70% of our consolidated revenues. For the year ended December 31, 2023, BioCare, and Curascript represented an aggregate of 72% of our consolidated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March 31, 2024, three customers, BioCare, Curascript and Healix Infusion Therapy, LLC (“Healix”), represented an aggregate of approximately 87% of our consolidated accounts receivable. As of December 31, 2023, five customers, BioCare, Healix, Curascript, Cencora, Inc. (f/k/a AmerisourceBergen Corporation) and Reliance Life Sciences Pvt. Limited, represented an aggregate of approximately 98% of our consolidated accounts receivable.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pStyle w:val="TextBody"/>
        <w:bidi w:val="0"/>
        <w:spacing w:before="0" w:after="0"/>
        <w:jc w:val="left"/>
        <w:rPr/>
      </w:pPr>
      <w:r>
        <w:rPr/>
      </w:r>
    </w:p>
    <w:tbl>
      <w:tblPr>
        <w:tblW w:w="5058" w:type="dxa"/>
        <w:jc w:val="left"/>
        <w:tblInd w:w="0" w:type="dxa"/>
        <w:tblLayout w:type="fixed"/>
        <w:tblCellMar>
          <w:top w:w="0" w:type="dxa"/>
          <w:left w:w="0" w:type="dxa"/>
          <w:bottom w:w="0" w:type="dxa"/>
          <w:right w:w="0" w:type="dxa"/>
        </w:tblCellMar>
      </w:tblPr>
      <w:tblGrid>
        <w:gridCol w:w="38"/>
        <w:gridCol w:w="110"/>
        <w:gridCol w:w="4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our ability to sell our products at competitive prices;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maintain features and quality standards for our products sufficient to meet the expectations of our customers;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produce and deliver a sufficient quantity of our products in a timely manner to meet our customers’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impact of a pandemic, or the resurgence of a pandemic, and government responses thereto on our customers and their businesses, operations and financial condition;</w:t>
            </w:r>
          </w:p>
        </w:tc>
      </w:tr>
    </w:tbl>
    <w:p>
      <w:pPr>
        <w:pStyle w:val="TextBody"/>
        <w:bidi w:val="0"/>
        <w:spacing w:before="0" w:after="0"/>
        <w:jc w:val="left"/>
        <w:rPr/>
      </w:pPr>
      <w:r>
        <w:rPr/>
      </w:r>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left"/>
              <w:rPr/>
            </w:pPr>
            <w:r>
              <w:rPr/>
              <w:t>the impact of a cyberattack or data breach on our customers or related entities;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widespread economic conditions or geopolitical conditions, including the exacerbated conflicts in Europe, the Middle East and the surrounding areas.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Additionally, an adverse change in the financial condition of any of our key customers could negatively affect revenue derived from such customer, which in turn could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Issues with product quality and compliance could have a material adverse effect upon our business, subject us to regulatory actions and cause a loss of customer confidence in us or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physicians, payers and patients do not accept and use our current products or our future product candidates, our ability to generate revenue from these products will be materially impaired.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the FDA approves a product made by us, physicians, payers and patients may not accept and use it. Acceptance and use of our products depends on a number of factors including, but not limited 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perceptions by members of the healthcare community, including physicians, about the safety and effectiveness of our products;</w:t>
            </w:r>
          </w:p>
        </w:tc>
      </w:tr>
    </w:tbl>
    <w:p>
      <w:pPr>
        <w:pStyle w:val="TextBody"/>
        <w:bidi w:val="0"/>
        <w:spacing w:before="0" w:after="0"/>
        <w:jc w:val="left"/>
        <w:rPr/>
      </w:pPr>
      <w:r>
        <w:rPr/>
      </w:r>
    </w:p>
    <w:tbl>
      <w:tblPr>
        <w:tblW w:w="6318" w:type="dxa"/>
        <w:jc w:val="left"/>
        <w:tblInd w:w="0" w:type="dxa"/>
        <w:tblLayout w:type="fixed"/>
        <w:tblCellMar>
          <w:top w:w="0" w:type="dxa"/>
          <w:left w:w="0" w:type="dxa"/>
          <w:bottom w:w="0" w:type="dxa"/>
          <w:right w:w="0" w:type="dxa"/>
        </w:tblCellMar>
      </w:tblPr>
      <w:tblGrid>
        <w:gridCol w:w="38"/>
        <w:gridCol w:w="110"/>
        <w:gridCol w:w="6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0"/>
              <w:jc w:val="left"/>
              <w:rPr/>
            </w:pPr>
            <w:r>
              <w:rPr/>
              <w:t>cost-effectiveness of our products relative to competing products;</w:t>
            </w:r>
          </w:p>
        </w:tc>
      </w:tr>
    </w:tbl>
    <w:p>
      <w:pPr>
        <w:pStyle w:val="TextBody"/>
        <w:bidi w:val="0"/>
        <w:spacing w:before="0" w:after="0"/>
        <w:jc w:val="left"/>
        <w:rPr/>
      </w:pPr>
      <w:r>
        <w:rPr/>
      </w:r>
    </w:p>
    <w:tbl>
      <w:tblPr>
        <w:tblW w:w="9153" w:type="dxa"/>
        <w:jc w:val="left"/>
        <w:tblInd w:w="0" w:type="dxa"/>
        <w:tblLayout w:type="fixed"/>
        <w:tblCellMar>
          <w:top w:w="0" w:type="dxa"/>
          <w:left w:w="0" w:type="dxa"/>
          <w:bottom w:w="0" w:type="dxa"/>
          <w:right w:w="0" w:type="dxa"/>
        </w:tblCellMar>
      </w:tblPr>
      <w:tblGrid>
        <w:gridCol w:w="38"/>
        <w:gridCol w:w="110"/>
        <w:gridCol w:w="9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pPr>
            <w:r>
              <w:rPr/>
              <w:t>availability of reimbursement for our products from government or other healthcare payers; and</w:t>
            </w:r>
          </w:p>
        </w:tc>
      </w:tr>
    </w:tbl>
    <w:p>
      <w:pPr>
        <w:pStyle w:val="TextBody"/>
        <w:bidi w:val="0"/>
        <w:spacing w:before="0" w:after="0"/>
        <w:jc w:val="left"/>
        <w:rPr/>
      </w:pPr>
      <w:r>
        <w:rPr/>
      </w:r>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pPr>
            <w:r>
              <w:rPr/>
              <w:t>the effectiveness of marketing and distribution efforts by us and our licensees and distributors, if any.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failure of our current or future products to find market acceptance would harm our business and could require us to seek additional financing or make such financing difficult to obtain on favorable terms, if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current product development portfolio consists primarily of label expansion activities for ASCENIV, as well as expanding our IP estate with patents issued for </w:t>
      </w:r>
      <w:r>
        <w:rPr>
          <w:rFonts w:ascii="Times New Roman" w:hAnsi="Times New Roman"/>
          <w:i/>
          <w:color w:val="000000"/>
          <w:sz w:val="20"/>
          <w:shd w:fill="FFFFFF" w:val="clear"/>
        </w:rPr>
        <w:t>S. Pneumoniae</w:t>
      </w:r>
      <w:r>
        <w:rPr>
          <w:rFonts w:ascii="Times New Roman" w:hAnsi="Times New Roman"/>
          <w:color w:val="000000"/>
          <w:sz w:val="20"/>
          <w:shd w:fill="FFFFFF" w:val="clear"/>
        </w:rPr>
        <w:t xml:space="preserve"> hyperimmune IG. We have initiated small- 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contract manufacturing, intermediate fractions and plasma attributable to the operations of ADMA BioCenters to support our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ADMA BioCenters operations collect information from donors in the United States that subjects us to consumer and health privacy laws, which could create enforcement and litigation exposure if we fail to meet their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Ares Credit Facility is subject to acceleration in specified circumstances, which may result in Ares taking possession and disposing of any collateral.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18, 2023 (the “Ares Closing Date”), we entered into a credit agreement with Ares (the “Ares Credit Agreement”) (see “Liquidity and Capital Resources”). The Ares Credit Agreement provides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Developments by competitors may render our products or technologies obsolete or non-competitive.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protect our patents, trade secrets or other proprietary rights, if our patents are challenged or if our provisional patent applications do not get approved, our competitiveness and business prospects may be materially damaged.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could lose market exclusivity of a product earlier than expected.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Third parties could obtain patents that may require us to negotiate licenses to conduct our business, and there can be no assurance that the required licenses would be available on reasonable terms or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successfully manage our growth,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loss of one or more key members of our management team could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performance is substantially dependent on the continued service and performance of our management team, who have extensive experience and specialized expertise in our business. In particular, the loss of Adam S. Grossman, our President, Chief Executive Officer and Interim Chief Financial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Cyberattacks and other security breaches could compromise our proprietary and confidential information, which could harm our business and reputation.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hire and retain a substantial number of qualified personnel, our ability to sustain and grow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incur substantial liabilities and may be required to limit commercialization of our products in response to product liability lawsuits.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laws governing our conduct in the United States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subject to extensive and rigorous governmental regulation, including the requirement of FDA and other federal, state and local business regulatory</w:t>
      </w:r>
      <w:r>
        <w:rPr>
          <w:rFonts w:ascii="Times New Roman" w:hAnsi="Times New Roman"/>
          <w:b/>
          <w:i/>
          <w:color w:val="0000FF"/>
          <w:sz w:val="20"/>
          <w:shd w:fill="FFFFFF" w:val="clear"/>
        </w:rPr>
        <w:t> </w:t>
      </w:r>
      <w:r>
        <w:rPr>
          <w:rFonts w:ascii="Times New Roman" w:hAnsi="Times New Roman"/>
          <w:b/>
          <w:i/>
          <w:color w:val="000000"/>
          <w:sz w:val="20"/>
          <w:shd w:fill="FFFFFF" w:val="clear"/>
        </w:rPr>
        <w:t>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few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manufacturing processes for plasma-based biologics are complex and involve biological intermediates that are susceptible to contamination and impurities.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Quarterly Report on Form 10-Q.</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continue to produce safe and effective products depends on the safety of our plasma supply, testing by third parties and the timing of receiving the testing results, and manufacturing processes against transmittable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could become supply-constrained and our financial performance would suffer if we cannot obtain adequate quantities of FDA-approved source and high-titer plasma with proper specifications or other necessary raw materials.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plasma supply self-sufficiency with the approval of our tenth plasma collection center in November 2023, we remain reliant on the purchase of plasma from third parties and the collection of plasma from our FDA-licensed plasma collection centers to manufacture our products. We can give no assurances that appropriate plasma will be available to us through our own plasma collection facilities or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our supply contract with Grifols for the purchase of normal source plasma (“NSP”) expired on December 31, 2022 and was not renewed. Although we have executed additional agreements with other third-party suppliers of NSP, we anticipate that the NSP used in IG production in 2024 and beyond will be sourced from our ADMA BioCenters plasma collection facilities.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biosimilar pathway established as part of healthcare reform may make it easier for competitors to market biosimilar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Patient Protection and Affordable Care Act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implementation of the Healthcare Reform Law in the United States may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Corporate responsibility, specifically related to Environmental, Social and Governance (“ESG”) matters, may impose additional costs and expose us to new risks.</w:t>
      </w:r>
    </w:p>
    <w:p>
      <w:pPr>
        <w:pStyle w:val="TextBody"/>
        <w:bidi w:val="0"/>
        <w:spacing w:before="0" w:after="0"/>
        <w:ind w:left="0" w:right="0" w:firstLine="720"/>
        <w:jc w:val="left"/>
        <w:rPr>
          <w:color w:val="000000"/>
        </w:rPr>
      </w:pPr>
      <w:r>
        <w:rPr>
          <w:color w:val="00000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w:t>
      </w:r>
      <w:r>
        <w:rPr>
          <w:rFonts w:ascii="Times New Roman" w:hAnsi="Times New Roman"/>
          <w:color w:val="FF0000"/>
          <w:sz w:val="20"/>
          <w:shd w:fill="FFFFFF" w:val="clear"/>
        </w:rPr>
        <w:t> </w:t>
      </w:r>
      <w:r>
        <w:rPr>
          <w:rFonts w:ascii="Times New Roman" w:hAnsi="Times New Roman"/>
          <w:color w:val="000000"/>
          <w:sz w:val="20"/>
          <w:shd w:fill="FFFFFF" w:val="clear"/>
        </w:rPr>
        <w:t>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Finances, Capital Requirements and Other Financial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continue to generate positive cashflows and net income, 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Although we generated positive cash flow from operations for the year ended December 31, 2023, our operations have consumed substantial amounts of cash since inception. While we generated positive cash flows from operations of $8.8 million for the year ended December 31, 2023, we had negative cash flows from operations of $2.2 million for the three months ended March 31, 2024 and for the year ended December 31, 2022 we had negative cash flows from operations of $59.5 million. We expect to continue to spend substantial amounts for collecting plasma at our plasma collection centers, maintaining our plasma collection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had a net loss of $28.2 million for the year ended December 31, 2023 and although we achieved net income of $17.8 million for the three months ended March 31, 2024, at present we cannot be certain that we will be able to generate a sufficient amount of product revenue to achieve profitability on an ongoing basis. If we are unable to generate positive cash flow throughout fiscal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along with our projected future operating cash flow, will be sufficient to fund our operations, as currently conducted, through the end of the second quarter of fiscal 2025 and beyond. Our current outlook with respect to cash flows and profitability may change based upon how effective we are in continuing to execute on our commercialization efforts and operational initiatives and whether or not the assumptions underlying our projected revenues and expenses are correct. If we are required to raise additional capital and if such capital is not available due to widespread liquidity constraints or significant market instability that could result from widespread economic or geopolitical conditions or other factors beyond our control, we may have to delay, curtail or eliminate our commercialization efforts or our product development activities.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have cash available to us in amounts sufficient to enable us to make interest or principal payments on our indebtedness when due.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Ares Credit Facility provides for total senior secured loans in an aggregate principal amount of up to $135.0 million, all of which has been drawn down and is currently outstanding. Borrowings under the Ares Credit Facility currently bear interest at a weighted-average rate of approximately 10.4%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term of the Ares Credit Facility of approximately $3.6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current and projected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Raising additional funds by issuing securities or through licensing or lending arrangements may cause dilution to our existing stockholders, restrict our operations or require us to relinquish proprietary rights.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cash and cash equivalents could be adversely affected if the financial institutions in which we hold our cash and cash equivalents fail.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will be time-consuming, and there is a risk of noncompliance. Further, the costs associated with the compliance with and implementation of procedures under these and future laws and related rules could have a material impact on our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controls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use our net operating loss carryforwards (“NOLs”) may be limited.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incurred substantial losses during our history. As of December 31, 2023, we had federal and state NOLs of $315.6 million and $216.4 million, respectively. Federal and state NOLs of approximately $35.6 million and $95.1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2023 and 2022, we may experience ownership changes in the future as a result of subsequent changes in our stock ownership that we cannot predict or control that could result in further limitations being placed on our ability to utilize our federal NOLs.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Associated with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market price of our common stock may be volatile and may fluctuate in a way that is disproportionate to our operating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stock price may experience substantial volatility as a result of a number of factors, including:</w:t>
      </w:r>
    </w:p>
    <w:p>
      <w:pPr>
        <w:pStyle w:val="TextBody"/>
        <w:bidi w:val="0"/>
        <w:spacing w:before="0" w:after="0"/>
        <w:jc w:val="left"/>
        <w:rPr/>
      </w:pPr>
      <w:r>
        <w:rPr/>
      </w:r>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left"/>
              <w:rPr/>
            </w:pPr>
            <w:r>
              <w:rPr/>
              <w:t>sales or potential sales of substantial amounts of our common stock;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 or failure in initiating or completing preclinical or clinical trials or unsatisfactory results of these trials;</w:t>
            </w:r>
          </w:p>
        </w:tc>
      </w:tr>
    </w:tbl>
    <w:p>
      <w:pPr>
        <w:pStyle w:val="TextBody"/>
        <w:bidi w:val="0"/>
        <w:spacing w:before="0" w:after="0"/>
        <w:jc w:val="left"/>
        <w:rPr/>
      </w:pPr>
      <w:r>
        <w:rPr/>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0"/>
              <w:jc w:val="left"/>
              <w:rPr/>
            </w:pPr>
            <w:r>
              <w:rPr/>
              <w:t>delay in a decision by federal, state or local business regulatory authority;</w:t>
            </w:r>
          </w:p>
        </w:tc>
      </w:tr>
    </w:tbl>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the timing of acceptance, third-party reimbursement and sales of BIVIGAM and ASCENIV;</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announcements about us or about our competitors, including clinical trial results, regulatory approvals or new product introductions;</w:t>
            </w:r>
          </w:p>
        </w:tc>
      </w:tr>
    </w:tbl>
    <w:p>
      <w:pPr>
        <w:pStyle w:val="TextBody"/>
        <w:bidi w:val="0"/>
        <w:spacing w:before="0" w:after="0"/>
        <w:jc w:val="left"/>
        <w:rPr/>
      </w:pPr>
      <w:r>
        <w:rPr/>
      </w:r>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pPr>
            <w:r>
              <w:rPr/>
              <w:t>developments concerning our licensors or third-party vendors;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litigation and other developments relating to our patents or other proprietary rights or those of our competitors;</w:t>
            </w:r>
          </w:p>
        </w:tc>
      </w:tr>
    </w:tbl>
    <w:p>
      <w:pPr>
        <w:pStyle w:val="TextBody"/>
        <w:bidi w:val="0"/>
        <w:spacing w:before="0" w:after="0"/>
        <w:jc w:val="left"/>
        <w:rPr/>
      </w:pPr>
      <w:r>
        <w:rPr/>
      </w:r>
    </w:p>
    <w:tbl>
      <w:tblPr>
        <w:tblW w:w="5913" w:type="dxa"/>
        <w:jc w:val="left"/>
        <w:tblInd w:w="0" w:type="dxa"/>
        <w:tblLayout w:type="fixed"/>
        <w:tblCellMar>
          <w:top w:w="0" w:type="dxa"/>
          <w:left w:w="0" w:type="dxa"/>
          <w:bottom w:w="0" w:type="dxa"/>
          <w:right w:w="0" w:type="dxa"/>
        </w:tblCellMar>
      </w:tblPr>
      <w:tblGrid>
        <w:gridCol w:w="38"/>
        <w:gridCol w:w="110"/>
        <w:gridCol w:w="5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left"/>
              <w:rPr/>
            </w:pPr>
            <w:r>
              <w:rPr/>
              <w:t>conditions in the pharmaceutical or biotechnology industries;</w:t>
            </w:r>
          </w:p>
        </w:tc>
      </w:tr>
    </w:tbl>
    <w:p>
      <w:pPr>
        <w:pStyle w:val="TextBody"/>
        <w:bidi w:val="0"/>
        <w:spacing w:before="0" w:after="0"/>
        <w:jc w:val="left"/>
        <w:rPr/>
      </w:pPr>
      <w:r>
        <w:rPr/>
      </w:r>
    </w:p>
    <w:tbl>
      <w:tblPr>
        <w:tblW w:w="3963" w:type="dxa"/>
        <w:jc w:val="left"/>
        <w:tblInd w:w="0" w:type="dxa"/>
        <w:tblLayout w:type="fixed"/>
        <w:tblCellMar>
          <w:top w:w="0" w:type="dxa"/>
          <w:left w:w="0" w:type="dxa"/>
          <w:bottom w:w="0" w:type="dxa"/>
          <w:right w:w="0" w:type="dxa"/>
        </w:tblCellMar>
      </w:tblPr>
      <w:tblGrid>
        <w:gridCol w:w="38"/>
        <w:gridCol w:w="110"/>
        <w:gridCol w:w="38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0"/>
              <w:jc w:val="left"/>
              <w:rPr/>
            </w:pPr>
            <w:r>
              <w:rPr/>
              <w:t>governmental regulation and legislation;</w:t>
            </w:r>
          </w:p>
        </w:tc>
      </w:tr>
    </w:tbl>
    <w:p>
      <w:pPr>
        <w:pStyle w:val="TextBody"/>
        <w:bidi w:val="0"/>
        <w:spacing w:before="0" w:after="0"/>
        <w:jc w:val="left"/>
        <w:rPr/>
      </w:pPr>
      <w:r>
        <w:rPr/>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left"/>
              <w:rPr/>
            </w:pPr>
            <w:r>
              <w:rPr/>
              <w:t>overall market volatility;</w:t>
            </w:r>
          </w:p>
        </w:tc>
      </w:tr>
    </w:tbl>
    <w:p>
      <w:pPr>
        <w:pStyle w:val="TextBody"/>
        <w:bidi w:val="0"/>
        <w:spacing w:before="0" w:after="0"/>
        <w:jc w:val="left"/>
        <w:rPr/>
      </w:pPr>
      <w:r>
        <w:rPr/>
      </w:r>
    </w:p>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left"/>
              <w:rPr/>
            </w:pPr>
            <w:r>
              <w:rPr/>
              <w:t>global and economic uncertainty;</w:t>
            </w:r>
          </w:p>
        </w:tc>
      </w:tr>
    </w:tbl>
    <w:p>
      <w:pPr>
        <w:pStyle w:val="TextBody"/>
        <w:bidi w:val="0"/>
        <w:spacing w:before="0" w:after="0"/>
        <w:jc w:val="left"/>
        <w:rPr/>
      </w:pPr>
      <w:r>
        <w:rPr/>
      </w:r>
    </w:p>
    <w:tbl>
      <w:tblPr>
        <w:tblW w:w="5733" w:type="dxa"/>
        <w:jc w:val="left"/>
        <w:tblInd w:w="0" w:type="dxa"/>
        <w:tblLayout w:type="fixed"/>
        <w:tblCellMar>
          <w:top w:w="0" w:type="dxa"/>
          <w:left w:w="0" w:type="dxa"/>
          <w:bottom w:w="0" w:type="dxa"/>
          <w:right w:w="0" w:type="dxa"/>
        </w:tblCellMar>
      </w:tblPr>
      <w:tblGrid>
        <w:gridCol w:w="38"/>
        <w:gridCol w:w="110"/>
        <w:gridCol w:w="5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left"/>
              <w:rPr/>
            </w:pPr>
            <w:r>
              <w:rPr/>
              <w:t>variations in our anticipated or actual operating results; and</w:t>
            </w:r>
          </w:p>
        </w:tc>
      </w:tr>
    </w:tbl>
    <w:p>
      <w:pPr>
        <w:pStyle w:val="TextBody"/>
        <w:bidi w:val="0"/>
        <w:spacing w:before="0" w:after="0"/>
        <w:jc w:val="left"/>
        <w:rPr/>
      </w:pPr>
      <w:r>
        <w:rPr/>
      </w:r>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left"/>
              <w:rPr/>
            </w:pPr>
            <w:r>
              <w:rPr/>
              <w:t>change in securities analysts’ estimates of our performance, or our failure to meet analysts’ expectations.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Sales of a substantial number of shares of our common stock, or the perception that such sales may occur, may adversely affect the market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May 3, 2024, most of our 231,809,197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March 31, 2024, BlackRock Inc., Vanguard Group and our directors and executive officers and their affiliates owned approximately 16%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bidi w:val="0"/>
        <w:spacing w:before="0" w:after="0"/>
        <w:jc w:val="left"/>
        <w:rPr/>
      </w:pPr>
      <w:r>
        <w:rPr/>
      </w:r>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left"/>
              <w:rPr/>
            </w:pPr>
            <w:r>
              <w:rPr/>
              <w:t>the inability of stockholders to call special meetings;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classification of our Board and limitation on filling of vacancies could make it more difficult for a third party to acquire, or discourage a third party from seeking to acquire, control of our Company;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authorization of the issuance of “blank check” preferred stock, with such designation rights and preferences as may be determined from time to time by the Board, without any need for action by stockholders.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never paid and do not intend to pay cash dividends in the foreseeable future. As a result, capital appreciation, if any, will be your sole source of gain.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Board may, without stockholder approval, issue and fix the terms of shares of preferred stock and issue additional shares of common stock adversely affecting the rights of holders of our common stock.</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March 31, 2024, there were 34,633,358 shares remaining available for issuance, after giving effect to 17,223,248 shares of our common stock that were subject to outstanding stock options, RSUs and warrants as of March 31, 2024 that may be issued by us without stockholder approval, as well as an additional 16,373,629 shares reserved for the future issuance of awards under our equity compensation plans.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UnregisteredSalesofEquity"/>
      <w:bookmarkStart w:id="20" w:name="UnregisteredSalesofEquity"/>
      <w:bookmarkEnd w:id="20"/>
    </w:p>
    <w:tbl>
      <w:tblPr>
        <w:tblW w:w="6880" w:type="dxa"/>
        <w:jc w:val="left"/>
        <w:tblInd w:w="0" w:type="dxa"/>
        <w:tblLayout w:type="fixed"/>
        <w:tblCellMar>
          <w:top w:w="0" w:type="dxa"/>
          <w:left w:w="0" w:type="dxa"/>
          <w:bottom w:w="0" w:type="dxa"/>
          <w:right w:w="0" w:type="dxa"/>
        </w:tblCellMar>
      </w:tblPr>
      <w:tblGrid>
        <w:gridCol w:w="740"/>
        <w:gridCol w:w="6140"/>
      </w:tblGrid>
      <w:tr>
        <w:trPr/>
        <w:tc>
          <w:tcPr>
            <w:tcW w:w="740" w:type="dxa"/>
            <w:tcBorders/>
            <w:vAlign w:val="center"/>
          </w:tcPr>
          <w:p>
            <w:pPr>
              <w:pStyle w:val="TableContents"/>
              <w:bidi w:val="0"/>
              <w:spacing w:before="0" w:after="283"/>
              <w:jc w:val="left"/>
              <w:rPr>
                <w:b/>
              </w:rPr>
            </w:pPr>
            <w:r>
              <w:rPr>
                <w:b/>
              </w:rPr>
              <w:t>Item 2.</w:t>
            </w:r>
          </w:p>
        </w:tc>
        <w:tc>
          <w:tcPr>
            <w:tcW w:w="6140" w:type="dxa"/>
            <w:tcBorders/>
            <w:vAlign w:val="center"/>
          </w:tcPr>
          <w:p>
            <w:pPr>
              <w:pStyle w:val="TableContents"/>
              <w:bidi w:val="0"/>
              <w:spacing w:before="0" w:after="0"/>
              <w:jc w:val="left"/>
              <w:rPr>
                <w:b/>
              </w:rPr>
            </w:pPr>
            <w:r>
              <w:rPr>
                <w:b/>
              </w:rPr>
              <w:t>Unregistered Sales of Equity Securities and Use of Proceeds.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DefaultsUponSeniorSecurit"/>
      <w:bookmarkStart w:id="22" w:name="DefaultsUponSeniorSecurit"/>
      <w:bookmarkEnd w:id="22"/>
    </w:p>
    <w:tbl>
      <w:tblPr>
        <w:tblW w:w="4060" w:type="dxa"/>
        <w:jc w:val="left"/>
        <w:tblInd w:w="0" w:type="dxa"/>
        <w:tblLayout w:type="fixed"/>
        <w:tblCellMar>
          <w:top w:w="0" w:type="dxa"/>
          <w:left w:w="0" w:type="dxa"/>
          <w:bottom w:w="0" w:type="dxa"/>
          <w:right w:w="0" w:type="dxa"/>
        </w:tblCellMar>
      </w:tblPr>
      <w:tblGrid>
        <w:gridCol w:w="740"/>
        <w:gridCol w:w="3320"/>
      </w:tblGrid>
      <w:tr>
        <w:trPr/>
        <w:tc>
          <w:tcPr>
            <w:tcW w:w="740" w:type="dxa"/>
            <w:tcBorders/>
            <w:vAlign w:val="center"/>
          </w:tcPr>
          <w:p>
            <w:pPr>
              <w:pStyle w:val="TableContents"/>
              <w:bidi w:val="0"/>
              <w:spacing w:before="0" w:after="283"/>
              <w:jc w:val="left"/>
              <w:rPr>
                <w:b/>
              </w:rPr>
            </w:pPr>
            <w:r>
              <w:rPr>
                <w:b/>
              </w:rPr>
              <w:t>Item 3.</w:t>
            </w:r>
          </w:p>
        </w:tc>
        <w:tc>
          <w:tcPr>
            <w:tcW w:w="3320" w:type="dxa"/>
            <w:tcBorders/>
            <w:vAlign w:val="center"/>
          </w:tcPr>
          <w:p>
            <w:pPr>
              <w:pStyle w:val="TableContents"/>
              <w:bidi w:val="0"/>
              <w:spacing w:before="0" w:after="0"/>
              <w:jc w:val="left"/>
              <w:rPr>
                <w:b/>
              </w:rPr>
            </w:pPr>
            <w:r>
              <w:rPr>
                <w:b/>
              </w:rPr>
              <w:t>Defaults Upon Senior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MineSafetyDisclosures."/>
      <w:bookmarkStart w:id="24" w:name="MineSafetyDisclosures."/>
      <w:bookmarkEnd w:id="24"/>
    </w:p>
    <w:tbl>
      <w:tblPr>
        <w:tblW w:w="3250" w:type="dxa"/>
        <w:jc w:val="left"/>
        <w:tblInd w:w="0" w:type="dxa"/>
        <w:tblLayout w:type="fixed"/>
        <w:tblCellMar>
          <w:top w:w="0" w:type="dxa"/>
          <w:left w:w="0" w:type="dxa"/>
          <w:bottom w:w="0" w:type="dxa"/>
          <w:right w:w="0" w:type="dxa"/>
        </w:tblCellMar>
      </w:tblPr>
      <w:tblGrid>
        <w:gridCol w:w="740"/>
        <w:gridCol w:w="2510"/>
      </w:tblGrid>
      <w:tr>
        <w:trPr/>
        <w:tc>
          <w:tcPr>
            <w:tcW w:w="740" w:type="dxa"/>
            <w:tcBorders/>
            <w:vAlign w:val="center"/>
          </w:tcPr>
          <w:p>
            <w:pPr>
              <w:pStyle w:val="TableContents"/>
              <w:bidi w:val="0"/>
              <w:spacing w:before="0" w:after="283"/>
              <w:jc w:val="left"/>
              <w:rPr>
                <w:b/>
              </w:rPr>
            </w:pPr>
            <w:r>
              <w:rPr>
                <w:b/>
              </w:rPr>
              <w:t>Item 4.</w:t>
            </w:r>
          </w:p>
        </w:tc>
        <w:tc>
          <w:tcPr>
            <w:tcW w:w="251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25" w:name="OtherInformation."/>
      <w:bookmarkStart w:id="26" w:name="OtherInformation."/>
      <w:bookmarkEnd w:id="26"/>
    </w:p>
    <w:tbl>
      <w:tblPr>
        <w:tblW w:w="2725" w:type="dxa"/>
        <w:jc w:val="left"/>
        <w:tblInd w:w="0" w:type="dxa"/>
        <w:tblLayout w:type="fixed"/>
        <w:tblCellMar>
          <w:top w:w="0" w:type="dxa"/>
          <w:left w:w="0" w:type="dxa"/>
          <w:bottom w:w="0" w:type="dxa"/>
          <w:right w:w="0" w:type="dxa"/>
        </w:tblCellMar>
      </w:tblPr>
      <w:tblGrid>
        <w:gridCol w:w="740"/>
        <w:gridCol w:w="1985"/>
      </w:tblGrid>
      <w:tr>
        <w:trPr/>
        <w:tc>
          <w:tcPr>
            <w:tcW w:w="740" w:type="dxa"/>
            <w:tcBorders/>
            <w:vAlign w:val="center"/>
          </w:tcPr>
          <w:p>
            <w:pPr>
              <w:pStyle w:val="TableContents"/>
              <w:bidi w:val="0"/>
              <w:spacing w:before="0" w:after="283"/>
              <w:jc w:val="left"/>
              <w:rPr>
                <w:b/>
              </w:rPr>
            </w:pPr>
            <w:r>
              <w:rPr>
                <w:b/>
              </w:rPr>
              <w:t>Item 5.</w:t>
            </w:r>
          </w:p>
        </w:tc>
        <w:tc>
          <w:tcPr>
            <w:tcW w:w="198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March 31, 2024, no such plans or other arrangements were adopted or terminated.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 w:name="Exhibits"/>
      <w:bookmarkStart w:id="28" w:name="Exhibits"/>
      <w:bookmarkEnd w:id="28"/>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See the Exhibit Index immediately following the signature page of this Quarterly Report on Form 10-Q.</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9" w:name="SIGNATURES"/>
      <w:bookmarkEnd w:id="29"/>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835" w:type="dxa"/>
        <w:jc w:val="left"/>
        <w:tblInd w:w="0" w:type="dxa"/>
        <w:tblLayout w:type="fixed"/>
        <w:tblCellMar>
          <w:top w:w="0" w:type="dxa"/>
          <w:left w:w="0" w:type="dxa"/>
          <w:bottom w:w="0" w:type="dxa"/>
          <w:right w:w="0" w:type="dxa"/>
        </w:tblCellMar>
      </w:tblPr>
      <w:tblGrid>
        <w:gridCol w:w="2345"/>
        <w:gridCol w:w="365"/>
        <w:gridCol w:w="650"/>
        <w:gridCol w:w="4475"/>
      </w:tblGrid>
      <w:tr>
        <w:trPr/>
        <w:tc>
          <w:tcPr>
            <w:tcW w:w="2345" w:type="dxa"/>
            <w:tcBorders/>
            <w:vAlign w:val="center"/>
          </w:tcPr>
          <w:p>
            <w:pPr>
              <w:pStyle w:val="TableContents"/>
              <w:bidi w:val="0"/>
              <w:spacing w:before="0" w:after="283"/>
              <w:jc w:val="left"/>
              <w:rPr/>
            </w:pPr>
            <w:r>
              <w:rPr/>
              <w:t> </w:t>
            </w:r>
          </w:p>
        </w:tc>
        <w:tc>
          <w:tcPr>
            <w:tcW w:w="5490" w:type="dxa"/>
            <w:gridSpan w:val="3"/>
            <w:tcBorders/>
            <w:vAlign w:val="center"/>
          </w:tcPr>
          <w:p>
            <w:pPr>
              <w:pStyle w:val="TableContents"/>
              <w:bidi w:val="0"/>
              <w:spacing w:before="0" w:after="0"/>
              <w:jc w:val="both"/>
              <w:rPr>
                <w:b/>
              </w:rPr>
            </w:pPr>
            <w:r>
              <w:rPr>
                <w:b/>
              </w:rPr>
              <w:t>ADMA Biologics, Inc.</w:t>
            </w:r>
          </w:p>
        </w:tc>
      </w:tr>
      <w:tr>
        <w:trPr/>
        <w:tc>
          <w:tcPr>
            <w:tcW w:w="2345" w:type="dxa"/>
            <w:tcBorders/>
            <w:vAlign w:val="center"/>
          </w:tcPr>
          <w:p>
            <w:pPr>
              <w:pStyle w:val="TableContents"/>
              <w:bidi w:val="0"/>
              <w:spacing w:before="0" w:after="283"/>
              <w:jc w:val="left"/>
              <w:rPr/>
            </w:pPr>
            <w:r>
              <w:rPr/>
              <w:t> </w:t>
            </w:r>
          </w:p>
        </w:tc>
        <w:tc>
          <w:tcPr>
            <w:tcW w:w="5490" w:type="dxa"/>
            <w:gridSpan w:val="3"/>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both"/>
              <w:rPr/>
            </w:pPr>
            <w:r>
              <w:rPr/>
              <w:t>Date:          May 9, 2024</w:t>
            </w:r>
          </w:p>
        </w:tc>
        <w:tc>
          <w:tcPr>
            <w:tcW w:w="365" w:type="dxa"/>
            <w:tcBorders/>
            <w:vAlign w:val="center"/>
          </w:tcPr>
          <w:p>
            <w:pPr>
              <w:pStyle w:val="TableContents"/>
              <w:bidi w:val="0"/>
              <w:spacing w:before="0" w:after="0"/>
              <w:jc w:val="both"/>
              <w:rPr/>
            </w:pPr>
            <w:r>
              <w:rPr/>
              <w:t>By:</w:t>
            </w:r>
          </w:p>
        </w:tc>
        <w:tc>
          <w:tcPr>
            <w:tcW w:w="5125" w:type="dxa"/>
            <w:gridSpan w:val="2"/>
            <w:tcBorders>
              <w:bottom w:val="single" w:sz="12" w:space="0" w:color="000000"/>
            </w:tcBorders>
            <w:tcMar>
              <w:bottom w:w="28" w:type="dxa"/>
            </w:tcMar>
            <w:vAlign w:val="center"/>
          </w:tcPr>
          <w:p>
            <w:pPr>
              <w:pStyle w:val="TableContents"/>
              <w:bidi w:val="0"/>
              <w:spacing w:before="0" w:after="0"/>
              <w:jc w:val="both"/>
              <w:rPr/>
            </w:pPr>
            <w:r>
              <w:rPr/>
              <w:t>/s/ Adam S. Grossman</w:t>
            </w:r>
          </w:p>
        </w:tc>
      </w:tr>
      <w:tr>
        <w:trPr/>
        <w:tc>
          <w:tcPr>
            <w:tcW w:w="23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4475" w:type="dxa"/>
            <w:tcBorders/>
            <w:vAlign w:val="center"/>
          </w:tcPr>
          <w:p>
            <w:pPr>
              <w:pStyle w:val="TableContents"/>
              <w:bidi w:val="0"/>
              <w:spacing w:before="0" w:after="0"/>
              <w:jc w:val="both"/>
              <w:rPr/>
            </w:pPr>
            <w:r>
              <w:rPr/>
              <w:t>Adam S. Grossman</w:t>
            </w:r>
          </w:p>
        </w:tc>
      </w:tr>
      <w:tr>
        <w:trPr/>
        <w:tc>
          <w:tcPr>
            <w:tcW w:w="23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4475" w:type="dxa"/>
            <w:tcBorders/>
            <w:vAlign w:val="center"/>
          </w:tcPr>
          <w:p>
            <w:pPr>
              <w:pStyle w:val="TableContents"/>
              <w:bidi w:val="0"/>
              <w:spacing w:before="0" w:after="0"/>
              <w:jc w:val="both"/>
              <w:rPr/>
            </w:pPr>
            <w:r>
              <w:rPr/>
              <w:t xml:space="preserve">President, Chief Executive Officer and Interim </w:t>
            </w:r>
          </w:p>
          <w:p>
            <w:pPr>
              <w:pStyle w:val="TableContents"/>
              <w:bidi w:val="0"/>
              <w:spacing w:before="0" w:after="0"/>
              <w:jc w:val="both"/>
              <w:rPr/>
            </w:pPr>
            <w:r>
              <w:rPr/>
              <w:t>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ind w:left="0" w:right="0" w:firstLine="72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885"/>
        <w:gridCol w:w="9320"/>
      </w:tblGrid>
      <w:tr>
        <w:trPr/>
        <w:tc>
          <w:tcPr>
            <w:tcW w:w="885" w:type="dxa"/>
            <w:tcBorders/>
            <w:vAlign w:val="center"/>
          </w:tcPr>
          <w:p>
            <w:pPr>
              <w:pStyle w:val="TableContents"/>
              <w:bidi w:val="0"/>
              <w:spacing w:before="0" w:after="0"/>
              <w:jc w:val="left"/>
              <w:rPr>
                <w:u w:val="single"/>
              </w:rPr>
            </w:pPr>
            <w:r>
              <w:rPr>
                <w:u w:val="single"/>
              </w:rPr>
              <w:t>Exhibit Number</w:t>
            </w:r>
          </w:p>
        </w:tc>
        <w:tc>
          <w:tcPr>
            <w:tcW w:w="9320" w:type="dxa"/>
            <w:tcBorders/>
            <w:vAlign w:val="center"/>
          </w:tcPr>
          <w:p>
            <w:pPr>
              <w:pStyle w:val="TableContents"/>
              <w:bidi w:val="0"/>
              <w:spacing w:before="0" w:after="0"/>
              <w:jc w:val="left"/>
              <w:rPr>
                <w:u w:val="single"/>
              </w:rPr>
            </w:pPr>
            <w:r>
              <w:rPr>
                <w:u w:val="single"/>
              </w:rPr>
              <w:t>Description</w:t>
            </w:r>
          </w:p>
        </w:tc>
      </w:tr>
      <w:tr>
        <w:trPr/>
        <w:tc>
          <w:tcPr>
            <w:tcW w:w="885" w:type="dxa"/>
            <w:tcBorders/>
            <w:shd w:fill="CCEEFF" w:val="clear"/>
            <w:vAlign w:val="center"/>
          </w:tcPr>
          <w:p>
            <w:pPr>
              <w:pStyle w:val="TableContents"/>
              <w:bidi w:val="0"/>
              <w:spacing w:before="0" w:after="0"/>
              <w:jc w:val="left"/>
              <w:rPr/>
            </w:pPr>
            <w:hyperlink r:id="rId2">
              <w:r>
                <w:rPr>
                  <w:rStyle w:val="InternetLink"/>
                </w:rPr>
                <w:t>10.1</w:t>
              </w:r>
            </w:hyperlink>
          </w:p>
        </w:tc>
        <w:tc>
          <w:tcPr>
            <w:tcW w:w="9320" w:type="dxa"/>
            <w:tcBorders/>
            <w:shd w:fill="CCEEFF" w:val="clear"/>
            <w:vAlign w:val="center"/>
          </w:tcPr>
          <w:p>
            <w:pPr>
              <w:pStyle w:val="TableContents"/>
              <w:bidi w:val="0"/>
              <w:spacing w:before="0" w:after="0"/>
              <w:jc w:val="left"/>
              <w:rPr>
                <w:color w:val="000000"/>
              </w:rPr>
            </w:pPr>
            <w:r>
              <w:rPr>
                <w:color w:val="000000"/>
              </w:rPr>
              <w:t>Consulting Services Agreement, dated as of February 27, 2024, by and between ADMA Biologics, Inc. and Brian Lenz (incorporated by reference to Exhibit 10.1 to the Company’s Current Report on Form 8-K filed on February 28, 2024).</w:t>
            </w:r>
          </w:p>
        </w:tc>
      </w:tr>
      <w:tr>
        <w:trPr/>
        <w:tc>
          <w:tcPr>
            <w:tcW w:w="885" w:type="dxa"/>
            <w:tcBorders/>
            <w:vAlign w:val="center"/>
          </w:tcPr>
          <w:p>
            <w:pPr>
              <w:pStyle w:val="TableContents"/>
              <w:bidi w:val="0"/>
              <w:spacing w:before="0" w:after="0"/>
              <w:jc w:val="left"/>
              <w:rPr/>
            </w:pPr>
            <w:hyperlink w:anchor="ef20026261_ex31-1.htm">
              <w:r>
                <w:rPr>
                  <w:rStyle w:val="InternetLink"/>
                </w:rPr>
                <w:t>31.1*</w:t>
              </w:r>
            </w:hyperlink>
          </w:p>
        </w:tc>
        <w:tc>
          <w:tcPr>
            <w:tcW w:w="9320" w:type="dxa"/>
            <w:tcBorders/>
            <w:vAlign w:val="center"/>
          </w:tcPr>
          <w:p>
            <w:pPr>
              <w:pStyle w:val="TableContents"/>
              <w:bidi w:val="0"/>
              <w:spacing w:before="0" w:after="0"/>
              <w:jc w:val="left"/>
              <w:rPr>
                <w:color w:val="000000"/>
              </w:rPr>
            </w:pPr>
            <w:r>
              <w:rPr>
                <w:color w:val="000000"/>
              </w:rPr>
              <w:t>Certification of Principal Executive Officer and Principal Financial Officer pursuant to Rules 13a-14(a) and 15d-14(a), as adopted pursuant to Section 302 of the Sarbanes-Oxley Act of 2002.</w:t>
            </w:r>
          </w:p>
        </w:tc>
      </w:tr>
      <w:tr>
        <w:trPr/>
        <w:tc>
          <w:tcPr>
            <w:tcW w:w="885" w:type="dxa"/>
            <w:tcBorders/>
            <w:shd w:fill="CCEEFF" w:val="clear"/>
            <w:vAlign w:val="center"/>
          </w:tcPr>
          <w:p>
            <w:pPr>
              <w:pStyle w:val="TableContents"/>
              <w:bidi w:val="0"/>
              <w:spacing w:before="0" w:after="0"/>
              <w:jc w:val="left"/>
              <w:rPr/>
            </w:pPr>
            <w:hyperlink w:anchor="ef20026261_ex32-1.htm">
              <w:r>
                <w:rPr>
                  <w:rStyle w:val="InternetLink"/>
                </w:rPr>
                <w:t>32.1**</w:t>
              </w:r>
            </w:hyperlink>
          </w:p>
        </w:tc>
        <w:tc>
          <w:tcPr>
            <w:tcW w:w="9320" w:type="dxa"/>
            <w:tcBorders/>
            <w:shd w:fill="CCEEFF" w:val="clear"/>
            <w:vAlign w:val="center"/>
          </w:tcPr>
          <w:p>
            <w:pPr>
              <w:pStyle w:val="TableContents"/>
              <w:bidi w:val="0"/>
              <w:spacing w:before="0" w:after="0"/>
              <w:jc w:val="left"/>
              <w:rPr>
                <w:color w:val="000000"/>
              </w:rPr>
            </w:pPr>
            <w:r>
              <w:rPr>
                <w:color w:val="000000"/>
              </w:rPr>
              <w:t>Certification of Principal Executive Officer and Principal Financial Officer pursuant to 18 U.S.C. Section 1350, as adopted pursuant to Section 906 of the Sarbanes-Oxley Act of 2002.</w:t>
            </w:r>
          </w:p>
        </w:tc>
      </w:tr>
      <w:tr>
        <w:trPr/>
        <w:tc>
          <w:tcPr>
            <w:tcW w:w="885" w:type="dxa"/>
            <w:tcBorders/>
            <w:vAlign w:val="center"/>
          </w:tcPr>
          <w:p>
            <w:pPr>
              <w:pStyle w:val="TableContents"/>
              <w:bidi w:val="0"/>
              <w:spacing w:before="0" w:after="0"/>
              <w:jc w:val="left"/>
              <w:rPr/>
            </w:pPr>
            <w:r>
              <w:rPr/>
              <w:t>101*</w:t>
            </w:r>
          </w:p>
        </w:tc>
        <w:tc>
          <w:tcPr>
            <w:tcW w:w="9320" w:type="dxa"/>
            <w:tcBorders/>
            <w:vAlign w:val="center"/>
          </w:tcPr>
          <w:p>
            <w:pPr>
              <w:pStyle w:val="TableContents"/>
              <w:bidi w:val="0"/>
              <w:spacing w:before="0" w:after="0"/>
              <w:jc w:val="left"/>
              <w:rPr>
                <w:color w:val="000000"/>
              </w:rPr>
            </w:pPr>
            <w:r>
              <w:rPr>
                <w:color w:val="000000"/>
              </w:rPr>
              <w:t>The following materials from ADMA Biologics, Inc.’s Form 10-Q for the quarter ended March 31, 2024, formatted in Extensible Business Reporting Language (XBRL): (i) Condensed Consolidated Balance Sheets as of March 31, 2024 (Unaudited) and December 31, 2023, (ii) Condensed Consolidated Statements of Operations (Unaudited) for the three months ended March 31, 2024 and 2023, (iii) Condensed Consolidated Statements of Changes in Stockholders’ Equity (Unaudited) for the three months ended March 31, 2024 and 2023, (iv) Condensed Consolidated Statements of Cash Flows (Unaudited) for the three months ended March 31, 2024 and 2023, and (v) Notes to (Unaudited) Condensed Consolidated Financial Statements.</w:t>
            </w:r>
          </w:p>
        </w:tc>
      </w:tr>
      <w:tr>
        <w:trPr/>
        <w:tc>
          <w:tcPr>
            <w:tcW w:w="885" w:type="dxa"/>
            <w:tcBorders/>
            <w:shd w:fill="CCEEFF" w:val="clear"/>
            <w:vAlign w:val="center"/>
          </w:tcPr>
          <w:p>
            <w:pPr>
              <w:pStyle w:val="TableContents"/>
              <w:bidi w:val="0"/>
              <w:spacing w:before="0" w:after="0"/>
              <w:jc w:val="left"/>
              <w:rPr/>
            </w:pPr>
            <w:r>
              <w:rPr/>
              <w:t>104</w:t>
            </w:r>
          </w:p>
        </w:tc>
        <w:tc>
          <w:tcPr>
            <w:tcW w:w="9320" w:type="dxa"/>
            <w:tcBorders/>
            <w:shd w:fill="CCEEFF" w:val="cle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Filed herewith.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In accordance with SEC Release 33-8238, Exhibit 32.1 is being furnished and not filed.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64</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30" w:name="ef20026261_ex31-1.htm"/>
      <w:bookmarkStart w:id="31" w:name="ksef20026261_ex311"/>
      <w:bookmarkStart w:id="32" w:name="ef20026261_ex31-1.htm"/>
      <w:bookmarkStart w:id="33" w:name="ksef20026261_ex311"/>
      <w:bookmarkEnd w:id="32"/>
      <w:bookmarkEnd w:id="33"/>
      <w:r>
        <w:br w:type="page"/>
      </w:r>
    </w:p>
    <w:p>
      <w:pPr>
        <w:pStyle w:val="TextBody"/>
        <w:bidi w:val="0"/>
        <w:spacing w:before="0" w:after="0"/>
        <w:ind w:left="0" w:right="0" w:firstLine="72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PRINCIPAL EXECUTIVE AND FINANCIAL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Adam S. Grossman, certify that:</w:t>
      </w:r>
    </w:p>
    <w:p>
      <w:pPr>
        <w:pStyle w:val="TextBody"/>
        <w:bidi w:val="0"/>
        <w:spacing w:before="0" w:after="0"/>
        <w:jc w:val="left"/>
        <w:rPr>
          <w:color w:val="000000"/>
        </w:rPr>
      </w:pPr>
      <w:r>
        <w:rPr>
          <w:color w:val="000000"/>
        </w:rPr>
        <w:t> </w:t>
      </w:r>
    </w:p>
    <w:tbl>
      <w:tblPr>
        <w:tblW w:w="7833" w:type="dxa"/>
        <w:jc w:val="left"/>
        <w:tblInd w:w="0" w:type="dxa"/>
        <w:tblLayout w:type="fixed"/>
        <w:tblCellMar>
          <w:top w:w="0" w:type="dxa"/>
          <w:left w:w="0" w:type="dxa"/>
          <w:bottom w:w="0" w:type="dxa"/>
          <w:right w:w="0" w:type="dxa"/>
        </w:tblCellMar>
      </w:tblPr>
      <w:tblGrid>
        <w:gridCol w:w="38"/>
        <w:gridCol w:w="200"/>
        <w:gridCol w:w="759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7595" w:type="dxa"/>
            <w:tcBorders/>
            <w:vAlign w:val="center"/>
          </w:tcPr>
          <w:p>
            <w:pPr>
              <w:pStyle w:val="TableContents"/>
              <w:bidi w:val="0"/>
              <w:spacing w:before="0" w:after="0"/>
              <w:jc w:val="both"/>
              <w:rPr/>
            </w:pPr>
            <w:r>
              <w:rPr/>
              <w:t>I have reviewed this Quarterly Report on Form 10-Q of ADMA Biologics, Inc.;</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0"/>
              <w:jc w:val="both"/>
              <w:rPr/>
            </w:pPr>
            <w:r>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t>5.</w:t>
            </w:r>
          </w:p>
        </w:tc>
        <w:tc>
          <w:tcPr>
            <w:tcW w:w="10002" w:type="dxa"/>
            <w:tcBorders/>
            <w:vAlign w:val="center"/>
          </w:tcPr>
          <w:p>
            <w:pPr>
              <w:pStyle w:val="TableContents"/>
              <w:bidi w:val="0"/>
              <w:spacing w:before="0" w:after="0"/>
              <w:jc w:val="both"/>
              <w:rPr/>
            </w:pPr>
            <w:r>
              <w:rPr/>
              <w:t>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pPr>
            <w:r>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tbl>
      <w:tblPr>
        <w:tblW w:w="6930" w:type="dxa"/>
        <w:jc w:val="left"/>
        <w:tblInd w:w="0" w:type="dxa"/>
        <w:tblLayout w:type="fixed"/>
        <w:tblCellMar>
          <w:top w:w="0" w:type="dxa"/>
          <w:left w:w="0" w:type="dxa"/>
          <w:bottom w:w="0" w:type="dxa"/>
          <w:right w:w="0" w:type="dxa"/>
        </w:tblCellMar>
      </w:tblPr>
      <w:tblGrid>
        <w:gridCol w:w="1805"/>
        <w:gridCol w:w="650"/>
        <w:gridCol w:w="4475"/>
      </w:tblGrid>
      <w:tr>
        <w:trPr/>
        <w:tc>
          <w:tcPr>
            <w:tcW w:w="1805" w:type="dxa"/>
            <w:tcBorders/>
            <w:vAlign w:val="center"/>
          </w:tcPr>
          <w:p>
            <w:pPr>
              <w:pStyle w:val="TableContents"/>
              <w:bidi w:val="0"/>
              <w:spacing w:before="0" w:after="0"/>
              <w:jc w:val="left"/>
              <w:rPr/>
            </w:pPr>
            <w:r>
              <w:rPr/>
              <w:t>Date: May 9, 2024</w:t>
            </w:r>
          </w:p>
        </w:tc>
        <w:tc>
          <w:tcPr>
            <w:tcW w:w="650" w:type="dxa"/>
            <w:tcBorders/>
            <w:vAlign w:val="center"/>
          </w:tcPr>
          <w:p>
            <w:pPr>
              <w:pStyle w:val="TableContents"/>
              <w:bidi w:val="0"/>
              <w:spacing w:before="0" w:after="0"/>
              <w:jc w:val="left"/>
              <w:rPr/>
            </w:pPr>
            <w:r>
              <w:rPr/>
              <w:t>By:</w:t>
            </w:r>
          </w:p>
        </w:tc>
        <w:tc>
          <w:tcPr>
            <w:tcW w:w="4475" w:type="dxa"/>
            <w:tcBorders>
              <w:bottom w:val="single" w:sz="12" w:space="0" w:color="000000"/>
            </w:tcBorders>
            <w:tcMar>
              <w:bottom w:w="28" w:type="dxa"/>
            </w:tcMar>
            <w:vAlign w:val="center"/>
          </w:tcPr>
          <w:p>
            <w:pPr>
              <w:pStyle w:val="TableContents"/>
              <w:bidi w:val="0"/>
              <w:spacing w:before="0" w:after="0"/>
              <w:jc w:val="left"/>
              <w:rPr/>
            </w:pPr>
            <w:r>
              <w:rPr/>
              <w:t>/s/ Adam S. Grossman</w:t>
            </w:r>
          </w:p>
        </w:tc>
      </w:tr>
      <w:tr>
        <w:trPr/>
        <w:tc>
          <w:tcPr>
            <w:tcW w:w="18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4475" w:type="dxa"/>
            <w:tcBorders/>
            <w:vAlign w:val="center"/>
          </w:tcPr>
          <w:p>
            <w:pPr>
              <w:pStyle w:val="TableContents"/>
              <w:bidi w:val="0"/>
              <w:spacing w:before="0" w:after="0"/>
              <w:jc w:val="left"/>
              <w:rPr/>
            </w:pPr>
            <w:r>
              <w:rPr/>
              <w:t>Adam S. Grossman</w:t>
            </w:r>
          </w:p>
        </w:tc>
      </w:tr>
      <w:tr>
        <w:trPr/>
        <w:tc>
          <w:tcPr>
            <w:tcW w:w="180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pPr>
            <w:r>
              <w:rPr/>
              <w:t>Title:</w:t>
            </w:r>
          </w:p>
        </w:tc>
        <w:tc>
          <w:tcPr>
            <w:tcW w:w="4475" w:type="dxa"/>
            <w:tcBorders/>
            <w:vAlign w:val="center"/>
          </w:tcPr>
          <w:p>
            <w:pPr>
              <w:pStyle w:val="TableContents"/>
              <w:bidi w:val="0"/>
              <w:spacing w:before="0" w:after="0"/>
              <w:jc w:val="left"/>
              <w:rPr/>
            </w:pPr>
            <w:r>
              <w:rPr/>
              <w:t xml:space="preserve">President, Chief Executive Officer and Interim </w:t>
            </w:r>
          </w:p>
          <w:p>
            <w:pPr>
              <w:pStyle w:val="TableContents"/>
              <w:bidi w:val="0"/>
              <w:spacing w:before="0" w:after="0"/>
              <w:jc w:val="left"/>
              <w:rPr/>
            </w:pPr>
            <w:r>
              <w:rPr/>
              <w:t>Chief Financial Officer</w:t>
            </w:r>
          </w:p>
        </w:tc>
      </w:tr>
      <w:tr>
        <w:trPr/>
        <w:tc>
          <w:tcPr>
            <w:tcW w:w="18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(Principal Executive and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4" w:name="ef20026261_ex32-1.htm"/>
      <w:bookmarkStart w:id="35" w:name="ksef20026261_ex321"/>
      <w:bookmarkStart w:id="36" w:name="ef20026261_ex32-1.htm"/>
      <w:bookmarkStart w:id="37" w:name="ksef20026261_ex321"/>
      <w:bookmarkEnd w:id="36"/>
      <w:bookmarkEnd w:id="37"/>
      <w:r>
        <w:br w:type="page"/>
      </w:r>
    </w:p>
    <w:p>
      <w:pPr>
        <w:pStyle w:val="TextBody"/>
        <w:bidi w:val="0"/>
        <w:spacing w:before="0" w:after="0"/>
        <w:ind w:left="0" w:right="0" w:firstLine="72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PRINCIPAL EXECUTIVE AND FINANCIAL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Quarterly Report of ADMA Biologics, Inc., a Delaware corporation (the “Company”), on Form 10-Q for the quarter ended March 31, 2024, as filed with the Securities and Exchange Commission on the date hereof (the “Report”), I, Adam S. Grossman, President, Chief Executive Officer and Interim Chief Financial Officer of the Company, hereby certify, pursuant to 18 U.S.C. § 1350, as adopted pursuant to Section 906 of the Sarbanes-Oxley Act of 2002, that to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0"/>
              <w:jc w:val="left"/>
              <w:rPr/>
            </w:pPr>
            <w:r>
              <w:rPr/>
              <w:t>The Report fully complies with the requirements of Section 13(a) or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960" w:type="dxa"/>
        <w:jc w:val="left"/>
        <w:tblInd w:w="0" w:type="dxa"/>
        <w:tblLayout w:type="fixed"/>
        <w:tblCellMar>
          <w:top w:w="0" w:type="dxa"/>
          <w:left w:w="0" w:type="dxa"/>
          <w:bottom w:w="0" w:type="dxa"/>
          <w:right w:w="0" w:type="dxa"/>
        </w:tblCellMar>
      </w:tblPr>
      <w:tblGrid>
        <w:gridCol w:w="1820"/>
        <w:gridCol w:w="650"/>
        <w:gridCol w:w="4490"/>
      </w:tblGrid>
      <w:tr>
        <w:trPr/>
        <w:tc>
          <w:tcPr>
            <w:tcW w:w="1820" w:type="dxa"/>
            <w:tcBorders/>
            <w:vAlign w:val="center"/>
          </w:tcPr>
          <w:p>
            <w:pPr>
              <w:pStyle w:val="TableContents"/>
              <w:bidi w:val="0"/>
              <w:spacing w:before="0" w:after="0"/>
              <w:jc w:val="left"/>
              <w:rPr/>
            </w:pPr>
            <w:r>
              <w:rPr/>
              <w:t>Date: May 9, 2024</w:t>
            </w:r>
          </w:p>
        </w:tc>
        <w:tc>
          <w:tcPr>
            <w:tcW w:w="650" w:type="dxa"/>
            <w:tcBorders/>
            <w:vAlign w:val="center"/>
          </w:tcPr>
          <w:p>
            <w:pPr>
              <w:pStyle w:val="TableContents"/>
              <w:bidi w:val="0"/>
              <w:spacing w:before="0" w:after="0"/>
              <w:jc w:val="left"/>
              <w:rPr/>
            </w:pPr>
            <w:r>
              <w:rPr/>
              <w:t>By:</w:t>
            </w:r>
          </w:p>
        </w:tc>
        <w:tc>
          <w:tcPr>
            <w:tcW w:w="4490" w:type="dxa"/>
            <w:tcBorders>
              <w:bottom w:val="single" w:sz="12" w:space="0" w:color="000000"/>
            </w:tcBorders>
            <w:tcMar>
              <w:bottom w:w="28" w:type="dxa"/>
            </w:tcMar>
            <w:vAlign w:val="center"/>
          </w:tcPr>
          <w:p>
            <w:pPr>
              <w:pStyle w:val="TableContents"/>
              <w:bidi w:val="0"/>
              <w:spacing w:before="0" w:after="0"/>
              <w:jc w:val="left"/>
              <w:rPr/>
            </w:pPr>
            <w:r>
              <w:rPr/>
              <w:t>/s/ Adam S. Grossman</w:t>
            </w:r>
          </w:p>
        </w:tc>
      </w:tr>
      <w:tr>
        <w:trPr/>
        <w:tc>
          <w:tcPr>
            <w:tcW w:w="18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4490" w:type="dxa"/>
            <w:tcBorders/>
            <w:vAlign w:val="center"/>
          </w:tcPr>
          <w:p>
            <w:pPr>
              <w:pStyle w:val="TableContents"/>
              <w:bidi w:val="0"/>
              <w:spacing w:before="0" w:after="0"/>
              <w:jc w:val="left"/>
              <w:rPr/>
            </w:pPr>
            <w:r>
              <w:rPr/>
              <w:t>Adam S. Grossman</w:t>
            </w:r>
          </w:p>
        </w:tc>
      </w:tr>
      <w:tr>
        <w:trPr/>
        <w:tc>
          <w:tcPr>
            <w:tcW w:w="18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4490" w:type="dxa"/>
            <w:tcBorders/>
            <w:vAlign w:val="center"/>
          </w:tcPr>
          <w:p>
            <w:pPr>
              <w:pStyle w:val="TableContents"/>
              <w:bidi w:val="0"/>
              <w:spacing w:before="0" w:after="0"/>
              <w:jc w:val="left"/>
              <w:rPr/>
            </w:pPr>
            <w:r>
              <w:rPr/>
              <w:t xml:space="preserve">President, Chief Executive Officer and Interim </w:t>
            </w:r>
          </w:p>
          <w:p>
            <w:pPr>
              <w:pStyle w:val="TableContents"/>
              <w:bidi w:val="0"/>
              <w:spacing w:before="0" w:after="0"/>
              <w:jc w:val="left"/>
              <w:rPr/>
            </w:pPr>
            <w:r>
              <w:rPr/>
              <w:t>Chief Financial Officer</w:t>
            </w:r>
          </w:p>
        </w:tc>
      </w:tr>
      <w:tr>
        <w:trPr/>
        <w:tc>
          <w:tcPr>
            <w:tcW w:w="18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(Principal Executive and Financial Officer)</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514/000114036124010100/ef20022642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41692</Words>
  <Characters>232115</Characters>
  <CharactersWithSpaces>274427</CharactersWithSpaces>
  <Paragraphs>4510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