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460" w:right="2120" w:hanging="452"/>
        <w:spacing w:after="0" w:line="49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460" w:right="2100" w:hanging="452"/>
        <w:spacing w:after="0" w:line="49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001-36728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30480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40" w:type="dxa"/>
            <w:vAlign w:val="bottom"/>
            <w:gridSpan w:val="4"/>
          </w:tcPr>
          <w:p>
            <w:pPr>
              <w:jc w:val="right"/>
              <w:ind w:right="1630"/>
              <w:spacing w:after="0"/>
              <w:rPr>
                <w:sz w:val="20"/>
                <w:szCs w:val="20"/>
                <w:color w:val="auto"/>
              </w:rPr>
            </w:pPr>
            <w:r>
              <w:rPr>
                <w:rFonts w:ascii="Arial" w:cs="Arial" w:eastAsia="Arial" w:hAnsi="Arial"/>
                <w:sz w:val="18"/>
                <w:szCs w:val="18"/>
                <w:b w:val="1"/>
                <w:bCs w:val="1"/>
                <w:color w:val="auto"/>
              </w:rPr>
              <w:t>56-2590442</w:t>
            </w:r>
          </w:p>
        </w:tc>
      </w:tr>
      <w:tr>
        <w:trPr>
          <w:trHeight w:val="195"/>
        </w:trPr>
        <w:tc>
          <w:tcPr>
            <w:tcW w:w="420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91"/>
              </w:rPr>
              <w:t>(State or Other Jurisdiction of</w:t>
            </w:r>
          </w:p>
        </w:tc>
        <w:tc>
          <w:tcPr>
            <w:tcW w:w="1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200" w:type="dxa"/>
            <w:vAlign w:val="bottom"/>
          </w:tcPr>
          <w:p>
            <w:pPr>
              <w:jc w:val="center"/>
              <w:ind w:left="10"/>
              <w:spacing w:after="0"/>
              <w:rPr>
                <w:sz w:val="20"/>
                <w:szCs w:val="20"/>
                <w:color w:val="auto"/>
              </w:rPr>
            </w:pPr>
            <w:r>
              <w:rPr>
                <w:rFonts w:ascii="Arial" w:cs="Arial" w:eastAsia="Arial" w:hAnsi="Arial"/>
                <w:sz w:val="18"/>
                <w:szCs w:val="18"/>
                <w:color w:val="auto"/>
                <w:w w:val="92"/>
              </w:rPr>
              <w:t>Incorporation or Organization)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340" w:type="dxa"/>
            <w:vAlign w:val="bottom"/>
            <w:gridSpan w:val="4"/>
          </w:tcPr>
          <w:p>
            <w:pPr>
              <w:jc w:val="right"/>
              <w:ind w:right="1830"/>
              <w:spacing w:after="0"/>
              <w:rPr>
                <w:sz w:val="20"/>
                <w:szCs w:val="20"/>
                <w:color w:val="auto"/>
              </w:rPr>
            </w:pPr>
            <w:r>
              <w:rPr>
                <w:rFonts w:ascii="Arial" w:cs="Arial" w:eastAsia="Arial" w:hAnsi="Arial"/>
                <w:sz w:val="18"/>
                <w:szCs w:val="18"/>
                <w:b w:val="1"/>
                <w:bCs w:val="1"/>
                <w:color w:val="auto"/>
              </w:rPr>
              <w:t>07446</w:t>
            </w:r>
          </w:p>
        </w:tc>
      </w:tr>
      <w:tr>
        <w:trPr>
          <w:trHeight w:val="224"/>
        </w:trPr>
        <w:tc>
          <w:tcPr>
            <w:tcW w:w="42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77"/>
        </w:trPr>
        <w:tc>
          <w:tcPr>
            <w:tcW w:w="420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(201) 478-5552</w:t>
            </w:r>
          </w:p>
        </w:tc>
        <w:tc>
          <w:tcPr>
            <w:tcW w:w="422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Preferred Share Purchase Right</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right="4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firstLine="60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tabs>
          <w:tab w:leader="none" w:pos="894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May 7, 2021, there were 128,189,628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ectPr>
          <w:pgSz w:w="11900" w:h="16838" w:orient="portrait"/>
          <w:cols w:equalWidth="0" w:num="1">
            <w:col w:w="11240"/>
          </w:cols>
          <w:pgMar w:left="320" w:top="67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20" w:type="dxa"/>
            <w:vAlign w:val="bottom"/>
            <w:gridSpan w:val="9"/>
          </w:tcPr>
          <w:p>
            <w:pPr>
              <w:ind w:left="2000"/>
              <w:spacing w:after="0"/>
              <w:rPr>
                <w:sz w:val="20"/>
                <w:szCs w:val="20"/>
                <w:color w:val="auto"/>
              </w:rPr>
            </w:pPr>
            <w:r>
              <w:rPr>
                <w:rFonts w:ascii="Arial" w:cs="Arial" w:eastAsia="Arial" w:hAnsi="Arial"/>
                <w:sz w:val="18"/>
                <w:szCs w:val="18"/>
                <w:b w:val="1"/>
                <w:bCs w:val="1"/>
                <w:color w:val="auto"/>
              </w:rPr>
              <w:t>INDEX</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36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(Unaudited) and December 31, 2020</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Operations (Unaudited) for the Three Months Ended March 31, 2021 and 2020</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7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(Unaudited) for the Three Months Ended March</w:t>
              </w:r>
            </w:hyperlink>
          </w:p>
        </w:tc>
        <w:tc>
          <w:tcPr>
            <w:tcW w:w="5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8"/>
        </w:trPr>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540" w:type="dxa"/>
            <w:vAlign w:val="bottom"/>
            <w:gridSpan w:val="20"/>
            <w:vMerge w:val="restart"/>
            <w:shd w:val="clear" w:color="auto" w:fill="CCEEFF"/>
          </w:tcPr>
          <w:p>
            <w:pPr>
              <w:ind w:left="2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2021 and 2020</w:t>
              </w:r>
            </w:hyperlink>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540" w:type="dxa"/>
            <w:vAlign w:val="bottom"/>
            <w:gridSpan w:val="20"/>
            <w:vMerge w:val="continue"/>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Cash Flows (Unaudited) for the Three Months Ended March 31, 2021 and 2020</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80" w:type="dxa"/>
            <w:vAlign w:val="bottom"/>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4</w:t>
              </w:r>
            </w:hyperlink>
          </w:p>
        </w:tc>
        <w:tc>
          <w:tcPr>
            <w:tcW w:w="34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34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360" w:type="dxa"/>
            <w:vAlign w:val="bottom"/>
            <w:gridSpan w:val="2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9540" w:type="dxa"/>
            <w:vAlign w:val="bottom"/>
            <w:gridSpan w:val="20"/>
            <w:shd w:val="clear" w:color="auto" w:fill="CCEEFF"/>
          </w:tcPr>
          <w:p>
            <w:pPr>
              <w:ind w:left="2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360" w:type="dxa"/>
            <w:vAlign w:val="bottom"/>
            <w:gridSpan w:val="2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88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which are protected under applicable intellectual property laws and are the property of ADMA Biologics, Inc., or its subsidiaries. Solely for</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00" w:right="1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900" w:right="6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900" w:right="36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we have addressed the delays experienced with final drug product Good Manufacturing Practices (“GMP”) release testing by</w:t>
      </w:r>
    </w:p>
    <w:p>
      <w:pPr>
        <w:sectPr>
          <w:pgSz w:w="11900" w:h="16838" w:orient="portrait"/>
          <w:cols w:equalWidth="0" w:num="1">
            <w:col w:w="11240"/>
          </w:cols>
          <w:pgMar w:left="320" w:top="121" w:right="339" w:bottom="0" w:gutter="0" w:footer="0" w:header="0"/>
        </w:sectPr>
      </w:pPr>
    </w:p>
    <w:bookmarkStart w:id="2" w:name="page3"/>
    <w:bookmarkEnd w:id="2"/>
    <w:p>
      <w:pPr>
        <w:ind w:left="900"/>
        <w:spacing w:after="0" w:line="277" w:lineRule="auto"/>
        <w:rPr>
          <w:sz w:val="20"/>
          <w:szCs w:val="20"/>
          <w:color w:val="auto"/>
        </w:rPr>
      </w:pPr>
      <w:r>
        <w:rPr>
          <w:rFonts w:ascii="Arial" w:cs="Arial" w:eastAsia="Arial" w:hAnsi="Arial"/>
          <w:sz w:val="18"/>
          <w:szCs w:val="18"/>
          <w:color w:val="auto"/>
        </w:rPr>
        <w:t>our third-party vendors by adding additional release testing laboratories to our FDA-approved consortium listed in our drug approval documents;</w:t>
      </w:r>
    </w:p>
    <w:p>
      <w:pPr>
        <w:spacing w:after="0" w:line="170" w:lineRule="exact"/>
        <w:rPr>
          <w:sz w:val="20"/>
          <w:szCs w:val="20"/>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900" w:right="5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on third-party supply agreements as well as any extensions to such agreements;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900" w:right="18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900" w:right="24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right="4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900" w:right="70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the need for and availability of additional financing;</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900" w:right="56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900" w:right="480" w:hanging="447"/>
        <w:spacing w:after="0" w:line="34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23" w:lineRule="exact"/>
        <w:rPr>
          <w:rFonts w:ascii="Arial" w:cs="Arial" w:eastAsia="Arial" w:hAnsi="Arial"/>
          <w:sz w:val="16"/>
          <w:szCs w:val="16"/>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firstLine="607"/>
        <w:spacing w:after="0" w:line="288" w:lineRule="auto"/>
        <w:rPr>
          <w:sz w:val="20"/>
          <w:szCs w:val="20"/>
          <w:color w:val="auto"/>
        </w:rPr>
      </w:pPr>
      <w:r>
        <w:rPr>
          <w:rFonts w:ascii="Arial" w:cs="Arial" w:eastAsia="Arial" w:hAnsi="Arial"/>
          <w:sz w:val="16"/>
          <w:szCs w:val="16"/>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2020 and in this Quarterly Report on Form 10-Q for the quarter ended March 31, 2021.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00" w:type="dxa"/>
            <w:vAlign w:val="bottom"/>
          </w:tcPr>
          <w:p>
            <w:pPr>
              <w:ind w:left="3680"/>
              <w:spacing w:after="0"/>
              <w:rPr>
                <w:sz w:val="20"/>
                <w:szCs w:val="20"/>
                <w:color w:val="auto"/>
              </w:rPr>
            </w:pPr>
            <w:r>
              <w:rPr>
                <w:rFonts w:ascii="Arial" w:cs="Arial" w:eastAsia="Arial" w:hAnsi="Arial"/>
                <w:sz w:val="18"/>
                <w:szCs w:val="18"/>
                <w:b w:val="1"/>
                <w:bCs w:val="1"/>
                <w:color w:val="auto"/>
              </w:rPr>
              <w:t>ADMA BIOLOGICS, INC. AND SUBSIDIARIES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348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61,965,709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55,921,152</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15,362,030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13,237,290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94,146,200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81,535,599</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5,802,608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177,276,547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153,740,507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44,175,613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41,593,090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2,265,283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2,444,121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6,197,295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4,259,191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2,222,781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235,667,028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207,673,394</w:t>
            </w:r>
          </w:p>
        </w:tc>
        <w:tc>
          <w:tcPr>
            <w:tcW w:w="0" w:type="dxa"/>
            <w:vAlign w:val="bottom"/>
          </w:tcPr>
          <w:p>
            <w:pPr>
              <w:spacing w:after="0"/>
              <w:rPr>
                <w:sz w:val="1"/>
                <w:szCs w:val="1"/>
                <w:color w:val="auto"/>
              </w:rPr>
            </w:pPr>
          </w:p>
        </w:tc>
      </w:tr>
      <w:tr>
        <w:trPr>
          <w:trHeight w:val="197"/>
        </w:trPr>
        <w:tc>
          <w:tcPr>
            <w:tcW w:w="87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12,152,852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11,073,708</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8,592,142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8,365,143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21,205,738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19,947,367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93,412,660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92,968,866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2,082,990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2,118,698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6,419,589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4,334,151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123,162,942</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119,423,968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w w:val="95"/>
              </w:rPr>
              <w:t>Common Stock - voting, $0.0001 par value, 150,000,000 shares authorized, 123,044,981 and 104,902,888 shares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12,304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471,336,826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428,704,039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(358,845,044)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(340,465,103)</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112,504,086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235,667,028</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207,673,394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ADMA BIOLOGICS, INC.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425"/>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16,012,910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10,164,036</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License revenue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35,708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35,708</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16,048,618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10,199,744</w:t>
            </w:r>
          </w:p>
        </w:tc>
      </w:tr>
      <w:tr>
        <w:trPr>
          <w:trHeight w:val="209"/>
        </w:trPr>
        <w:tc>
          <w:tcPr>
            <w:tcW w:w="1280" w:type="dxa"/>
            <w:vAlign w:val="bottom"/>
            <w:tcBorders>
              <w:top w:val="single" w:sz="8" w:color="CCEEFF"/>
            </w:tcBorders>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17,770,122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16,829,226</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987,649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1,528,738</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Plasma center operating expenses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2,242,343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500,644</w:t>
            </w:r>
          </w:p>
        </w:tc>
      </w:tr>
      <w:tr>
        <w:trPr>
          <w:trHeight w:val="216"/>
        </w:trPr>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178,838</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10,033,915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7,932,084</w:t>
            </w:r>
          </w:p>
        </w:tc>
      </w:tr>
      <w:tr>
        <w:trPr>
          <w:trHeight w:val="97"/>
        </w:trPr>
        <w:tc>
          <w:tcPr>
            <w:tcW w:w="1280" w:type="dxa"/>
            <w:vAlign w:val="bottom"/>
            <w:shd w:val="clear" w:color="auto" w:fill="CCEEFF"/>
          </w:tcPr>
          <w:p>
            <w:pPr>
              <w:spacing w:after="0"/>
              <w:rPr>
                <w:sz w:val="8"/>
                <w:szCs w:val="8"/>
                <w:color w:val="auto"/>
              </w:rPr>
            </w:pPr>
          </w:p>
        </w:tc>
        <w:tc>
          <w:tcPr>
            <w:tcW w:w="7420" w:type="dxa"/>
            <w:vAlign w:val="bottom"/>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121"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31,212,867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26,969,530</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(15,164,249)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(16,769,786)</w:t>
            </w:r>
          </w:p>
        </w:tc>
      </w:tr>
      <w:tr>
        <w:trPr>
          <w:trHeight w:val="210"/>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22,059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248,068</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(3,195,750)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(2,717,091)</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(42,001)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(6,421)</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(3,215,692)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(2,475,444)</w:t>
            </w:r>
          </w:p>
        </w:tc>
      </w:tr>
      <w:tr>
        <w:trPr>
          <w:trHeight w:val="209"/>
        </w:trPr>
        <w:tc>
          <w:tcPr>
            <w:tcW w:w="8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(18,379,941)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r>
      <w:tr>
        <w:trPr>
          <w:trHeight w:val="197"/>
        </w:trPr>
        <w:tc>
          <w:tcPr>
            <w:tcW w:w="8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115,661,937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73,781,507</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Voting</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2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104,902,888</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428,704,039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(340,465,103)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88,249,426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781,397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781,397</w:t>
            </w:r>
          </w:p>
        </w:tc>
        <w:tc>
          <w:tcPr>
            <w:tcW w:w="0" w:type="dxa"/>
            <w:vAlign w:val="bottom"/>
          </w:tcPr>
          <w:p>
            <w:pPr>
              <w:spacing w:after="0"/>
              <w:rPr>
                <w:sz w:val="1"/>
                <w:szCs w:val="1"/>
                <w:color w:val="auto"/>
              </w:rPr>
            </w:pPr>
          </w:p>
        </w:tc>
      </w:tr>
      <w:tr>
        <w:trPr>
          <w:trHeight w:val="202"/>
        </w:trPr>
        <w:tc>
          <w:tcPr>
            <w:tcW w:w="6060" w:type="dxa"/>
            <w:vAlign w:val="bottom"/>
            <w:tcBorders>
              <w:right w:val="single" w:sz="8" w:color="CCEEFF"/>
            </w:tcBorders>
            <w:gridSpan w:val="4"/>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Stock Units, net of shares withheld for</w:t>
            </w: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taxes and retired</w:t>
            </w:r>
          </w:p>
        </w:tc>
        <w:tc>
          <w:tcPr>
            <w:tcW w:w="2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61,385</w:t>
            </w:r>
          </w:p>
        </w:tc>
        <w:tc>
          <w:tcPr>
            <w:tcW w:w="2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1"/>
              </w:rPr>
              <w:t>Issuance of common stock, net of offering expenses</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18,080,708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41,910,707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41,912,515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(18,379,941)</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Balance As At March 31, 2021</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123,044,981</w:t>
            </w:r>
          </w:p>
        </w:tc>
        <w:tc>
          <w:tcPr>
            <w:tcW w:w="200" w:type="dxa"/>
            <w:vAlign w:val="bottom"/>
          </w:tcPr>
          <w:p>
            <w:pPr>
              <w:spacing w:after="0"/>
              <w:rPr>
                <w:sz w:val="18"/>
                <w:szCs w:val="18"/>
                <w:color w:val="auto"/>
              </w:rPr>
            </w:pPr>
          </w:p>
        </w:tc>
        <w:tc>
          <w:tcPr>
            <w:tcW w:w="20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471,336,826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(358,845,044)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112,504,086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3660" w:type="dxa"/>
            <w:vAlign w:val="bottom"/>
            <w:gridSpan w:val="7"/>
          </w:tcPr>
          <w:p>
            <w:pPr>
              <w:ind w:left="60"/>
              <w:spacing w:after="0"/>
              <w:rPr>
                <w:sz w:val="20"/>
                <w:szCs w:val="20"/>
                <w:color w:val="auto"/>
              </w:rPr>
            </w:pPr>
            <w:r>
              <w:rPr>
                <w:rFonts w:ascii="Arial" w:cs="Arial" w:eastAsia="Arial" w:hAnsi="Arial"/>
                <w:sz w:val="18"/>
                <w:szCs w:val="18"/>
                <w:b w:val="1"/>
                <w:bCs w:val="1"/>
                <w:color w:val="auto"/>
                <w:w w:val="94"/>
              </w:rPr>
              <w:t>For the Three Months Ended March 31, 2020</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gridSpan w:val="5"/>
            <w:vMerge w:val="restart"/>
          </w:tcPr>
          <w:p>
            <w:pPr>
              <w:jc w:val="right"/>
              <w:ind w:right="8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2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290,903,772</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(264,716,555)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26,193,149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676,548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676,548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of common stock, net of offering expenses</w:t>
            </w:r>
          </w:p>
        </w:tc>
        <w:tc>
          <w:tcPr>
            <w:tcW w:w="2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27,025,000</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88,701,336</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88,704,039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7,177</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(19,245,230)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color w:val="auto"/>
              </w:rPr>
              <w:t>Balance As At March 31, 2020</w:t>
            </w:r>
          </w:p>
        </w:tc>
        <w:tc>
          <w:tcPr>
            <w:tcW w:w="9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86,345,313</w:t>
            </w:r>
          </w:p>
        </w:tc>
        <w:tc>
          <w:tcPr>
            <w:tcW w:w="200" w:type="dxa"/>
            <w:vAlign w:val="bottom"/>
          </w:tcPr>
          <w:p>
            <w:pPr>
              <w:spacing w:after="0"/>
              <w:rPr>
                <w:sz w:val="18"/>
                <w:szCs w:val="18"/>
                <w:color w:val="auto"/>
              </w:rPr>
            </w:pPr>
          </w:p>
        </w:tc>
        <w:tc>
          <w:tcPr>
            <w:tcW w:w="200" w:type="dxa"/>
            <w:vAlign w:val="bottom"/>
          </w:tcPr>
          <w:p>
            <w:pPr>
              <w:jc w:val="right"/>
              <w:ind w:right="78"/>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8,635</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380,288,833</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(283,961,785)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96,335,683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rPr>
              <w:t>ADMA BIOLOGICS, INC.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20" w:type="dxa"/>
            <w:vAlign w:val="bottom"/>
          </w:tcPr>
          <w:p>
            <w:pPr>
              <w:jc w:val="center"/>
              <w:ind w:left="1170"/>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(18,379,941)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c>
          <w:tcPr>
            <w:tcW w:w="0" w:type="dxa"/>
            <w:vAlign w:val="bottom"/>
          </w:tcPr>
          <w:p>
            <w:pPr>
              <w:spacing w:after="0"/>
              <w:rPr>
                <w:sz w:val="1"/>
                <w:szCs w:val="1"/>
                <w:color w:val="auto"/>
              </w:rPr>
            </w:pPr>
          </w:p>
        </w:tc>
      </w:tr>
      <w:tr>
        <w:trPr>
          <w:trHeight w:val="202"/>
        </w:trPr>
        <w:tc>
          <w:tcPr>
            <w:tcW w:w="87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1,229,628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788,838</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13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781,397</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676,548</w:t>
            </w: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5" w:name="page6"/>
    <w:bookmarkEnd w:id="5"/>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443,794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429,711</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Amortization of license revenue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(35,708)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(35,708)</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(2,124,740)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(3,637,915)</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(12,610,601)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775,932</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(2,756,142)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(2,321,751)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(79,532)</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1,079,144</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(22,356)</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(843,043)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(1,930,591)</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(33,413)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(45,882)</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(33,229,126)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(24,646,960)</w:t>
            </w:r>
          </w:p>
        </w:tc>
      </w:tr>
      <w:tr>
        <w:trPr>
          <w:trHeight w:val="209"/>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(2,571,161)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(2,074,876)</w:t>
            </w:r>
          </w:p>
        </w:tc>
      </w:tr>
      <w:tr>
        <w:trPr>
          <w:trHeight w:val="216"/>
        </w:trPr>
        <w:tc>
          <w:tcPr>
            <w:tcW w:w="8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(2,571,161)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(2,072,876)</w:t>
            </w:r>
          </w:p>
        </w:tc>
      </w:tr>
      <w:tr>
        <w:trPr>
          <w:trHeight w:val="209"/>
        </w:trPr>
        <w:tc>
          <w:tcPr>
            <w:tcW w:w="8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offering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41,912,515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88,704,039</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vested Restricted Stock Units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(7,816)</w:t>
            </w:r>
          </w:p>
        </w:tc>
      </w:tr>
      <w:tr>
        <w:trPr>
          <w:trHeight w:val="210"/>
        </w:trPr>
        <w:tc>
          <w:tcPr>
            <w:tcW w:w="87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41,844,844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101,203,400</w:t>
            </w:r>
          </w:p>
        </w:tc>
        <w:tc>
          <w:tcPr>
            <w:tcW w:w="100" w:type="dxa"/>
            <w:vAlign w:val="bottom"/>
            <w:tcBorders>
              <w:top w:val="single" w:sz="8" w:color="CCEEFF"/>
            </w:tcBorders>
          </w:tcPr>
          <w:p>
            <w:pPr>
              <w:spacing w:after="0"/>
              <w:rPr>
                <w:sz w:val="18"/>
                <w:szCs w:val="18"/>
                <w:color w:val="auto"/>
              </w:rPr>
            </w:pPr>
          </w:p>
        </w:tc>
      </w:tr>
      <w:tr>
        <w:trPr>
          <w:trHeight w:val="209"/>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00" w:type="dxa"/>
            <w:vAlign w:val="bottom"/>
          </w:tcPr>
          <w:p>
            <w:pPr>
              <w:jc w:val="right"/>
              <w:spacing w:after="0"/>
              <w:rPr>
                <w:sz w:val="20"/>
                <w:szCs w:val="20"/>
                <w:color w:val="auto"/>
              </w:rPr>
            </w:pPr>
            <w:r>
              <w:rPr>
                <w:rFonts w:ascii="Arial" w:cs="Arial" w:eastAsia="Arial" w:hAnsi="Arial"/>
                <w:sz w:val="18"/>
                <w:szCs w:val="18"/>
                <w:color w:val="auto"/>
              </w:rPr>
              <w:t>6,044,557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74,483,564</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55,921,152</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26,752,135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100" w:type="dxa"/>
            <w:vAlign w:val="bottom"/>
          </w:tcPr>
          <w:p>
            <w:pPr>
              <w:jc w:val="right"/>
              <w:spacing w:after="0"/>
              <w:rPr>
                <w:sz w:val="20"/>
                <w:szCs w:val="20"/>
                <w:color w:val="auto"/>
              </w:rPr>
            </w:pPr>
            <w:r>
              <w:rPr>
                <w:rFonts w:ascii="Arial" w:cs="Arial" w:eastAsia="Arial" w:hAnsi="Arial"/>
                <w:sz w:val="18"/>
                <w:szCs w:val="18"/>
                <w:color w:val="auto"/>
                <w:w w:val="98"/>
              </w:rPr>
              <w:t>$  61,965,709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101,235,699</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40" w:firstLine="607"/>
        <w:spacing w:after="0" w:line="290" w:lineRule="auto"/>
        <w:rPr>
          <w:sz w:val="20"/>
          <w:szCs w:val="20"/>
          <w:color w:val="auto"/>
        </w:rPr>
      </w:pPr>
      <w:r>
        <w:rPr>
          <w:rFonts w:ascii="Arial" w:cs="Arial" w:eastAsia="Arial" w:hAnsi="Arial"/>
          <w:sz w:val="16"/>
          <w:szCs w:val="16"/>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seven plasma collection facilities in various stages of approval and development located throughout the U.S., two of which hold an approved license with the U.S. Food and Drug Administration (the “FDA”) while a third facility’s Biologics License Applications (“BLA”) is pending FDA approval.</w:t>
      </w:r>
    </w:p>
    <w:p>
      <w:pPr>
        <w:spacing w:after="0" w:line="165" w:lineRule="exact"/>
        <w:rPr>
          <w:sz w:val="20"/>
          <w:szCs w:val="20"/>
          <w:color w:val="auto"/>
        </w:rPr>
      </w:pPr>
    </w:p>
    <w:p>
      <w:pPr>
        <w:ind w:right="60" w:firstLine="607"/>
        <w:spacing w:after="0" w:line="288" w:lineRule="auto"/>
        <w:rPr>
          <w:sz w:val="20"/>
          <w:szCs w:val="20"/>
          <w:color w:val="auto"/>
        </w:rPr>
      </w:pPr>
      <w:r>
        <w:rPr>
          <w:rFonts w:ascii="Arial" w:cs="Arial" w:eastAsia="Arial" w:hAnsi="Arial"/>
          <w:sz w:val="16"/>
          <w:szCs w:val="16"/>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40" w:firstLine="607"/>
        <w:spacing w:after="0" w:line="288" w:lineRule="auto"/>
        <w:rPr>
          <w:sz w:val="20"/>
          <w:szCs w:val="20"/>
          <w:color w:val="auto"/>
        </w:rPr>
      </w:pPr>
      <w:r>
        <w:rPr>
          <w:rFonts w:ascii="Arial" w:cs="Arial" w:eastAsia="Arial" w:hAnsi="Arial"/>
          <w:sz w:val="16"/>
          <w:szCs w:val="16"/>
          <w:color w:val="auto"/>
        </w:rPr>
        <w:t>As of March 31, 2021, the Company had working capital of $156.1 million, including $62.0 million of cash and cash equivalents. Based upon the Company’s current projected revenue and expenditures, including capital expenditures and continued implementation of the Company’s commercialization and expansion activities, as well as accessing the available funds under the open market sale agreement for sales of the Company’s common stock as discussed below, the Company’s management currently believes that its cash, cash equivalents, projected revenue and accounts receivable will be sufficient to fund ADMA’s operations, as currently conducted, into the fourth quarter of 2021. In order to have sufficient cash to fund its operations thereafter, the Company anticipates it will need to raise additional capital before the end of the fourth quarter of 2021.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or potentially longer, requiring substantial investments in raw material plasma and other manufacturing materials. The Company currently has no firm</w:t>
      </w:r>
    </w:p>
    <w:p>
      <w:pPr>
        <w:sectPr>
          <w:pgSz w:w="11900" w:h="16924" w:orient="portrait"/>
          <w:cols w:equalWidth="0" w:num="1">
            <w:col w:w="11240"/>
          </w:cols>
          <w:pgMar w:left="320" w:top="140" w:right="339" w:bottom="0" w:gutter="0" w:footer="0" w:header="0"/>
        </w:sectPr>
      </w:pPr>
    </w:p>
    <w:bookmarkStart w:id="6" w:name="page7"/>
    <w:bookmarkEnd w:id="6"/>
    <w:p>
      <w:pPr>
        <w:ind w:right="40"/>
        <w:spacing w:after="0" w:line="263" w:lineRule="auto"/>
        <w:rPr>
          <w:sz w:val="20"/>
          <w:szCs w:val="20"/>
          <w:color w:val="auto"/>
        </w:rPr>
      </w:pPr>
      <w:r>
        <w:rPr>
          <w:rFonts w:ascii="Arial" w:cs="Arial" w:eastAsia="Arial" w:hAnsi="Arial"/>
          <w:sz w:val="18"/>
          <w:szCs w:val="18"/>
          <w:color w:val="auto"/>
        </w:rPr>
        <w:t>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Due to numerous risks and uncertainties associated with FDA review, inspections and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10),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March 31, 2021 of $358.8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months ended March 31, 2021, the Company raised $41.9 million from the open market sale agreement, as amended, (the “Sale Agreement”) with Jefferies LLC (“Jefferies”), pursuant to which the Company could offer and sell, from time to time, at its option, through or to Jefferies, shares of the Company’s common stock (see Note 8). As of March 31, 2021, the remaining gross balance that could be raised under the Sale Agreement was approximately $19.0 million.</w:t>
      </w:r>
    </w:p>
    <w:p>
      <w:pPr>
        <w:spacing w:after="0" w:line="187"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annual audited consolidated financial statements and notes thereto as of and for the year ended December 31, 2020 included in the Company’s Annual Report on Form 10-K filed with the U.S. Securities and Exchange Commission (the “SEC”) on March 25, 2021. The accompanying consolidated balance sheet as of December 31, 2020 was derived from the audited financial statements as of and for the year ended December 31, 2020.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March 31, 2021 and its results of operations, changes in equity and cash flows for the three months ended March 31, 2021.</w:t>
      </w:r>
    </w:p>
    <w:p>
      <w:pPr>
        <w:spacing w:after="0" w:line="18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During the three months ended March 31, 2021 and 2020,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ectPr>
          <w:pgSz w:w="11900" w:h="16838" w:orient="portrait"/>
          <w:cols w:equalWidth="0" w:num="1">
            <w:col w:w="11220"/>
          </w:cols>
          <w:pgMar w:left="320" w:top="125" w:right="35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Use of estimates</w:t>
      </w:r>
    </w:p>
    <w:p>
      <w:pPr>
        <w:sectPr>
          <w:pgSz w:w="11900" w:h="16838" w:orient="portrait"/>
          <w:cols w:equalWidth="0" w:num="1">
            <w:col w:w="11220"/>
          </w:cols>
          <w:pgMar w:left="320" w:top="125" w:right="359" w:bottom="0" w:gutter="0" w:footer="0" w:header="0"/>
          <w:type w:val="continuous"/>
        </w:sectPr>
      </w:pPr>
    </w:p>
    <w:bookmarkStart w:id="7" w:name="page8"/>
    <w:bookmarkEnd w:id="7"/>
    <w:p>
      <w:pPr>
        <w:ind w:right="20" w:firstLine="648"/>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Accounts receivable is reported at realizable value, net of allowances for contractual credits and doubtful accounts, which are recognized in the period the related revenue is recorded. The Company extends credit to its customers based upon an evaluation of each customer's financial condition and credit history. Evaluations of the financial condition and associated credit risk of customers are performed on an ongoing basis. Based on these evaluations, the Company has concluded that its credit risk is minimal. At March 31, 2021, five customers accounted for an aggregate of 90% of the Company’s total accounts receivable, and at December 31, 2020, three customers accounted for approximately 92% of the Company’s total accounts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10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92" w:lineRule="exact"/>
        <w:rPr>
          <w:sz w:val="20"/>
          <w:szCs w:val="20"/>
          <w:color w:val="auto"/>
        </w:rPr>
      </w:pPr>
    </w:p>
    <w:p>
      <w:pPr>
        <w:jc w:val="both"/>
        <w:ind w:firstLine="607"/>
        <w:spacing w:after="0" w:line="290"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March 31, 2021 and December 31, 2020 was $3.5 million. All of the Company’s goodwill is attributable to its ADMA BioManufacturing business segment and is related to a 2017 acquisition transaction.</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2020 did not result in a goodwill impairment charge, and the Company did not record any impairment charges related to goodwill for the three months ended March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2021 and 2020,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Revenues for the three months ended March 31, 2021 and 2020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w:t>
      </w:r>
    </w:p>
    <w:p>
      <w:pPr>
        <w:sectPr>
          <w:pgSz w:w="11900" w:h="16838" w:orient="portrait"/>
          <w:cols w:equalWidth="0" w:num="1">
            <w:col w:w="11240"/>
          </w:cols>
          <w:pgMar w:left="320" w:top="341" w:right="339" w:bottom="0" w:gutter="0" w:footer="0" w:header="0"/>
        </w:sectPr>
      </w:pPr>
    </w:p>
    <w:bookmarkStart w:id="8" w:name="page9"/>
    <w:bookmarkEnd w:id="8"/>
    <w:p>
      <w:pPr>
        <w:ind w:right="100"/>
        <w:spacing w:after="0" w:line="286" w:lineRule="auto"/>
        <w:rPr>
          <w:sz w:val="20"/>
          <w:szCs w:val="20"/>
          <w:color w:val="auto"/>
        </w:rPr>
      </w:pPr>
      <w:r>
        <w:rPr>
          <w:rFonts w:ascii="Arial" w:cs="Arial" w:eastAsia="Arial" w:hAnsi="Arial"/>
          <w:sz w:val="17"/>
          <w:szCs w:val="17"/>
          <w:color w:val="auto"/>
        </w:rPr>
        <w:t>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For the three months ended March 31, 2021, five customers represented an aggregate of 86% of the Company’s consolidated revenues. For the three months ended March 31, 2020, three customers represented an aggregate of82% of the Company’s consolidated revenues.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three months ended March 31, 2021 and 2020, the following securities were excluded from the calculation of diluted loss per common share because of their anti-dilutive effects: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6,753,354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730,994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333,500</w:t>
            </w:r>
          </w:p>
        </w:tc>
      </w:tr>
      <w:tr>
        <w:trPr>
          <w:trHeight w:val="216"/>
        </w:trPr>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2,138,160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9,225,014</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2016 and for previous periods as it relates to the Company’s net operating loss carryforwards.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60" w:firstLine="607"/>
        <w:spacing w:after="0" w:line="293"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March 31, 2021 and December 31, 2020, and during the three months ended March 31, 2021 and 2020, the Company recognized no adjustments for uncertain tax positions.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120" w:firstLine="607"/>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No. 2016-13 on January 1, 2020, and the adoption of this update did not have a significant impact on the Company’s consolidated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520" w:type="dxa"/>
            <w:vAlign w:val="bottom"/>
            <w:gridSpan w:val="2"/>
          </w:tcPr>
          <w:p>
            <w:pPr>
              <w:ind w:left="440"/>
              <w:spacing w:after="0"/>
              <w:rPr>
                <w:sz w:val="20"/>
                <w:szCs w:val="20"/>
                <w:color w:val="auto"/>
              </w:rPr>
            </w:pPr>
            <w:r>
              <w:rPr>
                <w:rFonts w:ascii="Arial" w:cs="Arial" w:eastAsia="Arial" w:hAnsi="Arial"/>
                <w:sz w:val="18"/>
                <w:szCs w:val="18"/>
                <w:color w:val="auto"/>
              </w:rPr>
              <w:t>The following table provides the components of inventories: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38,411,316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32,044,393</w:t>
            </w: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34,560,999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30,293,288</w:t>
            </w:r>
          </w:p>
        </w:tc>
      </w:tr>
      <w:tr>
        <w:trPr>
          <w:trHeight w:val="216"/>
        </w:trPr>
        <w:tc>
          <w:tcPr>
            <w:tcW w:w="8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21,173,885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19,197,918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94,146,200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81,535,599</w:t>
            </w:r>
          </w:p>
        </w:tc>
      </w:tr>
      <w:tr>
        <w:trPr>
          <w:trHeight w:val="20"/>
        </w:trPr>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right="280" w:firstLine="607"/>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Intangible assets at March 31, 2021 and December 31, 2020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6"/>
              </w:rPr>
              <w:t>March 31, 2021</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 and other intangible rights related to Nabi-HB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$ 4,100,046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2,245,263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$ 1,854,783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$ 4,100,046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$ 2,001,213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840" w:type="dxa"/>
            <w:vAlign w:val="bottom"/>
          </w:tcPr>
          <w:p>
            <w:pPr>
              <w:jc w:val="right"/>
              <w:spacing w:after="0"/>
              <w:rPr>
                <w:sz w:val="20"/>
                <w:szCs w:val="20"/>
                <w:color w:val="auto"/>
              </w:rPr>
            </w:pPr>
            <w:r>
              <w:rPr>
                <w:rFonts w:ascii="Arial" w:cs="Arial" w:eastAsia="Arial" w:hAnsi="Arial"/>
                <w:sz w:val="18"/>
                <w:szCs w:val="18"/>
                <w:color w:val="auto"/>
              </w:rPr>
              <w:t>907,421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496,921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410,500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464,513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442,908</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$ 6,084,024</w:t>
            </w:r>
          </w:p>
        </w:tc>
        <w:tc>
          <w:tcPr>
            <w:tcW w:w="10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3,818,741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$ 2,265,283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$ 6,084,024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3,639,903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$ 2,444,121</w:t>
            </w:r>
          </w:p>
        </w:tc>
      </w:tr>
      <w:tr>
        <w:trPr>
          <w:trHeight w:val="20"/>
        </w:trPr>
        <w:tc>
          <w:tcPr>
            <w:tcW w:w="4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07"/>
        <w:spacing w:after="0" w:line="342" w:lineRule="auto"/>
        <w:rPr>
          <w:sz w:val="20"/>
          <w:szCs w:val="20"/>
          <w:color w:val="auto"/>
        </w:rPr>
      </w:pPr>
      <w:r>
        <w:rPr>
          <w:rFonts w:ascii="Arial" w:cs="Arial" w:eastAsia="Arial" w:hAnsi="Arial"/>
          <w:sz w:val="16"/>
          <w:szCs w:val="16"/>
          <w:color w:val="auto"/>
        </w:rPr>
        <w:t>All of the Company’s intangible assets were acquired in the Biotest Transaction. Amortization expense related to these intangible assets for the three months ended March 31, 2021 and 2020 was $0.2 million. Estimated aggregate future aggregate amortization expense is expected to be as follows:</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536,514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7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2024</w:t>
            </w:r>
          </w:p>
        </w:tc>
        <w:tc>
          <w:tcPr>
            <w:tcW w:w="3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298,065</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gridSpan w:val="3"/>
          </w:tcPr>
          <w:p>
            <w:pPr>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2"/>
        </w:trPr>
        <w:tc>
          <w:tcPr>
            <w:tcW w:w="870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rPr>
              <w:t>Manufacturing and laboratory equipment</w:t>
            </w:r>
          </w:p>
        </w:tc>
        <w:tc>
          <w:tcPr>
            <w:tcW w:w="132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8"/>
                <w:szCs w:val="18"/>
                <w:color w:val="auto"/>
                <w:w w:val="98"/>
              </w:rPr>
              <w:t>$  14,774,354</w:t>
            </w:r>
          </w:p>
        </w:tc>
        <w:tc>
          <w:tcPr>
            <w:tcW w:w="12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w w:val="99"/>
              </w:rPr>
              <w:t>$  14,468,874</w:t>
            </w:r>
          </w:p>
        </w:tc>
      </w:tr>
    </w:tbl>
    <w:p>
      <w:pPr>
        <w:sectPr>
          <w:pgSz w:w="11900" w:h="16900" w:orient="portrait"/>
          <w:cols w:equalWidth="0" w:num="1">
            <w:col w:w="11240"/>
          </w:cols>
          <w:pgMar w:left="320" w:top="337"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Office equipment and computer software</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3,456,610</w:t>
            </w: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3,253,528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2,057,257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2,039,398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100" w:type="dxa"/>
            <w:vAlign w:val="bottom"/>
          </w:tcPr>
          <w:p>
            <w:pPr>
              <w:jc w:val="right"/>
              <w:spacing w:after="0"/>
              <w:rPr>
                <w:sz w:val="20"/>
                <w:szCs w:val="20"/>
                <w:color w:val="auto"/>
              </w:rPr>
            </w:pPr>
            <w:r>
              <w:rPr>
                <w:rFonts w:ascii="Arial" w:cs="Arial" w:eastAsia="Arial" w:hAnsi="Arial"/>
                <w:sz w:val="18"/>
                <w:szCs w:val="18"/>
                <w:color w:val="auto"/>
              </w:rPr>
              <w:t>5,932,680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3,336,557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5,272,008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5,272,490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Land</w:t>
            </w:r>
          </w:p>
        </w:tc>
        <w:tc>
          <w:tcPr>
            <w:tcW w:w="1100" w:type="dxa"/>
            <w:vAlign w:val="bottom"/>
          </w:tcPr>
          <w:p>
            <w:pPr>
              <w:jc w:val="right"/>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18,247,277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17,746,744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54,079,627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50,457,032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(9,904,014)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(8,863,942)</w:t>
            </w: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44,175,613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41,593,090</w:t>
            </w:r>
          </w:p>
        </w:tc>
        <w:tc>
          <w:tcPr>
            <w:tcW w:w="100" w:type="dxa"/>
            <w:vAlign w:val="bottom"/>
            <w:tcBorders>
              <w:top w:val="single" w:sz="8" w:color="CCEEFF"/>
            </w:tcBorders>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07"/>
        <w:spacing w:after="0" w:line="311"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ind w:right="80" w:firstLine="607"/>
        <w:spacing w:after="0" w:line="277" w:lineRule="auto"/>
        <w:rPr>
          <w:sz w:val="20"/>
          <w:szCs w:val="20"/>
          <w:color w:val="auto"/>
        </w:rPr>
      </w:pPr>
      <w:r>
        <w:rPr>
          <w:rFonts w:ascii="Arial" w:cs="Arial" w:eastAsia="Arial" w:hAnsi="Arial"/>
          <w:sz w:val="18"/>
          <w:szCs w:val="18"/>
          <w:color w:val="auto"/>
        </w:rPr>
        <w:t>The Company recorded depreciation expense on property and equipment for the three months ended March 31, 2021 and 2020 of $1.1 million and $0.6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6. ACCRUED EXPENSES AND OTHER CURRENT LIABILITES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520" w:type="dxa"/>
            <w:vAlign w:val="bottom"/>
            <w:gridSpan w:val="3"/>
          </w:tcPr>
          <w:p>
            <w:pPr>
              <w:ind w:left="440"/>
              <w:spacing w:after="0"/>
              <w:rPr>
                <w:sz w:val="20"/>
                <w:szCs w:val="20"/>
                <w:color w:val="auto"/>
              </w:rPr>
            </w:pPr>
            <w:r>
              <w:rPr>
                <w:rFonts w:ascii="Arial" w:cs="Arial" w:eastAsia="Arial" w:hAnsi="Arial"/>
                <w:sz w:val="18"/>
                <w:szCs w:val="18"/>
                <w:color w:val="auto"/>
                <w:w w:val="96"/>
              </w:rPr>
              <w:t>Accrued expenses and other current liabilities at March 31, 2021 and December 31, 2020 are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3,042,550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2,604,245</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Accrued distribution fees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1,503,680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828,120</w:t>
            </w:r>
          </w:p>
        </w:tc>
      </w:tr>
      <w:tr>
        <w:trPr>
          <w:trHeight w:val="216"/>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734,972</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Accrued testing</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1,168,270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779,660</w:t>
            </w:r>
          </w:p>
        </w:tc>
      </w:tr>
      <w:tr>
        <w:trPr>
          <w:trHeight w:val="216"/>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3,210,884</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768,538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207,262</w:t>
            </w:r>
          </w:p>
        </w:tc>
        <w:tc>
          <w:tcPr>
            <w:tcW w:w="100" w:type="dxa"/>
            <w:vAlign w:val="bottom"/>
          </w:tcPr>
          <w:p>
            <w:pPr>
              <w:spacing w:after="0"/>
              <w:rPr>
                <w:sz w:val="18"/>
                <w:szCs w:val="18"/>
                <w:color w:val="auto"/>
              </w:rPr>
            </w:pPr>
          </w:p>
        </w:tc>
      </w:tr>
      <w:tr>
        <w:trPr>
          <w:trHeight w:val="250"/>
        </w:trPr>
        <w:tc>
          <w:tcPr>
            <w:tcW w:w="180" w:type="dxa"/>
            <w:vAlign w:val="bottom"/>
            <w:shd w:val="clear" w:color="auto" w:fill="CCEEFF"/>
          </w:tcPr>
          <w:p>
            <w:pPr>
              <w:spacing w:after="0"/>
              <w:rPr>
                <w:sz w:val="21"/>
                <w:szCs w:val="21"/>
                <w:color w:val="auto"/>
              </w:rPr>
            </w:pPr>
          </w:p>
        </w:tc>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8,592,142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8,365,143</w:t>
            </w:r>
          </w:p>
        </w:tc>
      </w:tr>
      <w:tr>
        <w:trPr>
          <w:trHeight w:val="372"/>
        </w:trPr>
        <w:tc>
          <w:tcPr>
            <w:tcW w:w="870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7. DEBT</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520" w:type="dxa"/>
            <w:vAlign w:val="bottom"/>
            <w:gridSpan w:val="3"/>
          </w:tcPr>
          <w:p>
            <w:pPr>
              <w:ind w:left="440"/>
              <w:spacing w:after="0"/>
              <w:rPr>
                <w:sz w:val="20"/>
                <w:szCs w:val="20"/>
                <w:color w:val="auto"/>
              </w:rPr>
            </w:pPr>
            <w:r>
              <w:rPr>
                <w:rFonts w:ascii="Arial" w:cs="Arial" w:eastAsia="Arial" w:hAnsi="Arial"/>
                <w:sz w:val="18"/>
                <w:szCs w:val="18"/>
                <w:color w:val="auto"/>
              </w:rPr>
              <w:t>A summary of outstanding senior notes payable is as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0"/>
        </w:trPr>
        <w:tc>
          <w:tcPr>
            <w:tcW w:w="8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100,000,000</w:t>
            </w:r>
          </w:p>
        </w:tc>
      </w:tr>
      <w:tr>
        <w:trPr>
          <w:trHeight w:val="216"/>
        </w:trPr>
        <w:tc>
          <w:tcPr>
            <w:tcW w:w="8700" w:type="dxa"/>
            <w:vAlign w:val="bottom"/>
            <w:gridSpan w:val="4"/>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discount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(6,587,340)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(7,031,134)</w:t>
            </w:r>
          </w:p>
        </w:tc>
      </w:tr>
      <w:tr>
        <w:trPr>
          <w:trHeight w:val="210"/>
        </w:trPr>
        <w:tc>
          <w:tcPr>
            <w:tcW w:w="87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Senior notes payable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93,412,660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92,968,866</w:t>
            </w:r>
          </w:p>
        </w:tc>
        <w:tc>
          <w:tcPr>
            <w:tcW w:w="100" w:type="dxa"/>
            <w:vAlign w:val="bottom"/>
            <w:tcBorders>
              <w:top w:val="single" w:sz="8" w:color="CCEEFF"/>
            </w:tcBorders>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Under the Credit Agreement and Guaranty, as amended from time to time, (the “Perceptive Credit Agreement”) with Perceptive Credit Holdings II, LP, as the lender and administrative agent (“Perceptive”), the Company has a principal balance outstanding to Perceptive in the form of senior secured notes payable to Perceptive aggregating to $100.0 million with a maturity date of March 1, 2024 (the “Maturity Date”), subject to acceleration pursuant to the Perceptive Credit Agreement, including upon an Event of Default (as defined in the Perceptive Credit Agreement). On the Maturity Date, the Company will pay Perceptive the entire outstanding principal amount and any accrued and unpaid interest thereon. Prior to the Maturity Date, there are no scheduled principal payments due under the Perceptive Credit Agreement.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60" w:firstLine="8"/>
        <w:spacing w:after="0" w:line="253"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March 31, 2021 was 11.0%, and the Company paid interest to Perceptive during the three months ended March 31, 2021 and 2020 in the amount of $2.8 million and $2.0 million, respectively.</w:t>
      </w:r>
    </w:p>
    <w:p>
      <w:pPr>
        <w:spacing w:after="0" w:line="193" w:lineRule="exact"/>
        <w:rPr>
          <w:sz w:val="20"/>
          <w:szCs w:val="20"/>
          <w:color w:val="auto"/>
        </w:rPr>
      </w:pPr>
    </w:p>
    <w:p>
      <w:pPr>
        <w:ind w:right="20" w:firstLine="607"/>
        <w:spacing w:after="0" w:line="287" w:lineRule="auto"/>
        <w:rPr>
          <w:sz w:val="20"/>
          <w:szCs w:val="20"/>
          <w:color w:val="auto"/>
        </w:rPr>
      </w:pPr>
      <w:r>
        <w:rPr>
          <w:rFonts w:ascii="Arial" w:cs="Arial" w:eastAsia="Arial" w:hAnsi="Arial"/>
          <w:sz w:val="16"/>
          <w:szCs w:val="16"/>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$7.0 million for the fiscal quarter ended June 30, 2019 to</w:t>
      </w:r>
    </w:p>
    <w:p>
      <w:pPr>
        <w:sectPr>
          <w:pgSz w:w="11900" w:h="16838" w:orient="portrait"/>
          <w:cols w:equalWidth="0" w:num="1">
            <w:col w:w="11240"/>
          </w:cols>
          <w:pgMar w:left="320" w:top="120" w:right="339" w:bottom="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$55.0 million for the fiscal quarter ending December 31, 2021. At March 31, 2021, the Company was in compliance with all of the covenants contained in the Perceptive Credit Agreement.</w:t>
      </w:r>
    </w:p>
    <w:p>
      <w:pPr>
        <w:spacing w:after="0" w:line="170"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As a result of the fees paid to Perceptive and the value of the warrants issued to Perceptive under the terms of the Perceptive Credit Agreement, the Company recognized an aggregate discount on the senior secured notes in the amount of $7.1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senior secured notes payable to Perceptive as of March 31, 2021 was approximately 13.7%.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March 31,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of March 31, 2021 and December 31, 2020, the Company was authorized to issue 150,000,000 shares of its common stock, $0.0001 par value per share, and 123,044,981 and 104,902,888 shares of common stock were outstanding as of March 31, 2021 and December 31, 2020, respectively. After giving effect to the 17,080,606 shares reserved for outstanding warrants and awards issued or reserved for future issuance under the Company’s equity incentive plans, as of March 31, 2021 there were 9,874,413 shares of common stock available for issuance.</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August 5, 2020, the Company entered into the Sale Agreement with Jefferies (see Note 1),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an increase in the aggregate offering amount under the Sale Agreement such that, as of February 3, 2021, the Company could sell shares having an aggregate offering price of up to $105.4 million. During the three months ended March 31, 2021, the Company issued and sold 18,080,708 shares of common under the Sale Agreement and received net proceeds of $41.9 million.</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At March 31, 2021 and December 31, 2020, the Company had outstanding warrants to purchase an aggregate of 4,528,160 shares of common stock, with a weighted average exercise price of $2.82 per share and expiration dates ranging between June 2022 and December 2030.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2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w:t>
            </w:r>
          </w:p>
        </w:tc>
        <w:tc>
          <w:tcPr>
            <w:tcW w:w="4660" w:type="dxa"/>
            <w:vAlign w:val="bottom"/>
            <w:shd w:val="clear" w:color="auto" w:fill="CCEEFF"/>
          </w:tcPr>
          <w:p>
            <w:pPr>
              <w:spacing w:after="0"/>
              <w:rPr>
                <w:sz w:val="18"/>
                <w:szCs w:val="18"/>
                <w:color w:val="auto"/>
              </w:rPr>
            </w:pPr>
          </w:p>
        </w:tc>
        <w:tc>
          <w:tcPr>
            <w:tcW w:w="1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5.5 - 6.3 years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5.8 - 6.3 years</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020" w:type="dxa"/>
            <w:vAlign w:val="bottom"/>
            <w:gridSpan w:val="2"/>
          </w:tcPr>
          <w:p>
            <w:pPr>
              <w:jc w:val="center"/>
              <w:ind w:left="4710"/>
              <w:spacing w:after="0"/>
              <w:rPr>
                <w:sz w:val="20"/>
                <w:szCs w:val="20"/>
                <w:color w:val="auto"/>
              </w:rPr>
            </w:pPr>
            <w:r>
              <w:rPr>
                <w:rFonts w:ascii="Arial" w:cs="Arial" w:eastAsia="Arial" w:hAnsi="Arial"/>
                <w:sz w:val="18"/>
                <w:szCs w:val="18"/>
                <w:color w:val="auto"/>
                <w:w w:val="94"/>
              </w:rPr>
              <w:t>69%</w:t>
            </w:r>
          </w:p>
        </w:tc>
        <w:tc>
          <w:tcPr>
            <w:tcW w:w="15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62%</w:t>
            </w:r>
          </w:p>
        </w:tc>
        <w:tc>
          <w:tcPr>
            <w:tcW w:w="10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20" w:type="dxa"/>
            <w:vAlign w:val="bottom"/>
            <w:gridSpan w:val="2"/>
            <w:shd w:val="clear" w:color="auto" w:fill="CCEEFF"/>
          </w:tcPr>
          <w:p>
            <w:pPr>
              <w:jc w:val="center"/>
              <w:ind w:left="4710"/>
              <w:spacing w:after="0"/>
              <w:rPr>
                <w:sz w:val="20"/>
                <w:szCs w:val="20"/>
                <w:color w:val="auto"/>
              </w:rPr>
            </w:pPr>
            <w:r>
              <w:rPr>
                <w:rFonts w:ascii="Arial" w:cs="Arial" w:eastAsia="Arial" w:hAnsi="Arial"/>
                <w:sz w:val="18"/>
                <w:szCs w:val="18"/>
                <w:color w:val="auto"/>
                <w:w w:val="87"/>
              </w:rPr>
              <w:t>0.0</w:t>
            </w:r>
          </w:p>
        </w:tc>
        <w:tc>
          <w:tcPr>
            <w:tcW w:w="15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5"/>
              </w:rPr>
              <w:t>0.0</w:t>
            </w:r>
          </w:p>
        </w:tc>
        <w:tc>
          <w:tcPr>
            <w:tcW w:w="100" w:type="dxa"/>
            <w:vAlign w:val="bottom"/>
            <w:shd w:val="clear" w:color="auto" w:fill="CCEEFF"/>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20" w:type="dxa"/>
            <w:vAlign w:val="bottom"/>
            <w:gridSpan w:val="2"/>
          </w:tcPr>
          <w:p>
            <w:pPr>
              <w:jc w:val="center"/>
              <w:ind w:left="4690"/>
              <w:spacing w:after="0"/>
              <w:rPr>
                <w:sz w:val="20"/>
                <w:szCs w:val="20"/>
                <w:color w:val="auto"/>
              </w:rPr>
            </w:pPr>
            <w:r>
              <w:rPr>
                <w:rFonts w:ascii="Arial" w:cs="Arial" w:eastAsia="Arial" w:hAnsi="Arial"/>
                <w:sz w:val="18"/>
                <w:szCs w:val="18"/>
                <w:color w:val="auto"/>
                <w:w w:val="91"/>
              </w:rPr>
              <w:t>0.80-% 1.04%</w:t>
            </w:r>
          </w:p>
        </w:tc>
        <w:tc>
          <w:tcPr>
            <w:tcW w:w="15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0.47-1.68%</w:t>
            </w:r>
          </w:p>
        </w:tc>
        <w:tc>
          <w:tcPr>
            <w:tcW w:w="100" w:type="dxa"/>
            <w:vAlign w:val="bottom"/>
          </w:tcPr>
          <w:p>
            <w:pPr>
              <w:spacing w:after="0"/>
              <w:rPr>
                <w:sz w:val="20"/>
                <w:szCs w:val="20"/>
                <w:color w:val="auto"/>
              </w:rPr>
            </w:pPr>
          </w:p>
        </w:tc>
      </w:tr>
      <w:tr>
        <w:trPr>
          <w:trHeight w:val="634"/>
        </w:trPr>
        <w:tc>
          <w:tcPr>
            <w:tcW w:w="1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During the three months ended March 31, 2021 and 2020, the Company granted options to purchase an aggregate of 1,441,050 and 1,158,900 shares of common stock, respectively, to its directors, employees and certain third-party service providers. The weighted average remaining contractual life</w:t>
      </w:r>
    </w:p>
    <w:p>
      <w:pPr>
        <w:sectPr>
          <w:pgSz w:w="11900" w:h="16838" w:orient="portrait"/>
          <w:cols w:equalWidth="0" w:num="1">
            <w:col w:w="11240"/>
          </w:cols>
          <w:pgMar w:left="320" w:top="125" w:right="339" w:bottom="0" w:gutter="0" w:footer="0" w:header="0"/>
        </w:sectPr>
      </w:pPr>
    </w:p>
    <w:bookmarkStart w:id="12" w:name="page13"/>
    <w:bookmarkEnd w:id="12"/>
    <w:p>
      <w:pPr>
        <w:ind w:right="680"/>
        <w:spacing w:after="0" w:line="277" w:lineRule="auto"/>
        <w:rPr>
          <w:sz w:val="20"/>
          <w:szCs w:val="20"/>
          <w:color w:val="auto"/>
        </w:rPr>
      </w:pPr>
      <w:r>
        <w:rPr>
          <w:rFonts w:ascii="Arial" w:cs="Arial" w:eastAsia="Arial" w:hAnsi="Arial"/>
          <w:sz w:val="18"/>
          <w:szCs w:val="18"/>
          <w:color w:val="auto"/>
        </w:rPr>
        <w:t>of stock options outstanding and expected to vest at March 31, 2021 is 7.0 years. The weighted average remaining contractual life of stock options exercisable at March 31, 2021 is 4.8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(57,420)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1,441,050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outstanding, vested and expected to vest at March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8,103,165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exercisable</w:t>
            </w:r>
          </w:p>
        </w:tc>
        <w:tc>
          <w:tcPr>
            <w:tcW w:w="1100" w:type="dxa"/>
            <w:vAlign w:val="bottom"/>
          </w:tcPr>
          <w:p>
            <w:pPr>
              <w:jc w:val="right"/>
              <w:spacing w:after="0"/>
              <w:rPr>
                <w:sz w:val="20"/>
                <w:szCs w:val="20"/>
                <w:color w:val="auto"/>
              </w:rPr>
            </w:pPr>
            <w:r>
              <w:rPr>
                <w:rFonts w:ascii="Arial" w:cs="Arial" w:eastAsia="Arial" w:hAnsi="Arial"/>
                <w:sz w:val="18"/>
                <w:szCs w:val="18"/>
                <w:color w:val="auto"/>
              </w:rPr>
              <w:t>4,855,296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of March 31, 2021, the Company had $5.3 million of unrecognized compensation expense related to options granted under the Company’s equity incentive plans, which is expected to be recognized over a weighted-average period of 2.7 years.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During the three months ended March 31, 2021 and 2020, the Company granted Restricted Stock Units (“RSUs”) representing an aggregate of 492,744 and 341,000 shares, respectively, to certain management employees of the Company and to members of its Board of Directors. The RSUs vest annually over a period of four years for employees and semi-annually over a period of one year for directors. Total compensation expense related to unvested RSUs for the three months ended March 31, 2021 and 2020 was $0.1 million and $28,000, respectively. During the three months ended March 31, 2021, 87,750 shares vested in connection with grants of RSUs. With respect to these vested RSUs, 26,365 shares valued at approximately $59,000 were withheld by the Company to cover employees’ tax liabilities. On March 25, 2021, these shares were retired by the Company and were no longer outstanding as of March 31, 2021. A summary of the Company’s unvested RSU activity and related information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140" w:type="dxa"/>
            <w:vAlign w:val="bottom"/>
            <w:gridSpan w:val="3"/>
          </w:tcPr>
          <w:p>
            <w:pPr>
              <w:jc w:val="right"/>
              <w:ind w:right="220"/>
              <w:spacing w:after="0"/>
              <w:rPr>
                <w:sz w:val="20"/>
                <w:szCs w:val="20"/>
                <w:color w:val="auto"/>
              </w:rPr>
            </w:pPr>
            <w:r>
              <w:rPr>
                <w:rFonts w:ascii="Arial" w:cs="Arial" w:eastAsia="Arial" w:hAnsi="Arial"/>
                <w:sz w:val="18"/>
                <w:szCs w:val="18"/>
                <w:color w:val="auto"/>
              </w:rPr>
              <w:t>492,744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6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8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48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628"/>
        </w:trPr>
        <w:tc>
          <w:tcPr>
            <w:tcW w:w="1280" w:type="dxa"/>
            <w:vAlign w:val="bottom"/>
            <w:tcBorders>
              <w:top w:val="single" w:sz="8" w:color="CCEEFF"/>
              <w:bottom w:val="single" w:sz="8" w:color="auto"/>
            </w:tcBorders>
          </w:tcPr>
          <w:p>
            <w:pPr>
              <w:spacing w:after="0"/>
              <w:rPr>
                <w:sz w:val="24"/>
                <w:szCs w:val="24"/>
                <w:color w:val="auto"/>
              </w:rPr>
            </w:pPr>
          </w:p>
        </w:tc>
        <w:tc>
          <w:tcPr>
            <w:tcW w:w="2600" w:type="dxa"/>
            <w:vAlign w:val="bottom"/>
            <w:tcBorders>
              <w:top w:val="single" w:sz="8" w:color="CCEEFF"/>
              <w:bottom w:val="single" w:sz="8" w:color="auto"/>
            </w:tcBorders>
          </w:tcPr>
          <w:p>
            <w:pPr>
              <w:spacing w:after="0"/>
              <w:rPr>
                <w:sz w:val="24"/>
                <w:szCs w:val="24"/>
                <w:color w:val="auto"/>
              </w:rPr>
            </w:pPr>
          </w:p>
        </w:tc>
        <w:tc>
          <w:tcPr>
            <w:tcW w:w="4820" w:type="dxa"/>
            <w:vAlign w:val="bottom"/>
            <w:tcBorders>
              <w:top w:val="single" w:sz="8" w:color="CCEEFF"/>
              <w:bottom w:val="single" w:sz="8" w:color="auto"/>
            </w:tcBorders>
          </w:tcPr>
          <w:p>
            <w:pPr>
              <w:jc w:val="right"/>
              <w:ind w:right="2890"/>
              <w:spacing w:after="0"/>
              <w:rPr>
                <w:sz w:val="20"/>
                <w:szCs w:val="20"/>
                <w:color w:val="auto"/>
              </w:rPr>
            </w:pPr>
            <w:r>
              <w:rPr>
                <w:rFonts w:ascii="Arial" w:cs="Arial" w:eastAsia="Arial" w:hAnsi="Arial"/>
                <w:sz w:val="18"/>
                <w:szCs w:val="18"/>
                <w:color w:val="auto"/>
              </w:rPr>
              <w:t>14</w:t>
            </w: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371"/>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6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As of March 31, 2021, the Company had $1.8 million of unrecognized compensation expense related to unvested RSUs granted under the Company’s equity incentive plans, which is expected to be recognized over a weighted-average period of 3.5 years.</w:t>
      </w:r>
    </w:p>
    <w:p>
      <w:pPr>
        <w:spacing w:after="0" w:line="14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stock-based compensation expense for all awards granted under the Company’s equity incentive plans for the three months ended March 31, 2021 and 2020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7,244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523,889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76,861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51,841</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676,548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Rent expense for the three months ended March 31, 2021 and 2020 amounted to $30,000.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months ended March 31, 2021 and 2020. In addition, during the three months ended March 31, 2021, the Company purchased certain specialized medical equipment and services related to the Company’s plasma collection centers, as well as personal protective equipment, from GenesisBPS and its affiliates (“Genesis”), which were not material to the consolidated financial statements. Genesis is owned by Dr. Grossman and Adam Grossman.</w:t>
      </w:r>
    </w:p>
    <w:p>
      <w:pPr>
        <w:spacing w:after="0" w:line="178" w:lineRule="exact"/>
        <w:rPr>
          <w:sz w:val="20"/>
          <w:szCs w:val="20"/>
          <w:color w:val="auto"/>
        </w:rPr>
      </w:pPr>
    </w:p>
    <w:p>
      <w:pPr>
        <w:ind w:right="80" w:firstLine="607"/>
        <w:spacing w:after="0" w:line="277" w:lineRule="auto"/>
        <w:rPr>
          <w:sz w:val="20"/>
          <w:szCs w:val="20"/>
          <w:color w:val="auto"/>
        </w:rPr>
      </w:pPr>
      <w:r>
        <w:rPr>
          <w:rFonts w:ascii="Arial" w:cs="Arial" w:eastAsia="Arial" w:hAnsi="Arial"/>
          <w:sz w:val="18"/>
          <w:szCs w:val="18"/>
          <w:color w:val="auto"/>
        </w:rPr>
        <w:t>See Note 7 for a discussion of the Company’s credit facility and related transactions with Perceptive, a holder of more than 10% of the Company’s common stock.</w:t>
      </w:r>
    </w:p>
    <w:p>
      <w:pPr>
        <w:spacing w:after="0" w:line="170" w:lineRule="exact"/>
        <w:rPr>
          <w:sz w:val="20"/>
          <w:szCs w:val="20"/>
          <w:color w:val="auto"/>
        </w:rPr>
      </w:pPr>
    </w:p>
    <w:p>
      <w:pPr>
        <w:ind w:right="60" w:firstLine="607"/>
        <w:spacing w:after="0" w:line="342" w:lineRule="auto"/>
        <w:rPr>
          <w:sz w:val="20"/>
          <w:szCs w:val="20"/>
          <w:color w:val="auto"/>
        </w:rPr>
      </w:pPr>
      <w:r>
        <w:rPr>
          <w:rFonts w:ascii="Arial" w:cs="Arial" w:eastAsia="Arial" w:hAnsi="Arial"/>
          <w:sz w:val="16"/>
          <w:szCs w:val="16"/>
          <w:color w:val="auto"/>
        </w:rPr>
        <w:t>In connection with the February 2020 public offering of the Company’s common stock (see Note 8) on February 11, 2020: (i) Perceptive Advisors, a principal stockholder of ADMA, purchased 4,563,700 shares of common stock through one of its affiliates, (ii) Dr. Grossman purchased 22,857 shares of</w:t>
      </w:r>
    </w:p>
    <w:p>
      <w:pPr>
        <w:sectPr>
          <w:pgSz w:w="11900" w:h="16838" w:orient="portrait"/>
          <w:cols w:equalWidth="0" w:num="1">
            <w:col w:w="11240"/>
          </w:cols>
          <w:pgMar w:left="320" w:top="125" w:right="339" w:bottom="0" w:gutter="0" w:footer="0" w:header="0"/>
        </w:sectPr>
      </w:pPr>
    </w:p>
    <w:bookmarkStart w:id="13" w:name="page14"/>
    <w:bookmarkEnd w:id="13"/>
    <w:p>
      <w:pPr>
        <w:jc w:val="both"/>
        <w:ind w:right="140"/>
        <w:spacing w:after="0" w:line="291" w:lineRule="auto"/>
        <w:rPr>
          <w:sz w:val="20"/>
          <w:szCs w:val="20"/>
          <w:color w:val="auto"/>
        </w:rPr>
      </w:pPr>
      <w:r>
        <w:rPr>
          <w:rFonts w:ascii="Arial" w:cs="Arial" w:eastAsia="Arial" w:hAnsi="Arial"/>
          <w:sz w:val="16"/>
          <w:szCs w:val="16"/>
          <w:color w:val="auto"/>
        </w:rPr>
        <w:t>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w:t>
      </w:r>
    </w:p>
    <w:p>
      <w:pPr>
        <w:ind w:right="14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Brian Lenz, the Company’s Executive Vice President and Chief Financial Officer, purchased 7,142 shares of common stock, and (vi) Dr. James Mond, the Company’s Chief Scientific Officer and Chief Medical Officer, purchased 4,285 shares of common stock, all at the public offering price of $3.50 per share.</w:t>
      </w:r>
    </w:p>
    <w:p>
      <w:pPr>
        <w:spacing w:after="0" w:line="18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Company continues to monitor the ongoing developments related to the COVID-19 pandemic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has experienced some delays with final drug product release testing by third-party vendors. In response to these delays, the Company added additional release testing laboratories to its FDA-approved consortium listed in its drug approval documents which the Company believes has adequately addressed this issue. In addition, 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The Company is also subject to supply chain delays as a result of certain of its suppliers diverting significant resources towards the rapid development and distribution of COVID 19 vaccines.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pandemic could also impact the Company’s ability to interact with the FDA or other regulatory authorities and may result in delays in the conduct of inspections or review of pending applications or submissions. During the second quarter of 2021, the Company was notified by the FDA that its submission for the approval of its in-house fill-finish process utilizing a recently installed aseptic filling machine will require a site inspection, either in person or virtually, of the Boca Facility. Taking into account ongoing travel restrictions resulting from the pandemic, the Company believes that the inspection could be completed before the end of the fourth quarter of 2021, however no assurances can be provided as to the timing of such an inspection or the timing as to when the FDA may adjust its restrictions due to COVID-19.</w:t>
      </w:r>
    </w:p>
    <w:p>
      <w:pPr>
        <w:spacing w:after="0" w:line="17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57"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five percent (5%) (without any additional increase due to inflation).</w:t>
      </w:r>
    </w:p>
    <w:p>
      <w:pPr>
        <w:sectPr>
          <w:pgSz w:w="11900" w:h="16838" w:orient="portrait"/>
          <w:cols w:equalWidth="0" w:num="1">
            <w:col w:w="11240"/>
          </w:cols>
          <w:pgMar w:left="320" w:top="125" w:right="339" w:bottom="122"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term of the agreement was extended through December 31, 2022, while certain historical provisions were deleted. In order to maintain a reliable supply of raw material plasma thereafter, the Company is in late-stage discussion with multiple third-party suppliers of NSP to supplement the 2017 Plasma Purchase Agreement, while the Company has also increased the number of planned plasma collection center buildouts and is continuing to increase its plasma collection capabilities at its ADMA BioCenters plasma collection centers business segment.</w:t>
      </w:r>
    </w:p>
    <w:p>
      <w:pPr>
        <w:spacing w:after="0" w:line="176"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three months ended March 31, 2021, plasma purchases from Grifols totaled $12.7 million, or approximately 72% of the Company’s total inventory purchases. For the three months ended March 31, 2020, plasma purchases from Grifols totaled approximately $2.0 million, representing approximately 46% of the Company’s total inventory purchases.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June of 2023.</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2021. The Company does not anticipate recognizing any significant losses relating to these arrangements.</w:t>
      </w:r>
    </w:p>
    <w:p>
      <w:pPr>
        <w:spacing w:after="0" w:line="18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as of March 31, 2021 consists of two FDA-licensed source plasma collection</w:t>
      </w:r>
    </w:p>
    <w:p>
      <w:pPr>
        <w:sectPr>
          <w:pgSz w:w="11900" w:h="16838" w:orient="portrait"/>
          <w:cols w:equalWidth="0" w:num="1">
            <w:col w:w="11220"/>
          </w:cols>
          <w:pgMar w:left="320" w:top="125" w:right="359" w:bottom="0" w:gutter="0" w:footer="0" w:header="0"/>
        </w:sectPr>
      </w:pPr>
    </w:p>
    <w:bookmarkStart w:id="15" w:name="page16"/>
    <w:bookmarkEnd w:id="15"/>
    <w:p>
      <w:pPr>
        <w:ind w:right="240"/>
        <w:spacing w:after="0" w:line="257" w:lineRule="auto"/>
        <w:rPr>
          <w:sz w:val="20"/>
          <w:szCs w:val="20"/>
          <w:color w:val="auto"/>
        </w:rPr>
      </w:pPr>
      <w:r>
        <w:rPr>
          <w:rFonts w:ascii="Arial" w:cs="Arial" w:eastAsia="Arial" w:hAnsi="Arial"/>
          <w:sz w:val="18"/>
          <w:szCs w:val="18"/>
          <w:color w:val="auto"/>
        </w:rPr>
        <w:t>facilities, an additional plasma collection facility for which an FDA license is pending, and four other plasma collection facilities under various stages of development.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8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00" w:type="dxa"/>
            <w:vAlign w:val="bottom"/>
            <w:gridSpan w:val="4"/>
          </w:tcPr>
          <w:p>
            <w:pPr>
              <w:ind w:left="156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09"/>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13,421,043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2,591,867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16,048,618</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15,449,757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2,320,365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17,770,122</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(9,505,689)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(1,970,841)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(3,687,719)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(15,164,249)</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(3,193,795)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(3,215,692)</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(9,527,202)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(1,971,225)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(6,881,514)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(18,379,941)</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1,012,980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1,558,181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2,571,161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1,009,770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217,991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1,229,628</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156,535,177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17,397,612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61,734,239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235,667,028</w:t>
            </w:r>
          </w:p>
        </w:tc>
      </w:tr>
      <w:tr>
        <w:trPr>
          <w:trHeight w:val="648"/>
        </w:trPr>
        <w:tc>
          <w:tcPr>
            <w:tcW w:w="1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2"/>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1">
              <w:r>
                <w:rPr>
                  <w:rFonts w:ascii="Arial" w:cs="Arial" w:eastAsia="Arial" w:hAnsi="Arial"/>
                  <w:sz w:val="18"/>
                  <w:szCs w:val="18"/>
                  <w:i w:val="1"/>
                  <w:iCs w:val="1"/>
                  <w:color w:val="0000EE"/>
                  <w:w w:val="88"/>
                </w:rPr>
                <w:t>Table of Contents</w:t>
              </w:r>
            </w:hyperlink>
          </w:p>
        </w:tc>
        <w:tc>
          <w:tcPr>
            <w:tcW w:w="2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3100" w:type="dxa"/>
            <w:vAlign w:val="bottom"/>
            <w:gridSpan w:val="4"/>
          </w:tcPr>
          <w:p>
            <w:pPr>
              <w:ind w:left="146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09"/>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7,743,275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2,420,761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10,199,744</w:t>
            </w: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14,451,954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2,377,272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16,829,226</w:t>
            </w: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(12,476,144)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(3,836,487)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(16,769,786)</w:t>
            </w: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(238,873)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(2,236,571)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(2,475,444)</w:t>
            </w: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(12,715,017)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(6,073,058)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(19,245,230)</w:t>
            </w:r>
          </w:p>
        </w:tc>
      </w:tr>
      <w:tr>
        <w:trPr>
          <w:trHeight w:val="216"/>
        </w:trPr>
        <w:tc>
          <w:tcPr>
            <w:tcW w:w="4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1,914,614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2,074,876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674,973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111,289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788,838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104,645,897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5,376,807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100,501,123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210,523,827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March 31, 2021 and 2020 was approximately $0.3 million and $0.1 million, respectively. Cash paid for the Company’s leases for the three months ended March 31, 2021 and 2020 was approximately $0.2 million and $0.1 million,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ectPr>
          <w:pgSz w:w="11900" w:h="16838" w:orient="portrait"/>
          <w:cols w:equalWidth="0" w:num="1">
            <w:col w:w="11240"/>
          </w:cols>
          <w:pgMar w:left="320" w:top="125" w:right="339" w:bottom="0" w:gutter="0" w:footer="0" w:header="0"/>
        </w:sectPr>
      </w:pPr>
    </w:p>
    <w:bookmarkStart w:id="16" w:name="page17"/>
    <w:bookmarkEnd w:id="16"/>
    <w:p>
      <w:pPr>
        <w:ind w:right="140" w:firstLine="648"/>
        <w:spacing w:after="0" w:line="273" w:lineRule="auto"/>
        <w:rPr>
          <w:sz w:val="20"/>
          <w:szCs w:val="20"/>
          <w:color w:val="auto"/>
        </w:rPr>
      </w:pPr>
      <w:r>
        <w:rPr>
          <w:rFonts w:ascii="Arial" w:cs="Arial" w:eastAsia="Arial" w:hAnsi="Arial"/>
          <w:sz w:val="17"/>
          <w:szCs w:val="17"/>
          <w:color w:val="auto"/>
        </w:rPr>
        <w:t>During the three months ended March 31, 2021, the Company recognized additional right to use assets and corresponding lease liabilities of $2.1 million in connection with two new property leases where the Company intends to open two additional plasma collection facilities. Including a finance lease the Company entered into in June 2018, the Company has aggregate lease liabilities of $6.7 million and $4.7 million as of March 31, 2021 and December 31, 2020, respectively, which are comprised primarily of the leases for the Company’s plasma collection centers and an administrative office lease related to the Company’s ADMA BioCenters subsidiary. The Company’s operating leases have a weighted average remaining term of 9.3 years. Scheduled payments under the Company’s lease obligations are as follows:</w:t>
      </w:r>
    </w:p>
    <w:p>
      <w:pPr>
        <w:spacing w:after="0" w:line="19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530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rPr>
              <w:t>Remainder of 2021</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852,315</w:t>
            </w:r>
          </w:p>
        </w:tc>
        <w:tc>
          <w:tcPr>
            <w:tcW w:w="100" w:type="dxa"/>
            <w:vAlign w:val="bottom"/>
            <w:shd w:val="clear" w:color="auto" w:fill="CCEEFF"/>
          </w:tcPr>
          <w:p>
            <w:pPr>
              <w:spacing w:after="0"/>
              <w:rPr>
                <w:sz w:val="18"/>
                <w:szCs w:val="18"/>
                <w:color w:val="auto"/>
              </w:rPr>
            </w:pPr>
          </w:p>
        </w:tc>
      </w:tr>
      <w:tr>
        <w:trPr>
          <w:trHeight w:val="202"/>
        </w:trPr>
        <w:tc>
          <w:tcPr>
            <w:tcW w:w="5300" w:type="dxa"/>
            <w:vAlign w:val="bottom"/>
          </w:tcPr>
          <w:p>
            <w:pPr>
              <w:jc w:val="right"/>
              <w:ind w:right="3110"/>
              <w:spacing w:after="0" w:line="201" w:lineRule="exact"/>
              <w:rPr>
                <w:sz w:val="20"/>
                <w:szCs w:val="20"/>
                <w:color w:val="auto"/>
              </w:rPr>
            </w:pPr>
            <w:r>
              <w:rPr>
                <w:rFonts w:ascii="Arial" w:cs="Arial" w:eastAsia="Arial" w:hAnsi="Arial"/>
                <w:sz w:val="18"/>
                <w:szCs w:val="18"/>
                <w:color w:val="auto"/>
                <w:w w:val="98"/>
              </w:rPr>
              <w:t>Year ended December 31,</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00" w:type="dxa"/>
            <w:vAlign w:val="bottom"/>
          </w:tcPr>
          <w:p>
            <w:pPr>
              <w:jc w:val="right"/>
              <w:ind w:right="3110"/>
              <w:spacing w:after="0"/>
              <w:rPr>
                <w:sz w:val="20"/>
                <w:szCs w:val="20"/>
                <w:color w:val="auto"/>
              </w:rPr>
            </w:pPr>
            <w:r>
              <w:rPr>
                <w:rFonts w:ascii="Arial" w:cs="Arial" w:eastAsia="Arial" w:hAnsi="Arial"/>
                <w:sz w:val="18"/>
                <w:szCs w:val="18"/>
                <w:color w:val="auto"/>
              </w:rPr>
              <w:t>2022</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1,374,513</w:t>
            </w:r>
          </w:p>
        </w:tc>
        <w:tc>
          <w:tcPr>
            <w:tcW w:w="100" w:type="dxa"/>
            <w:vAlign w:val="bottom"/>
          </w:tcPr>
          <w:p>
            <w:pPr>
              <w:spacing w:after="0"/>
              <w:rPr>
                <w:sz w:val="20"/>
                <w:szCs w:val="20"/>
                <w:color w:val="auto"/>
              </w:rPr>
            </w:pPr>
          </w:p>
        </w:tc>
      </w:tr>
      <w:tr>
        <w:trPr>
          <w:trHeight w:val="216"/>
        </w:trPr>
        <w:tc>
          <w:tcPr>
            <w:tcW w:w="530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rPr>
              <w:t>2023</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1,386,375</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jc w:val="right"/>
              <w:ind w:right="3110"/>
              <w:spacing w:after="0"/>
              <w:rPr>
                <w:sz w:val="20"/>
                <w:szCs w:val="20"/>
                <w:color w:val="auto"/>
              </w:rPr>
            </w:pPr>
            <w:r>
              <w:rPr>
                <w:rFonts w:ascii="Arial" w:cs="Arial" w:eastAsia="Arial" w:hAnsi="Arial"/>
                <w:sz w:val="18"/>
                <w:szCs w:val="18"/>
                <w:color w:val="auto"/>
              </w:rPr>
              <w:t>2024</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1,257,300</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rPr>
              <w:t>2025</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1,261,052</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jc w:val="right"/>
              <w:ind w:right="3110"/>
              <w:spacing w:after="0"/>
              <w:rPr>
                <w:sz w:val="20"/>
                <w:szCs w:val="20"/>
                <w:color w:val="auto"/>
              </w:rPr>
            </w:pPr>
            <w:r>
              <w:rPr>
                <w:rFonts w:ascii="Arial" w:cs="Arial" w:eastAsia="Arial" w:hAnsi="Arial"/>
                <w:sz w:val="18"/>
                <w:szCs w:val="18"/>
                <w:color w:val="auto"/>
              </w:rPr>
              <w:t>2026</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990,732</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rPr>
              <w:t>Thereafter</w:t>
            </w:r>
          </w:p>
        </w:tc>
        <w:tc>
          <w:tcPr>
            <w:tcW w:w="3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4,718,836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tcPr>
          <w:p>
            <w:pPr>
              <w:jc w:val="right"/>
              <w:ind w:right="3110"/>
              <w:spacing w:after="0"/>
              <w:rPr>
                <w:sz w:val="20"/>
                <w:szCs w:val="20"/>
                <w:color w:val="auto"/>
              </w:rPr>
            </w:pPr>
            <w:r>
              <w:rPr>
                <w:rFonts w:ascii="Arial" w:cs="Arial" w:eastAsia="Arial" w:hAnsi="Arial"/>
                <w:sz w:val="18"/>
                <w:szCs w:val="18"/>
                <w:color w:val="auto"/>
              </w:rPr>
              <w:t>Total payments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11,841,123</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rPr>
              <w:t>Less: imputed interest</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(5,103,624)</w:t>
            </w:r>
          </w:p>
        </w:tc>
      </w:tr>
      <w:tr>
        <w:trPr>
          <w:trHeight w:val="216"/>
        </w:trPr>
        <w:tc>
          <w:tcPr>
            <w:tcW w:w="5300" w:type="dxa"/>
            <w:vAlign w:val="bottom"/>
          </w:tcPr>
          <w:p>
            <w:pPr>
              <w:jc w:val="right"/>
              <w:ind w:right="3110"/>
              <w:spacing w:after="0"/>
              <w:rPr>
                <w:sz w:val="20"/>
                <w:szCs w:val="20"/>
                <w:color w:val="auto"/>
              </w:rPr>
            </w:pPr>
            <w:r>
              <w:rPr>
                <w:rFonts w:ascii="Arial" w:cs="Arial" w:eastAsia="Arial" w:hAnsi="Arial"/>
                <w:sz w:val="18"/>
                <w:szCs w:val="18"/>
                <w:color w:val="auto"/>
              </w:rPr>
              <w:t>Current portion</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(317,910)</w:t>
            </w:r>
          </w:p>
        </w:tc>
      </w:tr>
      <w:tr>
        <w:trPr>
          <w:trHeight w:val="20"/>
        </w:trPr>
        <w:tc>
          <w:tcPr>
            <w:tcW w:w="5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w w:val="96"/>
              </w:rPr>
              <w:t>Balance at March 31, 2021</w:t>
            </w:r>
          </w:p>
        </w:tc>
        <w:tc>
          <w:tcPr>
            <w:tcW w:w="3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6,419,589</w:t>
            </w:r>
          </w:p>
        </w:tc>
        <w:tc>
          <w:tcPr>
            <w:tcW w:w="100" w:type="dxa"/>
            <w:vAlign w:val="bottom"/>
            <w:shd w:val="clear" w:color="auto" w:fill="CCEEFF"/>
          </w:tcPr>
          <w:p>
            <w:pPr>
              <w:spacing w:after="0"/>
              <w:rPr>
                <w:sz w:val="19"/>
                <w:szCs w:val="19"/>
                <w:color w:val="auto"/>
              </w:rPr>
            </w:pP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tcPr>
          <w:p>
            <w:pPr>
              <w:spacing w:after="0"/>
              <w:rPr>
                <w:sz w:val="24"/>
                <w:szCs w:val="24"/>
                <w:color w:val="auto"/>
              </w:rPr>
            </w:pPr>
          </w:p>
        </w:tc>
        <w:tc>
          <w:tcPr>
            <w:tcW w:w="8420" w:type="dxa"/>
            <w:vAlign w:val="bottom"/>
            <w:gridSpan w:val="2"/>
          </w:tcPr>
          <w:p>
            <w:pPr>
              <w:ind w:left="380"/>
              <w:spacing w:after="0"/>
              <w:rPr>
                <w:sz w:val="20"/>
                <w:szCs w:val="20"/>
                <w:color w:val="auto"/>
              </w:rPr>
            </w:pPr>
            <w:r>
              <w:rPr>
                <w:rFonts w:ascii="Arial" w:cs="Arial" w:eastAsia="Arial" w:hAnsi="Arial"/>
                <w:sz w:val="18"/>
                <w:szCs w:val="18"/>
                <w:color w:val="auto"/>
                <w:w w:val="97"/>
              </w:rPr>
              <w:t>Supplemental cash flow information for the three months ended March 31, 2021 and 2020 is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7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2,751,956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2,017,866</w:t>
            </w:r>
          </w:p>
        </w:tc>
        <w:tc>
          <w:tcPr>
            <w:tcW w:w="0" w:type="dxa"/>
            <w:vAlign w:val="bottom"/>
          </w:tcPr>
          <w:p>
            <w:pPr>
              <w:spacing w:after="0"/>
              <w:rPr>
                <w:sz w:val="1"/>
                <w:szCs w:val="1"/>
                <w:color w:val="auto"/>
              </w:rPr>
            </w:pPr>
          </w:p>
        </w:tc>
      </w:tr>
      <w:tr>
        <w:trPr>
          <w:trHeight w:val="197"/>
        </w:trPr>
        <w:tc>
          <w:tcPr>
            <w:tcW w:w="8700" w:type="dxa"/>
            <w:vAlign w:val="bottom"/>
            <w:tcBorders>
              <w:top w:val="single" w:sz="8" w:color="CCEEFF"/>
            </w:tcBorders>
            <w:gridSpan w:val="3"/>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1,797,249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Right-to-use assets in exchange for lease obligations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ind w:left="140"/>
              <w:spacing w:after="0" w:line="196" w:lineRule="exact"/>
              <w:rPr>
                <w:sz w:val="20"/>
                <w:szCs w:val="20"/>
                <w:color w:val="auto"/>
              </w:rPr>
            </w:pPr>
            <w:r>
              <w:rPr>
                <w:rFonts w:ascii="Arial" w:cs="Arial" w:eastAsia="Arial" w:hAnsi="Arial"/>
                <w:sz w:val="18"/>
                <w:szCs w:val="18"/>
                <w:color w:val="auto"/>
                <w:w w:val="87"/>
              </w:rPr>
              <w:t>2,073,627</w:t>
            </w:r>
          </w:p>
        </w:tc>
        <w:tc>
          <w:tcPr>
            <w:tcW w:w="2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545,630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Between April 1, 2021 and May 7, 2021, the Company sold an additional 5,144,647 shares of its common stock under the Sale Agreement and received net proceeds in the amount of $10.9 million, which leaves a remaining gross balance that can be raised under the Sale Agreement of approximately $7.9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2020, filed on March 25, 2021 (the “2020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6"/>
          <w:szCs w:val="16"/>
          <w:i w:val="1"/>
          <w:iCs w:val="1"/>
          <w:color w:val="auto"/>
        </w:rPr>
        <w:t>S. pneumonia</w:t>
      </w:r>
      <w:r>
        <w:rPr>
          <w:rFonts w:ascii="Arial" w:cs="Arial" w:eastAsia="Arial" w:hAnsi="Arial"/>
          <w:sz w:val="16"/>
          <w:szCs w:val="16"/>
          <w:color w:val="auto"/>
        </w:rPr>
        <w:t xml:space="preserve"> infection for an immunoglobulin manufactured to contain standardized antibodies to numerous serotypes of </w:t>
      </w:r>
      <w:r>
        <w:rPr>
          <w:rFonts w:ascii="Arial" w:cs="Arial" w:eastAsia="Arial" w:hAnsi="Arial"/>
          <w:sz w:val="16"/>
          <w:szCs w:val="16"/>
          <w:i w:val="1"/>
          <w:iCs w:val="1"/>
          <w:color w:val="auto"/>
        </w:rPr>
        <w:t>S. pneumoniae</w:t>
      </w:r>
      <w:r>
        <w:rPr>
          <w:rFonts w:ascii="Arial" w:cs="Arial" w:eastAsia="Arial" w:hAnsi="Arial"/>
          <w:sz w:val="16"/>
          <w:szCs w:val="16"/>
          <w:color w:val="auto"/>
        </w:rPr>
        <w:t>. Our products and product candidates are intended to be used by physician specialists focused on caring for immune-compromised patients with or at risk for certain infectious diseases.</w:t>
      </w:r>
    </w:p>
    <w:p>
      <w:pPr>
        <w:spacing w:after="0" w:line="16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w:t>
      </w:r>
    </w:p>
    <w:p>
      <w:pPr>
        <w:sectPr>
          <w:pgSz w:w="11900" w:h="16838" w:orient="portrait"/>
          <w:cols w:equalWidth="0" w:num="1">
            <w:col w:w="11240"/>
          </w:cols>
          <w:pgMar w:left="320" w:top="341" w:right="339" w:bottom="0" w:gutter="0" w:footer="0" w:header="0"/>
        </w:sectPr>
      </w:pPr>
    </w:p>
    <w:bookmarkStart w:id="17" w:name="page18"/>
    <w:bookmarkEnd w:id="17"/>
    <w:p>
      <w:pPr>
        <w:ind w:right="20"/>
        <w:spacing w:after="0" w:line="263" w:lineRule="auto"/>
        <w:rPr>
          <w:sz w:val="20"/>
          <w:szCs w:val="20"/>
          <w:color w:val="auto"/>
        </w:rPr>
      </w:pPr>
      <w:r>
        <w:rPr>
          <w:rFonts w:ascii="Arial" w:cs="Arial" w:eastAsia="Arial" w:hAnsi="Arial"/>
          <w:sz w:val="18"/>
          <w:szCs w:val="18"/>
          <w:color w:val="auto"/>
        </w:rPr>
        <w:t>capacity expansion initiatives, we believe this facility has the potential to produce quantities of our immune globulin (“IG”) products of more than $250 million in annual revenue beginning in 2024 and potentially in excess of $300 million of annual revenue thereafter, as well as achieving profitability during the first quarter of 2024, as we ramp-up production over the next three to five years.</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Through our ADMA BioCenters subsidiary, we currently operate FDA-licensed source plasma collection facilities in the U.S.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three new plasma collection centers during the last fifteen months, and we now have seven plasma collection centers in various stages of approval and development, including four that are fully operational and collecting plasma. With respect to our fully operational plasma collection centers, two centers currently hold FDA licenses, a third has a Biologics License Application (“BLA”) pending an FDA decision expected in the fourth quarter of 2021, and we anticipate submitting a fourth BLA filing for our newest plasma collection center in the third quarter of 2021. In addition, one of our FDA-approved plasma collection centers also has approvals from the Korean Ministry of Food and Drug Safety (“MFDS”), as well as FDA approval to implement a Hepatitis B immunization program. After giving effect to the progress we made in 2020 and thus far in 2021 with our plasma collection network expansion, we believe we remain on track to achieve our goal of having 10 or more plasma collection centers operating in the U.S. by 2024.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packing services upon FDA approval and implementation of our in-house fill-finish capabilities.</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an FDA-licensed plasma fractionation facility located in Boca Raton, FL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April 26, 2021, we announced the opening of our fourth plasma collection facility in the U.S. Pursuant to updated FDA guidance to obtain approval for plasma collection centers, sponsors are now required to collect plasma donations for 3 months prior to submitting a BLA filing. Accordingly, we expect to file a BLA for this plasma collection facility during the third quarter of 2021. Prior to receiving FDA approval, ADMA is permitted to collect plasma donations at this site and upon receipt of FDA approval we can utilize the plasma collected for further use in our IVIG manufacturing operations or for third party sale.</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April 28, 2021, we announced that the FDA has granted approval for our expanded plasma pool production scale process, allowing for a 4,400-liter plasma pool for the manufacture of our BIVIGAM IVIG product. We expect this increased IVIG plasma pool scale, which will allow us to produce BIVIGAM at an expanded capacity, will utilize the same equipment, release testing assays and labor force, and to have a favorable impact on our gross margins and operating results, potentially beginning in the fourth quarter of 2021.</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Effective as of May 12, 2021, we entered into a Second Amendment to our Plasma Purchase Agreement with Grifols Worldwide Operations Limited (“Grifols”) whereby, among other provisions, we extended the term of our supply agreement for the purchase of normal source plasma (“NSP”) through December 31, 2022, while certain historical provisions were deleted. In order to maintain a reliable supply of raw material plasma thereafter, we are in late-stage discussions with multiple third-party plasma suppliers to provide us with a long-term supply of NSP, which will be supplemented by our accelerated plasma center expansion activities, whereby we expect to have more than 10 plasma collection centers in operation by 2024. We expect these initiatives will ensure the raw material plasma supply necessary to meet our anticipated peak annual plasma processing capability of up to 600,000 liters.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ectPr>
          <w:pgSz w:w="11900" w:h="16838" w:orient="portrait"/>
          <w:cols w:equalWidth="0" w:num="1">
            <w:col w:w="11220"/>
          </w:cols>
          <w:pgMar w:left="320" w:top="125" w:right="359" w:bottom="119" w:gutter="0" w:footer="0" w:header="0"/>
        </w:sectPr>
      </w:pPr>
    </w:p>
    <w:bookmarkStart w:id="18" w:name="page19"/>
    <w:bookmarkEnd w:id="18"/>
    <w:p>
      <w:pPr>
        <w:ind w:right="120" w:firstLine="648"/>
        <w:spacing w:after="0" w:line="259" w:lineRule="auto"/>
        <w:rPr>
          <w:sz w:val="20"/>
          <w:szCs w:val="20"/>
          <w:color w:val="auto"/>
        </w:rPr>
      </w:pPr>
      <w:r>
        <w:rPr>
          <w:rFonts w:ascii="Arial" w:cs="Arial" w:eastAsia="Arial" w:hAnsi="Arial"/>
          <w:sz w:val="18"/>
          <w:szCs w:val="18"/>
          <w:color w:val="auto"/>
        </w:rPr>
        <w:t>On April 28, 2021, we announced that the FDA has granted approval for our expanded plasma pool production scale process, allowing for a 4,400-liter plasma pool for the manufacture of our BIVIGAM IVIG product. We expect this increased IVIG plasma pool scale, which will allow us to produce BIVIGAM at an expanded capacity, will utilize the same equipment, release testing assays and labor force, and to have a favorable impact on our gross margins and operating results, potentially beginning in the fourth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continue to closely monitor ongoing developments in connection with the COVID-19 global pandemic and its impacts to our commercial and manufacturing operations and plasma collection facilities, including but not limited to potential disruptions to our supply chain operations, including collections of source plasma, procurement of raw materials and packaging materials, a portion of which are sourced internationally, and testing of finished drug product that is required prior to its availability for commercial sale. Such testing has historically been performed by contract laboratories outside the United States. In addition, travel and other restrictions that have been implemented in the United States have impacted our commercial engagement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experienced some delays with our third-party vendors and testing laboratories which perform final drug product GMP release testing. In response to these delays, we have added additional release testing laboratories to our FDA approved consortium listed in our drug approval documents which we believe has adequately addressed this issue. In July 2020, we began receiving FDA lot releases with testing data from our new testing laboratory vendor. In addition, due to a combination of previous state and local “shelter-in-place” orders, as well as government stimulus packages, persisting social distancing measures and varying roll-outs of vaccinations by state, we have been experiencing lower than normal donor collections at our FDA-approved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We are also subject to supply chain delays as a result of certain of our suppliers diverting significant resources towards the rapid development and distribution of COVID 19 vaccines. In addition, we have also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conferences,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pandemic could further impact our ability to interact with the FDA or other regulatory authorities and may result in delays in the conduct of inspections or review of pending applications or submissions. During the second quarter of 2021, we were notified by the FDA that our submission for the approval of our in-house fill-finish process utilizing our Vanrx SA25 Workcell aseptic filling machine will require a site inspection, either in person or virtually. Taking into account ongoing travel restrictions resulting from the pandemic, we believe the inspection could be completed before the end of the fourth quarter of 2021, however we cannot provide any assurances as to the timing of such an inspection or the timing as to when the FDA may adjust its restrictions due to COVID-19.</w:t>
      </w:r>
    </w:p>
    <w:p>
      <w:pPr>
        <w:spacing w:after="0" w:line="19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of the date of this report, we do not believe that the operations and immunoglobulin and plasma products production at our Boca Facility, our contract fill/finishers or our plasma collection facilities have been significantly impacted by the COVID-19 pandemic. As a result, as of the date of this</w:t>
      </w:r>
    </w:p>
    <w:p>
      <w:pPr>
        <w:sectPr>
          <w:pgSz w:w="11900" w:h="16838" w:orient="portrait"/>
          <w:cols w:equalWidth="0" w:num="1">
            <w:col w:w="11220"/>
          </w:cols>
          <w:pgMar w:left="320" w:top="125" w:right="359" w:bottom="0" w:gutter="0" w:footer="0" w:header="0"/>
        </w:sectPr>
      </w:pPr>
    </w:p>
    <w:bookmarkStart w:id="19" w:name="page20"/>
    <w:bookmarkEnd w:id="19"/>
    <w:p>
      <w:pPr>
        <w:ind w:right="500"/>
        <w:spacing w:after="0" w:line="277" w:lineRule="auto"/>
        <w:rPr>
          <w:sz w:val="20"/>
          <w:szCs w:val="20"/>
          <w:color w:val="auto"/>
        </w:rPr>
      </w:pPr>
      <w:r>
        <w:rPr>
          <w:rFonts w:ascii="Arial" w:cs="Arial" w:eastAsia="Arial" w:hAnsi="Arial"/>
          <w:sz w:val="18"/>
          <w:szCs w:val="18"/>
          <w:color w:val="auto"/>
        </w:rPr>
        <w:t>report, we have not experienced, and currently do not anticipate, any material impairments with respect to any of our long-lived assets, including our property and equipment, goodwill or intangible assets.</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Although we believe the effects of the COVID-19 pandemic on our business and our operations will be temporary, at the present time we are unable to determine the ultimate duration of the pandemic or its long-term effects on, among other things, the global, national or local economies, the capital and credit markets, our workforce, our customers or our suppliers. As a result, we are unable to predict whether the COVID-19 crisis will have a material adverse impact on our business, financial condition, liquidity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Revenues for the three months ended March 31, 2021 and 2020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and testing revenue from certain clients, and (v) license revenues attributable to the out-licensing of ASCENIV in December 2012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over the term of the Biotest license, representing a period of approximately 22 years.</w:t>
      </w:r>
    </w:p>
    <w:p>
      <w:pPr>
        <w:spacing w:after="0" w:line="17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sales of our intermediates or contract manufacturing, control transfers to the customer and the performance obligation is satisfied when the customer takes possession of the product from the Boca Facility or a third-party warehouse that is utilized by the Company.</w:t>
      </w:r>
    </w:p>
    <w:p>
      <w:pPr>
        <w:spacing w:after="0" w:line="16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2021, five customers, BioCARE, Inc. (“BioCare”), Biolife Plasma Services, L.P. (“Biolife”), Reliance Life</w:t>
      </w:r>
    </w:p>
    <w:p>
      <w:pPr>
        <w:spacing w:after="0" w:line="46"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Sciences Pvt Limited (“Reliance”), Priority Healthcare Distribution, Inc. (“Curascript”) and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America Infusion Services LLC (“AIS”) represented an aggregate of 86% of our consolidated revenues. For the three months ended March 31, 2020, BioCare, Biolife and Reliance represented an aggregate of 82% of our consolidated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 We extend credit to our customers based upon an evaluation of each customer's financial condition and credit history. Evaluations of the financial condition and associated credit risk of customers are performed on an ongoing basis. Based on these evaluations, we have concluded that our credit risk is minimal.</w:t>
      </w:r>
    </w:p>
    <w:p>
      <w:pPr>
        <w:sectPr>
          <w:pgSz w:w="11900" w:h="16838" w:orient="portrait"/>
          <w:cols w:equalWidth="0" w:num="1">
            <w:col w:w="11220"/>
          </w:cols>
          <w:pgMar w:left="320" w:top="125" w:right="35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Product Revenue</w:t>
      </w:r>
    </w:p>
    <w:p>
      <w:pPr>
        <w:sectPr>
          <w:pgSz w:w="11900" w:h="16838" w:orient="portrait"/>
          <w:cols w:equalWidth="0" w:num="1">
            <w:col w:w="11220"/>
          </w:cols>
          <w:pgMar w:left="320" w:top="125" w:right="359" w:bottom="0" w:gutter="0" w:footer="0" w:header="0"/>
          <w:type w:val="continuous"/>
        </w:sectPr>
      </w:pPr>
    </w:p>
    <w:bookmarkStart w:id="20" w:name="page21"/>
    <w:bookmarkEnd w:id="20"/>
    <w:p>
      <w:pPr>
        <w:ind w:firstLine="648"/>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as we ensure product quality and compliance with FDA, state and local regulations, or due to testing results not meeting specifications. Such losses are charged to cost of product revenue in the period they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three months ended March 31, 2021, we granted RSUs to certain members of our management and employees representing an aggregate 492,744 shares of common stock, and during the three months ended March 31, 2020, we granted RSUs to members of our Board of Directors and certain members of our management and employees representing an aggregate of 341,000 shares of common stock. For the purpose of valuing stock options granted to our employees, directors and officers, we use the Black-Scholes option pricing model. We granted options to purchase an aggregate of 1,441,050 and 1,158,900 shares of common stock to management, employees and directors during the three months ended March 31, 2021 and 2020,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we have elected not to establish a forfeiture rate, as stock-based compensation expense related to forfeitures of</w:t>
      </w:r>
      <w:r>
        <w:rPr>
          <w:rFonts w:ascii="Arial" w:cs="Arial" w:eastAsia="Arial" w:hAnsi="Arial"/>
          <w:sz w:val="16"/>
          <w:szCs w:val="16"/>
          <w:i w:val="1"/>
          <w:iCs w:val="1"/>
          <w:color w:val="auto"/>
        </w:rPr>
        <w:t xml:space="preserve"> </w:t>
      </w:r>
      <w:r>
        <w:rPr>
          <w:rFonts w:ascii="Arial" w:cs="Arial" w:eastAsia="Arial" w:hAnsi="Arial"/>
          <w:sz w:val="16"/>
          <w:szCs w:val="16"/>
          <w:color w:val="auto"/>
        </w:rPr>
        <w:t>unvested stock options is fully reversed at the time of forfeiture.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Our research and development (“R&amp;D”) costs consist of clinical research organization costs, costs related to clinical trials, testing and evaluation of new or alternative products or processes, studies for potentially extending a product’s approved and labeled expiration dating and other potential label expansions, post-marketing commitment studies for BIVIGAM and ASCENIV and wages, benefits and stock-based compensation for employees directly related to research and development activities. All research and development costs are expensed as incurred.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Raw materials inventory consists of various materials purchased from suppliers, including normal source plasma, that are used in the production of our products. Work-in-process and finished goods inventories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our products relative to the total square footage of the facility.</w:t>
      </w:r>
    </w:p>
    <w:p>
      <w:pPr>
        <w:spacing w:after="0" w:line="16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we expect to receive when the inventory is sold, less costs to deliver the inventory to the recipient. The estimates for net realizable value of inventory are based on contractual terms or upon historical experience and certain other assumptions which we believe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months ended March 31, 2021 and 2020, we determined that there was no impairment of our long-lived assets.</w:t>
      </w:r>
    </w:p>
    <w:p>
      <w:pPr>
        <w:spacing w:after="0" w:line="17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three months ended March 31,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In June 2016, the Financial Accounting Standards Board (the “FASB”) issued Accounting Standards Update (“ASU”) No.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Credit Losses (Topic 326) </w:t>
      </w:r>
      <w:r>
        <w:rPr>
          <w:rFonts w:ascii="Arial" w:cs="Arial" w:eastAsia="Arial" w:hAnsi="Arial"/>
          <w:sz w:val="16"/>
          <w:szCs w:val="16"/>
          <w:color w:val="auto"/>
        </w:rPr>
        <w:t>(“ASU 2016-13”), which requires financial assets to be presented at the net amount expected to be collected, with</w:t>
      </w:r>
    </w:p>
    <w:p>
      <w:pPr>
        <w:sectPr>
          <w:pgSz w:w="11900" w:h="16838" w:orient="portrait"/>
          <w:cols w:equalWidth="0" w:num="1">
            <w:col w:w="11240"/>
          </w:cols>
          <w:pgMar w:left="320" w:top="341" w:right="339" w:bottom="0" w:gutter="0" w:footer="0" w:header="0"/>
        </w:sectPr>
      </w:pPr>
    </w:p>
    <w:bookmarkStart w:id="21" w:name="page22"/>
    <w:bookmarkEnd w:id="21"/>
    <w:p>
      <w:pPr>
        <w:ind w:right="40"/>
        <w:spacing w:after="0" w:line="275" w:lineRule="auto"/>
        <w:rPr>
          <w:sz w:val="20"/>
          <w:szCs w:val="20"/>
          <w:color w:val="auto"/>
        </w:rPr>
      </w:pPr>
      <w:r>
        <w:rPr>
          <w:rFonts w:ascii="Arial" w:cs="Arial" w:eastAsia="Arial" w:hAnsi="Arial"/>
          <w:sz w:val="17"/>
          <w:szCs w:val="17"/>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No. 2016-13 on January 1, 2020, and the adoption of this update did not have a significant impact on our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March 31, 2021, our first fiscal quarter, compared to the three months ended March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191"/>
        </w:trPr>
        <w:tc>
          <w:tcPr>
            <w:tcW w:w="7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6"/>
                <w:szCs w:val="16"/>
                <w:color w:val="auto"/>
              </w:rPr>
            </w:pP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16,048,618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10,199,744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5,848,874</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17,770,122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16,829,226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940,896</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(1,721,504)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(6,629,482)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4,907,978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987,649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1,528,738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(541,089)</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2,242,343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1,741,699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178,838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10,033,915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7,932,084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2,101,831</w:t>
            </w:r>
          </w:p>
        </w:tc>
      </w:tr>
      <w:tr>
        <w:trPr>
          <w:trHeight w:val="20"/>
        </w:trPr>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(15,164,249)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(16,769,786)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1,605,537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(3,195,750)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(2,717,091)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(478,659)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(19,942)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241,647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(261,589)</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(18,379,941)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(19,245,230)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865,289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recorded total revenues of $16.0 million during the three months ended March 31, 2021, as compared to $10.2 million during the three months ended March 31, 2020, an increase of $5.8 million, or approximately 57%. The increase is due to increased sales of our immunoglobulin products generated by our Boca Facility manufacturing operations in 2021.</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revenues for the first quarter of 2021 as compared to the same period of a year ago were favorably impacted by the continued commercial scale-up and physician/payer acceptance of BIVIGAM and ASCENIV following these products’ FDA approvals on May 9, 2019 and April 1, 2019, respectively, while we continued to benefit from the manufacturing and supply agreement we entered into in January 2020 to produce and sell intermediate fractions to a certain customer. Revenues in the first quarter of 2021 were also favorably impacted by the approvals we received from the FDA to implement a Hepatitis B immunization program at one of our FDA-approved plasma collection centers and from MFDS for the sale of source plasma into South Korea.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Revenue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Cost of product revenue was $17.8 million for the three months ended March 31, 2021, as compared to $16.8 million for the three months ended March 31, 2020. This increase reflects higher product revenue costs in 2021 of $4.6 million corresponding to the increase in immunoglobulin revenues, partially offset by the absence of conformance batch production expenses in 2020 of $3.9 million and a decrease in unabsorbed manufacturing expenses at the Boca Facility of $0.6 million. As we continue to ramp up our immunoglobulin production at an increased production scale, we anticipate further reductions in unabsorbed manufacturing expenses in 2021 and beyond.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R&amp;D expenses totaled $1.0 million for the three months ended March 31, 2021, as compared to $1.5 million for the three months ended March 31, 2020. The decrease is primarily due to $0.4 million in costs incurred during the first quarter of 2020 for a study we conducted to potentially extend ASCENIV’s approved and labeled expiration dating, and to a $0.1 million decrease in expenses related to clinical studies in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Center Operating Expenses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Plasma center operating expenses were $2.2 million for the three months ended March 31, 2021, as compared to $0.5 million for the three months ended March 31, 2020.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increase in plasma center operating expenses is mainly attributable to increased staffing and travel expenses related to our plasma center expansion activities. We had three plasma collection centers in operation during the first quarter of 2021, while the first quarter of 2020 commenced with one plasma center in operation, with the second plasma collection center opening on February 1, 2020. We also had four other plasma collection centers in various stages of construction in development during the first quarter of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ectPr>
          <w:pgSz w:w="11900" w:h="16838" w:orient="portrait"/>
          <w:cols w:equalWidth="0" w:num="1">
            <w:col w:w="11240"/>
          </w:cols>
          <w:pgMar w:left="320" w:top="125" w:right="339" w:bottom="69" w:gutter="0" w:footer="0" w:header="0"/>
        </w:sectPr>
      </w:pPr>
    </w:p>
    <w:bookmarkStart w:id="22" w:name="page23"/>
    <w:bookmarkEnd w:id="22"/>
    <w:p>
      <w:pPr>
        <w:ind w:right="440" w:firstLine="648"/>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March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Selling, general and administrative (“SG&amp;A”) expenses were $10.0 million for the three months ended March 31, 2021, an increase of $2.1 million from the three months ended March 31, 2020. The increase was primarily due to higher employee compensation and related expenses of $1.0 million related to staffing increases, largely in support of our commercialization efforts for BIVIGAM and ASCENIV, $0.8 million in marketing, market access startup program fees and consulting fees associated with our ASCENIV and BIVIGAM commercialization efforts and $0.4 million in increased insurance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29"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Our operating loss was $15.2 million for the first quarter of 2021, as compared to $16.8 million for the first quarter of 2020. The $1.6 million decrease in operating loss was mainly due to the increase in revenues, partially offset by the increase in SG&amp;A and plasma center 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Interest expense was $3.2 million for the three months ended March 31, 2021, as compared to $2.7 million for the three months ended March 31, 2020. The increase reflects the additional interest expense associated with the Perceptive Tranche III Loan which we drew down on March 20, 2020, as well as the higher interest on the $15 million note formerly due to Biotest that we refinanced in December 2020 (see “Liquidity and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Our net loss was $18.4 million for the three months ended March 31, 2021, as compared to $19.2 million for the three months ended March 31, 2020. The decrease in net loss of $0.9 million was primarily due to the decreased in operating loss for the quarter of $1.6 million, the increase in interest expense of $0.5 million, and the decrease in interest income of $0.2 million due to the reduction of interest rates that took place during the first quarter of 2020.</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2021, we had working capital of $156.1 million, including cash and cash equivalents of $62.0 million, and stockholders’ equity of $112.5 million, as compared to working capital of $133.8 million, including cash and cash equivalents of $55.9 million, and stockholders’ equity of $88.2 million as of December 31, 2020. We have incurred an accumulated deficit of $358.8 million since inception, had negative cash flows from operations of $33.2 million and $24.6 million for the three months ended March 31, 2021 and 2020, respectively, and negative cash flows from operations of $102.0 million and $76.2 million for the years ended December 31, 2020 and 2019, respectively. We have funded our operations over the past few years primarily from the sale of our equity and debt securities.</w:t>
      </w:r>
    </w:p>
    <w:p>
      <w:pPr>
        <w:spacing w:after="0" w:line="19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through corporate collaboration and licensing arrangements. Based upon our current projected revenues, the remaining proceeds we expect to receive from the sale of common stock pursuant to the Sale Agreement (as amended to date) discussed below and our projected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fourth quarter of 2021. In order to have sufficient cash to fund our operations thereafter, we will need to raise additional capital before the end of the fourth quarter of 2021. These estimates and timeframes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w:t>
      </w:r>
    </w:p>
    <w:p>
      <w:pPr>
        <w:ind w:right="340"/>
        <w:spacing w:after="0" w:line="260" w:lineRule="auto"/>
        <w:rPr>
          <w:sz w:val="20"/>
          <w:szCs w:val="20"/>
          <w:color w:val="auto"/>
        </w:rPr>
      </w:pPr>
      <w:r>
        <w:rPr>
          <w:rFonts w:ascii="Arial" w:cs="Arial" w:eastAsia="Arial" w:hAnsi="Arial"/>
          <w:sz w:val="18"/>
          <w:szCs w:val="18"/>
          <w:color w:val="auto"/>
        </w:rPr>
        <w:t>all. Furthermore, if our assumptions underlying our estimated expenses and revenues are incorrect, we may have to raise additional capital sooner than currently anticipated.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Due to numerous risks and uncertainties associated with the COVID-19 pandemic, FDA reviews, inspections and approvals related to our products,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our ability to continue as a going concern.</w:t>
      </w:r>
    </w:p>
    <w:p>
      <w:pPr>
        <w:sectPr>
          <w:pgSz w:w="11900" w:h="16838" w:orient="portrait"/>
          <w:cols w:equalWidth="0" w:num="1">
            <w:col w:w="11200"/>
          </w:cols>
          <w:pgMar w:left="320" w:top="125" w:right="379" w:bottom="0" w:gutter="0" w:footer="0" w:header="0"/>
        </w:sectPr>
      </w:pPr>
    </w:p>
    <w:bookmarkStart w:id="23" w:name="page24"/>
    <w:bookmarkEnd w:id="23"/>
    <w:p>
      <w:pPr>
        <w:ind w:right="100" w:firstLine="648"/>
        <w:spacing w:after="0" w:line="296"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61" w:lineRule="exact"/>
        <w:rPr>
          <w:sz w:val="20"/>
          <w:szCs w:val="20"/>
          <w:color w:val="auto"/>
        </w:rPr>
      </w:pPr>
    </w:p>
    <w:p>
      <w:pPr>
        <w:ind w:right="40" w:firstLine="567"/>
        <w:spacing w:after="0" w:line="275" w:lineRule="auto"/>
        <w:rPr>
          <w:sz w:val="20"/>
          <w:szCs w:val="20"/>
          <w:color w:val="auto"/>
        </w:rPr>
      </w:pPr>
      <w:r>
        <w:rPr>
          <w:rFonts w:ascii="Arial" w:cs="Arial" w:eastAsia="Arial" w:hAnsi="Arial"/>
          <w:sz w:val="17"/>
          <w:szCs w:val="17"/>
          <w:color w:val="auto"/>
        </w:rPr>
        <w:t>On August 5, 2020, we entered into an Open Market Sale Agreement (the “Sale Agreement”) with Jefferies LLC, as agent (“Jefferies”), pursuant to which we could offer and sell, from time to time, at our option, through or to Jefferies, up to an aggregate of $50 million of shares of our common stock. On November 5, 2020 and February 3, 2021, we and Jefferies entered into an amendment to the Sale Agreement (as amended, the “Amended Sale Agreement”) to provide for an increase in the aggregate offering amount under the Amended Sale Agreement, such that, as of February 3, 2021, we could sell shares having an aggregate offering price of up to $105.4 million.</w:t>
      </w:r>
    </w:p>
    <w:p>
      <w:pPr>
        <w:spacing w:after="0" w:line="17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For the year ended December 31, 2020, we sold 18,537,907 shares of our common stock under the Sale Agreement and received net proceeds in the amount of $42.5 million. During the three months ended March 31, 2021, we sold an additional 18,080,708 shares of our common stock and received net proceeds of $41.9 million, and between April 1, 2021 and May 7, 2021, we sold an additional 5,144,647 shares of our common stock under the Amended Sale Agreement and received net proceeds in the amount of $10.9 million, which leaves a remaining gross balance that can be raised under the Amended Sale Agreement of approximately $7.9 million. The net proceeds from this offering are being used for general corporate purposes, which may include (i) the procurement of raw materials for the manufacturing of BIVIGAM and ASCENIV; (ii) supporting the ongoing commercial sales of our IVIG products; (iii) expanding the manufacturing capacity of our Boca Facility, including supply chain functions, and enhancing the robustness of our supply chain oversight; (iv) expanding our plasma collection facility network; and (v) research and development and business development opportunities.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11, 2019 (the “Perceptive Closing Date”), we and all of our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$100.0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$27.5 million (the “Perceptive Tranche II Loan”) evidenced by the Company’s issuance of a promissory note (the “Perceptive Tranche II Note”) in favor of Perceptive on May 3, 2019, (iii) a term loan in the principal amount of $12.5 million evidenced by the Company’s issuance of a promissory note (the “Perceptive Tranche III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Tranche III Loan is the result of an amendment to the Perceptive Credit Agreement that the Company and Perceptive entered into on May 3, 2019 (the “First Perceptive Amendment”), and the Perceptive Tranche III Loan became available to the Company upon the approval of BIVIGAM on May 9, 2019. The Perceptive Tranche IV Loan is the result of an amendment to the Perceptive Credit Facility entered into on December 8, 2020 (the “Second Perceptive Amendment”), which also extended the maturity date of the Perceptive Credit Facility to March 1, 2024 (the “Maturity Date”), subject to acceleration pursuant to the Perceptive Credit Agreement, including upon an Event of Default (as defined in the Perceptive Credit Agreement).</w:t>
      </w:r>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proceeds from the Perceptive Tranche IV Loan were used to retire the $15.0 million subordinated note we had payable to Biotest, which had a maturity date of June 17,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right="260" w:firstLine="8"/>
        <w:spacing w:after="0" w:line="27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3.5%; provided, however, that upon, and during the continuance of, an Event of Default, the interest rate will automatically increase by an additional 400 basis points. Accrued interest of approximately $0.9 million per month is payable to Perceptive on the last day of each month during the term of the Perceptive Credit Facility. The rate of interest in effect as of the Perceptive Closing Date and at March 31, 2021 was 11.0%.</w:t>
      </w:r>
    </w:p>
    <w:p>
      <w:pPr>
        <w:spacing w:after="0" w:line="17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the Maturity Date, we are required to pay Perceptive the entire outstanding principal amount underlying the Perceptive Loans and any accrued and unpaid interest thereon. There are no scheduled principal payments on the Perceptive Loans prior to the Maturity Date. We may prepay outstanding principal on the Perceptive Loans at any time and from time to time upon three business days’ prior written notice, subject to the payment to Perceptive of</w:t>
      </w:r>
    </w:p>
    <w:p>
      <w:pPr>
        <w:spacing w:after="0" w:line="2" w:lineRule="exact"/>
        <w:rPr>
          <w:sz w:val="20"/>
          <w:szCs w:val="20"/>
          <w:color w:val="auto"/>
        </w:rPr>
      </w:pPr>
    </w:p>
    <w:p>
      <w:pPr>
        <w:jc w:val="both"/>
        <w:ind w:right="80" w:firstLine="8"/>
        <w:spacing w:after="0" w:line="253"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accrued but unpaid interest on the prepaid principal amount plus (B) a redemption premium amount equal to (i) 5.0% of the prepaid principal amount, if prepaid on or prior to December 31, 2021, (ii) 2.0% of the prepaid principal amount, if prepaid after December 31, 2021 and on or prior to December 31, 2022, (iii) 4.0% of the prepaid principal amount, if prepaid after December 31, 2022 and on or prior to December 31, 2023, and (iv) 5.0% of the prepaid principal amount, if prepaid any time thereafter and prior to the Maturity Date.</w:t>
      </w:r>
    </w:p>
    <w:p>
      <w:pPr>
        <w:spacing w:after="0" w:line="19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that of our subsidiaries to, among other things and subject to certain exceptions contained in the Perceptive Credit Agreement, incur new indebtedness; create liens on assets; engage in certain fundamental corporate changes, such as mergers or acquisitions, or changes to our or our subsidiaries’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$31.2 million for the fiscal quarter ended March 31, 2021 to $55.0 million for the fiscal quarter ending December 31, 2021. At March 31, 2021, we were in compliance with all of the covenants contained in the Perceptive Credit Agreement.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24" w:name="page25"/>
    <w:bookmarkEnd w:id="24"/>
    <w:p>
      <w:pPr>
        <w:ind w:right="12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were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(33,229,126)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(24,646,960)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(2,571,161)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(2,072,876)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41,844,844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101,203,400</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6,044,557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74,483,564</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55,921,152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26,752,135</w:t>
            </w: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61,965,709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101,235,699</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Cash used in operations for the three months ended March 31, 2021 was $33.2 million, an increase of $8.6 million from the same period of a year ago, mainly due to an increase in inventory. The following table illustrates the primary components of our cash flows from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(18,379,941)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2,419,892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1,860,365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(2,124,740)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(3,637,915)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(12,610,601)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775,932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(2,321,751)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(1,952,947)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(125,414)</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(33,229,126)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(24,646,960)</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cash used in investing activities for the three months March 31, 2021 was $2.6 million, which primarily consisted of $1.6 million for the construction and buildout of new plasma centers and related equipment and capital expenditures at the Boca Facility of $1.0 million, which includes equipment purchases and implementation of our in-house fill/finish capabilities. Cash used in investing activities of $2.1 million for the three months ended March 31, 2020 was mainly attributable to capital expenditures at the Boca Facility. Although we have no specific material commitments for capital expenditures as of March 31, 2021, we expect our total capital expenditures will be between $12.0 million and $18.0 million for the remainder of fiscal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Cash provided by financing activities was $41.8 million for the three months ended March 31, 2021 and primarily consisted of proceeds received from the Amended Sale Agreement. Cash provided by financing activities of $101.2 million was comprised of $88.7 million of net proceeds received from our underwritten public offering in February 2020 and $12.5 million of proceeds from the Perceptive Tranche III Loan received in March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for the three months ended March 31, 2021 or in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ectPr>
          <w:pgSz w:w="11900" w:h="16838" w:orient="portrait"/>
          <w:cols w:equalWidth="0" w:num="1">
            <w:col w:w="11240"/>
          </w:cols>
          <w:pgMar w:left="320" w:top="125" w:right="339" w:bottom="0" w:gutter="0" w:footer="0" w:header="0"/>
        </w:sectPr>
      </w:pPr>
    </w:p>
    <w:bookmarkStart w:id="25" w:name="page26"/>
    <w:bookmarkEnd w:id="25"/>
    <w:p>
      <w:pPr>
        <w:ind w:right="160" w:firstLine="607"/>
        <w:spacing w:after="0" w:line="275" w:lineRule="auto"/>
        <w:rPr>
          <w:sz w:val="20"/>
          <w:szCs w:val="20"/>
          <w:color w:val="auto"/>
        </w:rPr>
      </w:pPr>
      <w:r>
        <w:rPr>
          <w:rFonts w:ascii="Arial" w:cs="Arial" w:eastAsia="Arial" w:hAnsi="Arial"/>
          <w:sz w:val="17"/>
          <w:szCs w:val="17"/>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76" w:lineRule="exact"/>
        <w:rPr>
          <w:sz w:val="20"/>
          <w:szCs w:val="20"/>
          <w:color w:val="auto"/>
        </w:rPr>
      </w:pPr>
    </w:p>
    <w:p>
      <w:pPr>
        <w:ind w:right="40" w:firstLine="607"/>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March 31, 2021. Based on this evaluation, our principal executive officer and our principal financial officer concluded that our disclosure controls and procedures as of March 31, 2021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607"/>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2021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920" w:right="140" w:hanging="467"/>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auditor’s report contains a going concern statement.</w:t>
      </w:r>
    </w:p>
    <w:p>
      <w:pPr>
        <w:spacing w:after="0" w:line="225" w:lineRule="exact"/>
        <w:rPr>
          <w:rFonts w:ascii="Arial" w:cs="Arial" w:eastAsia="Arial" w:hAnsi="Arial"/>
          <w:sz w:val="18"/>
          <w:szCs w:val="18"/>
          <w:color w:val="auto"/>
        </w:rPr>
      </w:pPr>
    </w:p>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ind w:left="920" w:right="60" w:hanging="467"/>
        <w:spacing w:after="0" w:line="263"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920" w:right="40" w:hanging="467"/>
        <w:spacing w:after="0" w:line="286"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rFonts w:ascii="Arial" w:cs="Arial" w:eastAsia="Arial" w:hAnsi="Arial"/>
          <w:sz w:val="17"/>
          <w:szCs w:val="17"/>
          <w:color w:val="auto"/>
        </w:rPr>
      </w:pPr>
    </w:p>
    <w:p>
      <w:pPr>
        <w:ind w:left="920" w:right="140" w:hanging="467"/>
        <w:spacing w:after="0" w:line="308"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920" w:right="400" w:hanging="467"/>
        <w:spacing w:after="0" w:line="308"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920" w:hanging="4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jc w:val="both"/>
        <w:ind w:left="920" w:right="280" w:hanging="467"/>
        <w:spacing w:after="0" w:line="263"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83" w:lineRule="exact"/>
        <w:rPr>
          <w:rFonts w:ascii="Arial" w:cs="Arial" w:eastAsia="Arial" w:hAnsi="Arial"/>
          <w:sz w:val="18"/>
          <w:szCs w:val="18"/>
          <w:color w:val="auto"/>
        </w:rPr>
      </w:pPr>
    </w:p>
    <w:p>
      <w:pPr>
        <w:ind w:left="920" w:right="140" w:hanging="467"/>
        <w:spacing w:after="0" w:line="277"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ectPr>
          <w:pgSz w:w="11900" w:h="16838" w:orient="portrait"/>
          <w:cols w:equalWidth="0" w:num="1">
            <w:col w:w="11240"/>
          </w:cols>
          <w:pgMar w:left="320" w:top="341" w:right="339" w:bottom="0" w:gutter="0" w:footer="0" w:header="0"/>
        </w:sectPr>
      </w:pPr>
    </w:p>
    <w:bookmarkStart w:id="26" w:name="page27"/>
    <w:bookmarkEnd w:id="26"/>
    <w:p>
      <w:pPr>
        <w:ind w:left="920" w:right="40" w:hanging="467"/>
        <w:spacing w:after="0" w:line="263"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83" w:lineRule="exact"/>
        <w:rPr>
          <w:rFonts w:ascii="Arial" w:cs="Arial" w:eastAsia="Arial" w:hAnsi="Arial"/>
          <w:sz w:val="18"/>
          <w:szCs w:val="18"/>
          <w:color w:val="auto"/>
        </w:rPr>
      </w:pPr>
    </w:p>
    <w:p>
      <w:pPr>
        <w:ind w:left="920" w:right="80" w:hanging="467"/>
        <w:spacing w:after="0" w:line="259"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20" w:right="440" w:hanging="467"/>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920" w:right="70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or test products and product candidates, and such parties are outside of our control.</w:t>
      </w:r>
    </w:p>
    <w:p>
      <w:pPr>
        <w:spacing w:after="0" w:line="170" w:lineRule="exact"/>
        <w:rPr>
          <w:rFonts w:ascii="Arial" w:cs="Arial" w:eastAsia="Arial" w:hAnsi="Arial"/>
          <w:sz w:val="18"/>
          <w:szCs w:val="18"/>
          <w:color w:val="auto"/>
        </w:rPr>
      </w:pPr>
    </w:p>
    <w:p>
      <w:pPr>
        <w:ind w:left="920" w:right="800" w:hanging="467"/>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46" w:lineRule="exact"/>
        <w:rPr>
          <w:rFonts w:ascii="Arial" w:cs="Arial" w:eastAsia="Arial" w:hAnsi="Arial"/>
          <w:sz w:val="17"/>
          <w:szCs w:val="17"/>
          <w:color w:val="auto"/>
        </w:rPr>
      </w:pPr>
    </w:p>
    <w:p>
      <w:pPr>
        <w:ind w:left="920" w:hanging="467"/>
        <w:spacing w:after="0" w:line="263"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920" w:right="6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920" w:right="18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920" w:right="300" w:hanging="467"/>
        <w:spacing w:after="0" w:line="286"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rFonts w:ascii="Arial" w:cs="Arial" w:eastAsia="Arial" w:hAnsi="Arial"/>
          <w:sz w:val="17"/>
          <w:szCs w:val="17"/>
          <w:color w:val="auto"/>
        </w:rPr>
      </w:pPr>
    </w:p>
    <w:p>
      <w:pPr>
        <w:ind w:left="920" w:right="26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920" w:right="44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Perceptive Credit Facility is subject to acceleration in specified circumstances, which may result in Perceptive taking possession and disposing of any collateral.</w:t>
      </w:r>
    </w:p>
    <w:p>
      <w:pPr>
        <w:spacing w:after="0" w:line="170" w:lineRule="exact"/>
        <w:rPr>
          <w:rFonts w:ascii="Arial" w:cs="Arial" w:eastAsia="Arial" w:hAnsi="Arial"/>
          <w:sz w:val="18"/>
          <w:szCs w:val="18"/>
          <w:color w:val="auto"/>
        </w:rPr>
      </w:pPr>
    </w:p>
    <w:p>
      <w:pPr>
        <w:ind w:left="920" w:right="580" w:hanging="467"/>
        <w:spacing w:after="0" w:line="308"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920" w:right="12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170" w:lineRule="exact"/>
        <w:rPr>
          <w:rFonts w:ascii="Arial" w:cs="Arial" w:eastAsia="Arial" w:hAnsi="Arial"/>
          <w:sz w:val="18"/>
          <w:szCs w:val="18"/>
          <w:color w:val="auto"/>
        </w:rPr>
      </w:pPr>
    </w:p>
    <w:p>
      <w:pPr>
        <w:ind w:left="920" w:right="46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920" w:right="240" w:hanging="467"/>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ind w:left="920" w:right="100" w:hanging="467"/>
        <w:spacing w:after="0" w:line="263"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83" w:lineRule="exact"/>
        <w:rPr>
          <w:rFonts w:ascii="Arial" w:cs="Arial" w:eastAsia="Arial" w:hAnsi="Arial"/>
          <w:sz w:val="18"/>
          <w:szCs w:val="18"/>
          <w:color w:val="auto"/>
        </w:rPr>
      </w:pPr>
    </w:p>
    <w:p>
      <w:pPr>
        <w:ind w:left="920" w:hanging="467"/>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w:t>
      </w:r>
    </w:p>
    <w:p>
      <w:pPr>
        <w:sectPr>
          <w:pgSz w:w="11900" w:h="16838" w:orient="portrait"/>
          <w:cols w:equalWidth="0" w:num="1">
            <w:col w:w="11220"/>
          </w:cols>
          <w:pgMar w:left="320" w:top="341" w:right="359" w:bottom="0" w:gutter="0" w:footer="0" w:header="0"/>
        </w:sectPr>
      </w:pPr>
    </w:p>
    <w:bookmarkStart w:id="27" w:name="page28"/>
    <w:bookmarkEnd w:id="27"/>
    <w:p>
      <w:pPr>
        <w:ind w:right="20"/>
        <w:spacing w:after="0" w:line="308" w:lineRule="auto"/>
        <w:rPr>
          <w:sz w:val="20"/>
          <w:szCs w:val="20"/>
          <w:color w:val="auto"/>
        </w:rPr>
      </w:pPr>
      <w:r>
        <w:rPr>
          <w:rFonts w:ascii="Arial" w:cs="Arial" w:eastAsia="Arial" w:hAnsi="Arial"/>
          <w:sz w:val="17"/>
          <w:szCs w:val="17"/>
          <w:i w:val="1"/>
          <w:iCs w:val="1"/>
          <w:color w:val="auto"/>
        </w:rPr>
        <w:t>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as well as the additional proceeds we expect to receive in connection with sales of our common stock pursuant to the Amended Sale Agreement, that our current cash, cash equivalents and accounts receivable will be sufficient to fund our operations into the fourth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until the beginning of 2024 and, as a result, we anticipate that we will need to continue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the auditor’s report on our financial statements for the year ended December 31, 2020 includes a going concern paragraph. To date, our products have not generated significant revenue. As a result, we have suffered recurring losses and require significant additional cash resources to execute our business plan. These losses are expected to continue for an extended period of time. These factors raise substantial doubt about our ability to continue as a going concern beyond one year from the date of filing this Quarterly Report on Form 10-Q.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recognize that we will need to raise additional capital in order to continue to execute our business plan in the future. Historically, the major source of our cash has been from proceeds from various public and private offerings of our common stock. The actual amount of cash that we will need is subject to many factors. There can be no assurances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flows into fiscal 2022, and we may never achieve or maintain profitability. For the three months ended March 31, 2021 and 2020, we incurred net losses of $18.4 million and $19.2 million, respectively, and for the years ended December 31, 2020 and 2019, we incurred net losses of $75.7 million and $48.3 million, respectively. From our inception in 2004 through March 31, 2021, we have incurred an accumulated deficit of $358.8 million.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6" w:lineRule="exact"/>
        <w:rPr>
          <w:sz w:val="20"/>
          <w:szCs w:val="20"/>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COVID-19 pandemic has the potential to adversely impact several aspects of each of our business segments, our commercial manufacturing operations and plasma collection facilities, including but not limited to potential disruptions to our supply-chain operations, including procurement of raw</w:t>
      </w:r>
    </w:p>
    <w:p>
      <w:pPr>
        <w:sectPr>
          <w:pgSz w:w="11900" w:h="16838" w:orient="portrait"/>
          <w:cols w:equalWidth="0" w:num="1">
            <w:col w:w="11220"/>
          </w:cols>
          <w:pgMar w:left="320" w:top="125" w:right="359" w:bottom="0" w:gutter="0" w:footer="0" w:header="0"/>
        </w:sectPr>
      </w:pPr>
    </w:p>
    <w:bookmarkStart w:id="28" w:name="page29"/>
    <w:bookmarkEnd w:id="28"/>
    <w:p>
      <w:pPr>
        <w:spacing w:after="0" w:line="285" w:lineRule="auto"/>
        <w:rPr>
          <w:sz w:val="20"/>
          <w:szCs w:val="20"/>
          <w:color w:val="auto"/>
        </w:rPr>
      </w:pPr>
      <w:r>
        <w:rPr>
          <w:rFonts w:ascii="Arial" w:cs="Arial" w:eastAsia="Arial" w:hAnsi="Arial"/>
          <w:sz w:val="16"/>
          <w:szCs w:val="16"/>
          <w:color w:val="auto"/>
        </w:rPr>
        <w:t>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quality of our products and product candidates.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a combination of previous state and local “shelter-in-place” orders, as well as government stimulus packages, persisting social distancing measures and varying roll-outs of vaccinations by state, we have experienced, and may experience in the future, lower than expected donor collections at our FDA-licensed plasma collection centers. We were also subject to delays in shipments of source plasma from our contracted third-party suppliers, as well as delays in deliveries or price increases for personal protective equipment, reagents and other non-plasma raw materials and supplies used in the manufacture and distribution of our products. We have also experienced supply chain delays as a result of significant resources being diverted towards the rapid development and distribution of COVID-19 vaccines.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future we may continue to experience pandemic 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FDA with a notification of the change.</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During the second quarter of 2021, we were notified by the FDA that our submission for the approval of our in-house fill-finish process utilizing our Vanrx SA25 Workcell aseptic filling machine will require a site inspection, either in person or virtually. Taking into account ongoing travel restrictions resulting from the pandemic, we believe the inspection could be completed before the end of the fourth quarter of 2021, however we cannot provide any assurances as to the timing of such an inspection or the timing of when the FDA may adjust its restrictions due to COVID-19. Due to the potential impact of the COVID-19 outbreak on clinical trials, drug development, and manufacturing, FDA issued a number of guidances specifically concerning COVID-19, including guidances with respect to blood and blood components. FDA’s guidance is continually evolving.</w:t>
      </w:r>
    </w:p>
    <w:p>
      <w:pPr>
        <w:spacing w:after="0" w:line="17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Since the onset of the COVID-19 pandemic, there has been a noticeable decline in certain medical prescriptions attributed to lower incident rates for illnesses, fewer RSV, influenza and other respiratory viral pathogen-infected patients, hospital admissions and a reduction in doctor visits. In addition, physical and social distancing guidelines issued by public health authorities and the resulting global changes in human behavior have resulted in an observed reduction in infection transmission rates and spread of bacterial and viral infections, resulting in lower rates of infection across all patient populations, which, if continued, could potentially negatively impact the use of our IVIG products by patients.</w:t>
      </w:r>
    </w:p>
    <w:p>
      <w:pPr>
        <w:spacing w:after="0" w:line="17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COVID-19 pandemic may also result in changes in laws and regulations. By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ectPr>
          <w:pgSz w:w="11900" w:h="16838" w:orient="portrait"/>
          <w:cols w:equalWidth="0" w:num="1">
            <w:col w:w="11200"/>
          </w:cols>
          <w:pgMar w:left="320" w:top="125" w:right="379" w:bottom="113" w:gutter="0" w:footer="0" w:header="0"/>
        </w:sectPr>
      </w:pPr>
    </w:p>
    <w:bookmarkStart w:id="29" w:name="page30"/>
    <w:bookmarkEnd w:id="29"/>
    <w:p>
      <w:pPr>
        <w:ind w:right="120" w:firstLine="720"/>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71"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Although we have built our own fill/finish suite within the Boca Facility, we also intend to continue to utilize third parties to supplement our fill/finish process for final drug substance. In addition, our recently completed fill/finish suite has yet to be validated and approved by the FDA. Our anticipated reliance on a limited number of third-party manufacturers exposes us to the following risks:</w:t>
      </w:r>
    </w:p>
    <w:p>
      <w:pPr>
        <w:spacing w:after="0" w:line="184" w:lineRule="exact"/>
        <w:rPr>
          <w:sz w:val="20"/>
          <w:szCs w:val="20"/>
          <w:color w:val="auto"/>
        </w:rPr>
      </w:pPr>
    </w:p>
    <w:p>
      <w:pPr>
        <w:ind w:left="460" w:right="16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46" w:lineRule="exact"/>
        <w:rPr>
          <w:rFonts w:ascii="Arial" w:cs="Arial" w:eastAsia="Arial" w:hAnsi="Arial"/>
          <w:sz w:val="17"/>
          <w:szCs w:val="17"/>
          <w:color w:val="auto"/>
        </w:rPr>
      </w:pPr>
    </w:p>
    <w:p>
      <w:pPr>
        <w:ind w:left="460" w:right="6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460" w:right="500" w:hanging="452"/>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fill/finishers might be unable to timely provide finished drug product in sufficient quantity to meet our commercial needs;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460" w:right="6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23"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Each of these risks could delay or prevent the completion of our finished drug product and the release of finished drug product by the FDA, which could result in higher costs or adversely impact the commercialization of our products. These risks could also result in the delay in obtaining clinical supply,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7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 could result in certain FDA actions, including the issuance of observations, notices, citations or warning letters.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must inspect and approve our and our third-parties’ facilities before they may be used for commercial production. At the end of such an inspection, the FDA could issue a Form 483 Notice of Inspectional Observations, which could cause us to modify certain activities identified during the inspection and may not approve the use of the facility.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196"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ectPr>
          <w:pgSz w:w="11900" w:h="16838" w:orient="portrait"/>
          <w:cols w:equalWidth="0" w:num="1">
            <w:col w:w="11240"/>
          </w:cols>
          <w:pgMar w:left="320" w:top="125" w:right="3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the COVID-19 pandemic,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1"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w:t>
      </w:r>
    </w:p>
    <w:p>
      <w:pPr>
        <w:sectPr>
          <w:pgSz w:w="11900" w:h="16838" w:orient="portrait"/>
          <w:cols w:equalWidth="0" w:num="1">
            <w:col w:w="11240"/>
          </w:cols>
          <w:pgMar w:left="320" w:top="557" w:right="339" w:bottom="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the FDA or an independent institutional review board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9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920" w:right="760" w:hanging="467"/>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920" w:right="380" w:hanging="467"/>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20" w:right="14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70" w:lineRule="exact"/>
        <w:rPr>
          <w:rFonts w:ascii="Arial" w:cs="Arial" w:eastAsia="Arial" w:hAnsi="Arial"/>
          <w:sz w:val="18"/>
          <w:szCs w:val="18"/>
          <w:color w:val="auto"/>
        </w:rPr>
      </w:pPr>
    </w:p>
    <w:p>
      <w:pPr>
        <w:ind w:left="920" w:right="2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FDA upon the filing of a marketing application;</w:t>
      </w:r>
    </w:p>
    <w:p>
      <w:pPr>
        <w:spacing w:after="0" w:line="170" w:lineRule="exact"/>
        <w:rPr>
          <w:rFonts w:ascii="Arial" w:cs="Arial" w:eastAsia="Arial" w:hAnsi="Arial"/>
          <w:sz w:val="18"/>
          <w:szCs w:val="18"/>
          <w:color w:val="auto"/>
        </w:rPr>
      </w:pPr>
    </w:p>
    <w:p>
      <w:pPr>
        <w:ind w:left="920" w:right="62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920" w:right="30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achieve sufficient study enrollment, subjects may drop out or be withdrawn from out studies, we may have delays in adding new investigators or clinical trial sites, or we may experience a withdrawal of clinical trial sites;</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jc w:val="both"/>
        <w:ind w:left="920" w:right="20" w:hanging="467"/>
        <w:spacing w:after="0" w:line="263"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or study design, including endpoints, or our interpretation of data from preclinical studies and clinical trials, may find that a product candidate’s benefits do not outweigh its safety risks, or may require that we conduct additional development or study work;</w:t>
      </w:r>
    </w:p>
    <w:p>
      <w:pPr>
        <w:spacing w:after="0" w:line="183" w:lineRule="exact"/>
        <w:rPr>
          <w:rFonts w:ascii="Arial" w:cs="Arial" w:eastAsia="Arial" w:hAnsi="Arial"/>
          <w:sz w:val="18"/>
          <w:szCs w:val="18"/>
          <w:color w:val="auto"/>
        </w:rPr>
      </w:pPr>
    </w:p>
    <w:p>
      <w:pPr>
        <w:ind w:left="920" w:right="14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w:t>
      </w:r>
    </w:p>
    <w:p>
      <w:pPr>
        <w:spacing w:after="0" w:line="170" w:lineRule="exact"/>
        <w:rPr>
          <w:rFonts w:ascii="Arial" w:cs="Arial" w:eastAsia="Arial" w:hAnsi="Arial"/>
          <w:sz w:val="18"/>
          <w:szCs w:val="18"/>
          <w:color w:val="auto"/>
        </w:rPr>
      </w:pPr>
    </w:p>
    <w:p>
      <w:pPr>
        <w:ind w:left="920" w:right="64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920" w:hanging="467"/>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Global trade policies that may impact our or our manufacturers’ ability to obtain raw materials and/or finished product for commercialization;</w:t>
      </w:r>
    </w:p>
    <w:p>
      <w:pPr>
        <w:spacing w:after="0" w:line="248" w:lineRule="exact"/>
        <w:rPr>
          <w:rFonts w:ascii="Arial" w:cs="Arial" w:eastAsia="Arial" w:hAnsi="Arial"/>
          <w:sz w:val="16"/>
          <w:szCs w:val="16"/>
          <w:color w:val="auto"/>
        </w:rPr>
      </w:pPr>
    </w:p>
    <w:p>
      <w:pPr>
        <w:ind w:left="920" w:hanging="467"/>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FDA or comparable regulatory authorities may take longer than we anticipate to make decisions on our products or product candidates; and</w:t>
      </w:r>
    </w:p>
    <w:p>
      <w:pPr>
        <w:spacing w:after="0" w:line="248" w:lineRule="exact"/>
        <w:rPr>
          <w:rFonts w:ascii="Arial" w:cs="Arial" w:eastAsia="Arial" w:hAnsi="Arial"/>
          <w:sz w:val="16"/>
          <w:szCs w:val="16"/>
          <w:color w:val="auto"/>
        </w:rPr>
      </w:pPr>
    </w:p>
    <w:p>
      <w:pPr>
        <w:ind w:left="920" w:right="460" w:hanging="467"/>
        <w:spacing w:after="0" w:line="277"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0" w:gutter="0" w:footer="0" w:header="0"/>
        </w:sectPr>
      </w:pPr>
    </w:p>
    <w:bookmarkStart w:id="32" w:name="page33"/>
    <w:bookmarkEnd w:id="32"/>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71"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among other consequences, any of which could harm our reputation and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w:t>
      </w:r>
    </w:p>
    <w:p>
      <w:pPr>
        <w:sectPr>
          <w:pgSz w:w="11900" w:h="16838" w:orient="portrait"/>
          <w:cols w:equalWidth="0" w:num="1">
            <w:col w:w="11240"/>
          </w:cols>
          <w:pgMar w:left="320" w:top="125" w:right="339" w:bottom="0" w:gutter="0" w:footer="0" w:header="0"/>
        </w:sectPr>
      </w:pPr>
    </w:p>
    <w:bookmarkStart w:id="33" w:name="page34"/>
    <w:bookmarkEnd w:id="33"/>
    <w:p>
      <w:pPr>
        <w:ind w:right="260"/>
        <w:spacing w:after="0" w:line="277" w:lineRule="auto"/>
        <w:rPr>
          <w:sz w:val="20"/>
          <w:szCs w:val="20"/>
          <w:color w:val="auto"/>
        </w:rPr>
      </w:pPr>
      <w:r>
        <w:rPr>
          <w:rFonts w:ascii="Arial" w:cs="Arial" w:eastAsia="Arial" w:hAnsi="Arial"/>
          <w:sz w:val="18"/>
          <w:szCs w:val="18"/>
          <w:color w:val="auto"/>
        </w:rPr>
        <w:t>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depend on independent investigators and collaborators, such as universities and medical institutions, contract laboratories, clinical research organizations,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00" w:right="2480" w:hanging="447"/>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ectPr>
          <w:pgSz w:w="11900" w:h="16838" w:orient="portrait"/>
          <w:cols w:equalWidth="0" w:num="1">
            <w:col w:w="11240"/>
          </w:cols>
          <w:pgMar w:left="320" w:top="125" w:right="339" w:bottom="0" w:gutter="0" w:footer="0" w:header="0"/>
        </w:sectPr>
      </w:pPr>
    </w:p>
    <w:bookmarkStart w:id="34" w:name="page35"/>
    <w:bookmarkEnd w:id="34"/>
    <w:p>
      <w:pPr>
        <w:spacing w:after="0" w:line="19" w:lineRule="exact"/>
        <w:rPr>
          <w:sz w:val="20"/>
          <w:szCs w:val="20"/>
          <w:color w:val="auto"/>
        </w:rPr>
      </w:pPr>
    </w:p>
    <w:p>
      <w:pPr>
        <w:ind w:left="900" w:right="20" w:hanging="447"/>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70"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For the three months ended March 31, 2021, five customers, BioCare, Biolife, Reliance, Curascript and AIS represented an aggregate of 86% of our consolidated revenues. For the year ended December 31, 2020, three customers, BioCare, Reliance and Biolife, represented an aggregate of 82% of our consolidated revenues.</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2021, five customers, Curascript, BioCare, AIS, Reliance and McKesson Corporation, represented a total of 90% of our consolidated accounts receivable. As of December 31, 2020, three customers, BioCare, Reliance Curascript, represented a total of 92% of our consolidated accounts receivable.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produce and deliver a sufficient quantity of our products in a timely manner to meet our customers’ requirements; and</w:t>
      </w:r>
    </w:p>
    <w:p>
      <w:pPr>
        <w:spacing w:after="0" w:line="236" w:lineRule="exact"/>
        <w:rPr>
          <w:rFonts w:ascii="Arial" w:cs="Arial" w:eastAsia="Arial" w:hAnsi="Arial"/>
          <w:sz w:val="17"/>
          <w:szCs w:val="17"/>
          <w:color w:val="auto"/>
        </w:rPr>
      </w:pPr>
    </w:p>
    <w:p>
      <w:pPr>
        <w:ind w:left="900" w:right="480" w:hanging="447"/>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w:t>
      </w:r>
    </w:p>
    <w:p>
      <w:pPr>
        <w:sectPr>
          <w:pgSz w:w="11900" w:h="16857" w:orient="portrait"/>
          <w:cols w:equalWidth="0" w:num="1">
            <w:col w:w="11240"/>
          </w:cols>
          <w:pgMar w:left="320" w:top="341" w:right="33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successful, our ability to achieve profitability may be adversely impacted.</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currently provides for a senior secured term loan facility in the principal amount of $100.0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issuance of a promissory note in favor of Perceptive on May 3, 2019 (the “Perceptive Tranche II Loan”), (iii) a term loan in the principal amount of $12.5 million evidenced by our issuance of a promissory note in favor of Perceptive on March 20, 2020, (the “Perceptive Tranche III Loan”); and (iv) a term loan in the principal amount of $15 million evidenced by our issuance of a promissory note in favor of Perceptive on December 8, 2020 (the “Perceptive Tranche IV Loan,” and together with the Perceptive Tranche I Loan, the Perceptive Tranche II Loan and the Perceptive Tranche III Loan, the “Perceptive Loans”). The Perceptive Loans each have a maturity date of March 1, 2024,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w:t>
      </w:r>
    </w:p>
    <w:p>
      <w:pPr>
        <w:sectPr>
          <w:pgSz w:w="11900" w:h="16838" w:orient="portrait"/>
          <w:cols w:equalWidth="0" w:num="1">
            <w:col w:w="11240"/>
          </w:cols>
          <w:pgMar w:left="320" w:top="125" w:right="339" w:bottom="0" w:gutter="0" w:footer="0" w:header="0"/>
        </w:sectPr>
      </w:pPr>
    </w:p>
    <w:bookmarkStart w:id="36" w:name="page37"/>
    <w:bookmarkEnd w:id="36"/>
    <w:p>
      <w:pPr>
        <w:ind w:right="60"/>
        <w:spacing w:after="0" w:line="275" w:lineRule="auto"/>
        <w:rPr>
          <w:sz w:val="20"/>
          <w:szCs w:val="20"/>
          <w:color w:val="auto"/>
        </w:rPr>
      </w:pPr>
      <w:r>
        <w:rPr>
          <w:rFonts w:ascii="Arial" w:cs="Arial" w:eastAsia="Arial" w:hAnsi="Arial"/>
          <w:sz w:val="17"/>
          <w:szCs w:val="17"/>
          <w:color w:val="auto"/>
        </w:rPr>
        <w:t>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w:t>
      </w:r>
    </w:p>
    <w:p>
      <w:pPr>
        <w:sectPr>
          <w:pgSz w:w="11900" w:h="16838" w:orient="portrait"/>
          <w:cols w:equalWidth="0" w:num="1">
            <w:col w:w="11220"/>
          </w:cols>
          <w:pgMar w:left="320" w:top="125" w:right="359" w:bottom="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8"/>
          <w:szCs w:val="18"/>
          <w:color w:val="auto"/>
        </w:rPr>
        <w:t>technologies or processes, or could enter an order mandating that we undertake certain remedial activities. Any of these events could seriously harm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FDA and other government approvals, as applicable. Failure to comply with applicable governmental regulations or to receive applicable approvals for our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ectPr>
          <w:pgSz w:w="11900" w:h="16838" w:orient="portrait"/>
          <w:cols w:equalWidth="0" w:num="1">
            <w:col w:w="11220"/>
          </w:cols>
          <w:pgMar w:left="320" w:top="125" w:right="359" w:bottom="132" w:gutter="0" w:footer="0" w:header="0"/>
        </w:sectPr>
      </w:pPr>
    </w:p>
    <w:bookmarkStart w:id="38" w:name="page39"/>
    <w:bookmarkEnd w:id="38"/>
    <w:p>
      <w:pPr>
        <w:ind w:firstLine="648"/>
        <w:spacing w:after="0" w:line="257" w:lineRule="auto"/>
        <w:rPr>
          <w:sz w:val="20"/>
          <w:szCs w:val="20"/>
          <w:color w:val="auto"/>
        </w:rPr>
      </w:pPr>
      <w:r>
        <w:rPr>
          <w:rFonts w:ascii="Arial" w:cs="Arial" w:eastAsia="Arial" w:hAnsi="Arial"/>
          <w:sz w:val="18"/>
          <w:szCs w:val="18"/>
          <w:color w:val="auto"/>
        </w:rPr>
        <w:t>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5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16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w:t>
      </w:r>
    </w:p>
    <w:p>
      <w:pPr>
        <w:sectPr>
          <w:pgSz w:w="11900" w:h="16838" w:orient="portrait"/>
          <w:cols w:equalWidth="0" w:num="1">
            <w:col w:w="11220"/>
          </w:cols>
          <w:pgMar w:left="320" w:top="125" w:right="359" w:bottom="0" w:gutter="0" w:footer="0" w:header="0"/>
        </w:sectPr>
      </w:pPr>
    </w:p>
    <w:bookmarkStart w:id="39" w:name="page40"/>
    <w:bookmarkEnd w:id="39"/>
    <w:p>
      <w:pPr>
        <w:ind w:right="660"/>
        <w:spacing w:after="0" w:line="308" w:lineRule="auto"/>
        <w:rPr>
          <w:sz w:val="20"/>
          <w:szCs w:val="20"/>
          <w:color w:val="auto"/>
        </w:rPr>
      </w:pPr>
      <w:r>
        <w:rPr>
          <w:rFonts w:ascii="Arial" w:cs="Arial" w:eastAsia="Arial" w:hAnsi="Arial"/>
          <w:sz w:val="17"/>
          <w:szCs w:val="17"/>
          <w:color w:val="auto"/>
        </w:rPr>
        <w:t>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46"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20" w:firstLine="720"/>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8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40"/>
          </w:cols>
          <w:pgMar w:left="320" w:top="125" w:right="339" w:bottom="173"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17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w:t>
      </w:r>
    </w:p>
    <w:p>
      <w:pPr>
        <w:sectPr>
          <w:pgSz w:w="11900" w:h="16838" w:orient="portrait"/>
          <w:cols w:equalWidth="0" w:num="1">
            <w:col w:w="11240"/>
          </w:cols>
          <w:pgMar w:left="320" w:top="125" w:right="339" w:bottom="0" w:gutter="0" w:footer="0" w:header="0"/>
        </w:sectPr>
      </w:pPr>
    </w:p>
    <w:bookmarkStart w:id="41" w:name="page42"/>
    <w:bookmarkEnd w:id="41"/>
    <w:p>
      <w:pPr>
        <w:ind w:right="200"/>
        <w:spacing w:after="0" w:line="272" w:lineRule="auto"/>
        <w:rPr>
          <w:sz w:val="20"/>
          <w:szCs w:val="20"/>
          <w:color w:val="auto"/>
        </w:rPr>
      </w:pPr>
      <w:r>
        <w:rPr>
          <w:rFonts w:ascii="Arial" w:cs="Arial" w:eastAsia="Arial" w:hAnsi="Arial"/>
          <w:sz w:val="17"/>
          <w:szCs w:val="17"/>
          <w:color w:val="auto"/>
        </w:rPr>
        <w:t>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77"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was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ectPr>
          <w:pgSz w:w="11900" w:h="16838" w:orient="portrait"/>
          <w:cols w:equalWidth="0" w:num="1">
            <w:col w:w="11220"/>
          </w:cols>
          <w:pgMar w:left="320" w:top="125" w:right="359" w:bottom="0" w:gutter="0" w:footer="0" w:header="0"/>
        </w:sectPr>
      </w:pPr>
    </w:p>
    <w:bookmarkStart w:id="42" w:name="page43"/>
    <w:bookmarkEnd w:id="42"/>
    <w:p>
      <w:pPr>
        <w:ind w:right="6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There have been repeated attempts by Congress to repeal or change the Healthcare Reform Law and there are ongoing legal challenges, including at the Supreme Court, which may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three months ended March 31, 2021 and 2020, we had negative cash flows from operations of $33.2 million and $24.6 million, respectively, and for the years ended December 31, 2020 and 2019, we had negative cash flows from operations of approximately $102.0 million and $76.2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expect that we will need to continue to finance our operations through additional equity or debt financings or corporate collaboration and licensing agreements. We currently anticipate, based upon our projected revenue and expenditures, as well as the additional funds we expect to receive from the sale of common stock pursuant to the Amended Sale Agreement, that our current cash, cash equivalents and accounts receivable will be sufficient to fund our operations, as currently conducted, into the fourth quarter of 2021. In order to have sufficient cash to fund our operations thereafter, we will need to raise additional equity or debt financing before the end of the fourth quarter of 2021. This time frame may change based upon how quickly we are able to execute on our operational initiatives and the various financing options that may be available to us in 2021.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$100.0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$0.9 million, with all principal and unpaid interest due at maturity. The Perceptive Credit Facility has a maturity date of March 1, 2024,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17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ectPr>
          <w:pgSz w:w="11900" w:h="16838" w:orient="portrait"/>
          <w:cols w:equalWidth="0" w:num="1">
            <w:col w:w="11240"/>
          </w:cols>
          <w:pgMar w:left="320" w:top="341" w:right="339" w:bottom="118" w:gutter="0" w:footer="0" w:header="0"/>
        </w:sectPr>
      </w:pPr>
    </w:p>
    <w:bookmarkStart w:id="43" w:name="page44"/>
    <w:bookmarkEnd w:id="43"/>
    <w:p>
      <w:pPr>
        <w:ind w:right="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have incurred substantial losses during our history. As of December 31, 2020, we had federal and state NOLs of $239.8 million and $172.6 million, respectively. Federal and State NOLs of approximately $115.8 million and $90.0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about us or about our competitors, including clinical trial results, regulatory approvals or new product introductions;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ectPr>
          <w:pgSz w:w="11900" w:h="16838" w:orient="portrait"/>
          <w:cols w:equalWidth="0" w:num="1">
            <w:col w:w="11200"/>
          </w:cols>
          <w:pgMar w:left="320" w:top="125" w:right="379" w:bottom="0" w:gutter="0" w:footer="0" w:header="0"/>
        </w:sectPr>
      </w:pPr>
    </w:p>
    <w:bookmarkStart w:id="44" w:name="page45"/>
    <w:bookmarkEnd w:id="44"/>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900" w:hanging="44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May 7, 2021, most of our 128,189,628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As of March 31, 2021, Perceptive, our directors and executive officers and their affiliates beneficially owned approximately 19%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900" w:hanging="44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900" w:right="160" w:hanging="447"/>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also recently adopted a short-term stockholder rights agreement with an expiration date of December 15, 2021 and an ownership trigger threshold of 10%. This stockholder rights agreement could render more difficult or discourage a merger, tender offer or assumption of control of the Company that is not approved by our Board. The rights agreement, however, should not interfere with any merger, tender or exchange offer or other business combination approved by our Board. In addition, the rights agreement does not prevent our Board from considering any offer that it considers to be in the best interest of the Company’s stockholders.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w:t>
      </w:r>
    </w:p>
    <w:p>
      <w:pPr>
        <w:sectPr>
          <w:pgSz w:w="11900" w:h="16838" w:orient="portrait"/>
          <w:cols w:equalWidth="0" w:num="1">
            <w:col w:w="11240"/>
          </w:cols>
          <w:pgMar w:left="320" w:top="125" w:right="339" w:bottom="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March 31, 2021, there were 9,874,413 shares remaining available for issuance, after giving effect to 13,362,319 shares of our common stock that were subject to outstanding stock options, Restricted Stock Units and warrants as of March 31, 2021 that may be issued by us without stockholder approval, as well as an additional 3,718,287 shares reserved for the future issuance of awards under our equity compensation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Effective as of May 12, 2021, we entered into a Second Amendment to our Plasma Purchase Agreement with Grifols Worldwide Operations Limited (“Grifols”) whereby, among other provisions, we extended the term of our supply agreement for the purchase of normal source plasma (“NSP”) through December 31, 2022, while certain historical provisions were deleted. In order to maintain a reliable supply of raw material plasma thereafter, we are in late-stage discussions with multiple third-party plasma suppliers to provide us with a long-term supply of NSP, which will be supplemented by our accelerated plasma center expansion activities, whereby we expect to have more than 10 plasma collection centers in operation by 2024. We expect these initiatives will ensure our raw material plasma supply to meet our anticipated peak annual plasma processing capability of up to 600,000 liters.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Arial" w:cs="Arial" w:eastAsia="Arial" w:hAnsi="Arial"/>
                <w:sz w:val="18"/>
                <w:szCs w:val="18"/>
                <w:b w:val="1"/>
                <w:bCs w:val="1"/>
                <w:color w:val="auto"/>
              </w:rPr>
              <w:t>ADMA Biologics,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Adam S. Grossman</w:t>
            </w: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20"/>
          </w:cols>
          <w:pgMar w:left="320" w:top="125" w:right="359" w:bottom="136"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10"/>
          </w:tcPr>
          <w:p>
            <w:pPr>
              <w:spacing w:after="0"/>
              <w:rPr>
                <w:sz w:val="20"/>
                <w:szCs w:val="20"/>
                <w:color w:val="auto"/>
              </w:rPr>
            </w:pPr>
            <w:r>
              <w:rPr>
                <w:rFonts w:ascii="Arial" w:cs="Arial" w:eastAsia="Arial" w:hAnsi="Arial"/>
                <w:sz w:val="18"/>
                <w:szCs w:val="18"/>
                <w:color w:val="auto"/>
              </w:rPr>
              <w:t>Date: May 12, 2021</w:t>
            </w:r>
          </w:p>
        </w:tc>
        <w:tc>
          <w:tcPr>
            <w:tcW w:w="6760" w:type="dxa"/>
            <w:vAlign w:val="bottom"/>
            <w:gridSpan w:val="8"/>
          </w:tcPr>
          <w:p>
            <w:pPr>
              <w:ind w:left="1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Brian Lenz</w:t>
            </w: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Brian Lenz</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Title:  Executive Vice President and Chief Financial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60" w:type="dxa"/>
            <w:vAlign w:val="bottom"/>
            <w:gridSpan w:val="7"/>
          </w:tcPr>
          <w:p>
            <w:pPr>
              <w:ind w:left="5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648"/>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w:t>
            </w:r>
          </w:p>
        </w:tc>
        <w:tc>
          <w:tcPr>
            <w:tcW w:w="3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80" w:type="dxa"/>
            <w:vAlign w:val="bottom"/>
            <w:gridSpan w:val="10"/>
          </w:tcPr>
          <w:p>
            <w:pPr>
              <w:spacing w:after="0"/>
              <w:rPr>
                <w:rFonts w:ascii="Arial" w:cs="Arial" w:eastAsia="Arial" w:hAnsi="Arial"/>
                <w:sz w:val="18"/>
                <w:szCs w:val="18"/>
                <w:i w:val="1"/>
                <w:iCs w:val="1"/>
                <w:color w:val="0000EE"/>
              </w:rPr>
            </w:pPr>
            <w:hyperlink w:anchor="page1">
              <w:r>
                <w:rPr>
                  <w:rFonts w:ascii="Arial" w:cs="Arial" w:eastAsia="Arial" w:hAnsi="Arial"/>
                  <w:sz w:val="18"/>
                  <w:szCs w:val="18"/>
                  <w:i w:val="1"/>
                  <w:iCs w:val="1"/>
                  <w:color w:val="0000EE"/>
                </w:rPr>
                <w:t>Table of Contents</w:t>
              </w:r>
            </w:hyperlink>
          </w:p>
        </w:tc>
        <w:tc>
          <w:tcPr>
            <w:tcW w:w="1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60" w:type="dxa"/>
            <w:vAlign w:val="bottom"/>
            <w:gridSpan w:val="8"/>
          </w:tcPr>
          <w:p>
            <w:pPr>
              <w:ind w:left="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33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1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20" w:type="dxa"/>
            <w:vAlign w:val="bottom"/>
            <w:gridSpan w:val="4"/>
            <w:vMerge w:val="restart"/>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4"/>
                <w:szCs w:val="14"/>
                <w:color w:val="auto"/>
              </w:rPr>
            </w:pPr>
          </w:p>
        </w:tc>
        <w:tc>
          <w:tcPr>
            <w:tcW w:w="10100" w:type="dxa"/>
            <w:vAlign w:val="bottom"/>
            <w:gridSpan w:val="13"/>
            <w:shd w:val="clear" w:color="auto" w:fill="CCEEFF"/>
          </w:tcPr>
          <w:p>
            <w:pPr>
              <w:spacing w:after="0" w:line="169"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Second Amendment to Plasma Purchase Agreement, effective as of May 12, 2021, by and between ADMA BioManufacturing, LLC and</w:t>
              </w:r>
            </w:hyperlink>
          </w:p>
        </w:tc>
        <w:tc>
          <w:tcPr>
            <w:tcW w:w="0" w:type="dxa"/>
            <w:vAlign w:val="bottom"/>
          </w:tcPr>
          <w:p>
            <w:pPr>
              <w:spacing w:after="0"/>
              <w:rPr>
                <w:sz w:val="1"/>
                <w:szCs w:val="1"/>
                <w:color w:val="auto"/>
              </w:rPr>
            </w:pPr>
          </w:p>
        </w:tc>
      </w:tr>
      <w:tr>
        <w:trPr>
          <w:trHeight w:val="88"/>
        </w:trPr>
        <w:tc>
          <w:tcPr>
            <w:tcW w:w="1020" w:type="dxa"/>
            <w:vAlign w:val="bottom"/>
            <w:tcBorders>
              <w:top w:val="single" w:sz="8" w:color="CCEEFF"/>
            </w:tcBorders>
            <w:gridSpan w:val="4"/>
            <w:vMerge w:val="continue"/>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340" w:type="dxa"/>
            <w:vAlign w:val="bottom"/>
            <w:tcBorders>
              <w:top w:val="single" w:sz="8" w:color="0000EE"/>
            </w:tcBorders>
            <w:gridSpan w:val="5"/>
            <w:vMerge w:val="restart"/>
            <w:shd w:val="clear" w:color="auto" w:fill="CCEEFF"/>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Grifols Worldwide Operations LTD</w:t>
              </w:r>
            </w:hyperlink>
          </w:p>
        </w:tc>
        <w:tc>
          <w:tcPr>
            <w:tcW w:w="1500" w:type="dxa"/>
            <w:vAlign w:val="bottom"/>
            <w:tcBorders>
              <w:top w:val="single" w:sz="8" w:color="0000EE"/>
            </w:tcBorders>
            <w:shd w:val="clear" w:color="auto" w:fill="CCEEFF"/>
          </w:tcPr>
          <w:p>
            <w:pPr>
              <w:spacing w:after="0"/>
              <w:rPr>
                <w:sz w:val="7"/>
                <w:szCs w:val="7"/>
                <w:color w:val="auto"/>
              </w:rPr>
            </w:pPr>
          </w:p>
        </w:tc>
        <w:tc>
          <w:tcPr>
            <w:tcW w:w="3920" w:type="dxa"/>
            <w:vAlign w:val="bottom"/>
            <w:tcBorders>
              <w:top w:val="single" w:sz="8" w:color="0000EE"/>
            </w:tcBorders>
            <w:shd w:val="clear" w:color="auto" w:fill="CCEEFF"/>
          </w:tcPr>
          <w:p>
            <w:pPr>
              <w:spacing w:after="0"/>
              <w:rPr>
                <w:sz w:val="7"/>
                <w:szCs w:val="7"/>
                <w:color w:val="auto"/>
              </w:rPr>
            </w:pPr>
          </w:p>
        </w:tc>
        <w:tc>
          <w:tcPr>
            <w:tcW w:w="10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340" w:type="dxa"/>
            <w:vAlign w:val="bottom"/>
            <w:tcBorders>
              <w:top w:val="single" w:sz="8" w:color="0000EE"/>
            </w:tcBorders>
            <w:gridSpan w:val="5"/>
            <w:vMerge w:val="continue"/>
            <w:shd w:val="clear" w:color="auto" w:fill="CCEEFF"/>
          </w:tcPr>
          <w:p>
            <w:pPr>
              <w:spacing w:after="0"/>
              <w:rPr>
                <w:sz w:val="7"/>
                <w:szCs w:val="7"/>
                <w:color w:val="auto"/>
              </w:rPr>
            </w:pPr>
          </w:p>
        </w:tc>
        <w:tc>
          <w:tcPr>
            <w:tcW w:w="1500" w:type="dxa"/>
            <w:vAlign w:val="bottom"/>
            <w:tcBorders>
              <w:top w:val="single" w:sz="8" w:color="CCEEFF"/>
            </w:tcBorders>
            <w:shd w:val="clear" w:color="auto" w:fill="CCEEFF"/>
          </w:tcPr>
          <w:p>
            <w:pPr>
              <w:spacing w:after="0"/>
              <w:rPr>
                <w:sz w:val="7"/>
                <w:szCs w:val="7"/>
                <w:color w:val="auto"/>
              </w:rPr>
            </w:pPr>
          </w:p>
        </w:tc>
        <w:tc>
          <w:tcPr>
            <w:tcW w:w="392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gridSpan w:val="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of Principal Executive Officer pursuant to Rules 13a-14(a) and 15d-14(a), as adopted pursuant to Section 302 of the Sarbanes-</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Oxley Act of 2002.</w:t>
              </w:r>
            </w:hyperlink>
          </w:p>
        </w:tc>
        <w:tc>
          <w:tcPr>
            <w:tcW w:w="150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3"/>
            <w:shd w:val="clear" w:color="auto" w:fill="CCEEFF"/>
          </w:tcPr>
          <w:p>
            <w:pPr>
              <w:spacing w:after="0" w:line="17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Principal Financial Officer pursuant to Rules 13a-14(a) and 15d-14(a), as adopted pursuant to Section 302 of the Sarbanes-</w:t>
              </w:r>
            </w:hyperlink>
          </w:p>
        </w:tc>
        <w:tc>
          <w:tcPr>
            <w:tcW w:w="0" w:type="dxa"/>
            <w:vAlign w:val="bottom"/>
          </w:tcPr>
          <w:p>
            <w:pPr>
              <w:spacing w:after="0"/>
              <w:rPr>
                <w:sz w:val="1"/>
                <w:szCs w:val="1"/>
                <w:color w:val="auto"/>
              </w:rPr>
            </w:pPr>
          </w:p>
        </w:tc>
      </w:tr>
      <w:tr>
        <w:trPr>
          <w:trHeight w:val="217"/>
        </w:trPr>
        <w:tc>
          <w:tcPr>
            <w:tcW w:w="4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Oxley Act of 2002.</w:t>
              </w:r>
            </w:hyperlink>
          </w:p>
        </w:tc>
        <w:tc>
          <w:tcPr>
            <w:tcW w:w="19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1500" w:type="dxa"/>
            <w:vAlign w:val="bottom"/>
            <w:tcBorders>
              <w:top w:val="single" w:sz="8" w:color="0000EE"/>
              <w:bottom w:val="single" w:sz="8" w:color="CCEEFF"/>
            </w:tcBorders>
            <w:shd w:val="clear" w:color="auto" w:fill="CCEEFF"/>
          </w:tcPr>
          <w:p>
            <w:pPr>
              <w:spacing w:after="0"/>
              <w:rPr>
                <w:sz w:val="18"/>
                <w:szCs w:val="18"/>
                <w:color w:val="auto"/>
              </w:rPr>
            </w:pPr>
          </w:p>
        </w:tc>
        <w:tc>
          <w:tcPr>
            <w:tcW w:w="3920" w:type="dxa"/>
            <w:vAlign w:val="bottom"/>
            <w:tcBorders>
              <w:top w:val="single" w:sz="8" w:color="0000EE"/>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gridSpan w:val="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Act of 2002.</w:t>
              </w:r>
            </w:hyperlink>
          </w:p>
        </w:tc>
        <w:tc>
          <w:tcPr>
            <w:tcW w:w="150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gridSpan w:val="3"/>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4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Act of 2002.</w:t>
              </w:r>
            </w:hyperlink>
          </w:p>
        </w:tc>
        <w:tc>
          <w:tcPr>
            <w:tcW w:w="1500" w:type="dxa"/>
            <w:vAlign w:val="bottom"/>
            <w:tcBorders>
              <w:top w:val="single" w:sz="8" w:color="0000EE"/>
            </w:tcBorders>
            <w:shd w:val="clear" w:color="auto" w:fill="CCEEFF"/>
          </w:tcPr>
          <w:p>
            <w:pPr>
              <w:spacing w:after="0"/>
              <w:rPr>
                <w:sz w:val="17"/>
                <w:szCs w:val="17"/>
                <w:color w:val="auto"/>
              </w:rPr>
            </w:pPr>
          </w:p>
        </w:tc>
        <w:tc>
          <w:tcPr>
            <w:tcW w:w="392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201" w:lineRule="exact"/>
              <w:rPr>
                <w:sz w:val="20"/>
                <w:szCs w:val="20"/>
                <w:color w:val="auto"/>
              </w:rPr>
            </w:pPr>
            <w:r>
              <w:rPr>
                <w:rFonts w:ascii="Arial" w:cs="Arial" w:eastAsia="Arial" w:hAnsi="Arial"/>
                <w:sz w:val="18"/>
                <w:szCs w:val="18"/>
                <w:color w:val="auto"/>
                <w:w w:val="93"/>
              </w:rPr>
              <w:t>The following materials from ADMA Biologics, Inc.’s Form 10-Q for the quarter ended March 31, 2021, formatted in Extensible Business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w w:val="94"/>
              </w:rPr>
              <w:t>Reporting Language (XBRL): (i) Condensed Consolidated Balance Sheets as of March 31, 2021 (Unaudited) and December 31, 2020,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w w:val="91"/>
              </w:rPr>
              <w:t>(ii) Condensed Consolidated Statements of Operations (Unaudited) for the three months ended March 31, 2021 and 2020, (iii) Condensed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w w:val="95"/>
              </w:rPr>
              <w:t>Consolidated Statements of Changes in Stockholders' Equity (Unaudited) for the three months ended March 31, 2021 and 2020, (iv)</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w w:val="92"/>
              </w:rPr>
              <w:t>Condensed Consolidated Statements of Cash Flows (Unaudited) for the three months ended March 31, 2021 and 2020, and (v) Notes to</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 accordance with SEC Release 33-8238, Exhibit 32.1 and 32.2 are being furnished and not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sought with respect as to certain portions of this exhibit. Such portions have been redacted.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line="161"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Certain confidential information contained in this exhibit was omitted by means of redacting a portion of the text and replacing it with [****],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Regulation S-K Item 601(b) of the Securities Act of 1933, as amended. Certain confidential information has been excluded from the exhibit because it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 not material; and (ii) would be competitively harmful if publicly disclosed.</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u w:val="single" w:color="auto"/>
          <w:color w:val="auto"/>
        </w:rPr>
        <w:t>SECOND AMENDMENT TO PLASMA PURCHASE AGREEMENT</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u w:val="single" w:color="auto"/>
          <w:color w:val="auto"/>
        </w:rPr>
        <w:t>NORMAL SOURCE PLASMA PURCHASE FROM BPC TO ADMA</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Second Amendment to the Plasma Purchase Agreement (this “</w:t>
      </w:r>
      <w:r>
        <w:rPr>
          <w:rFonts w:ascii="Arial" w:cs="Arial" w:eastAsia="Arial" w:hAnsi="Arial"/>
          <w:sz w:val="18"/>
          <w:szCs w:val="18"/>
          <w:b w:val="1"/>
          <w:bCs w:val="1"/>
          <w:color w:val="auto"/>
        </w:rPr>
        <w:t>Amendment #2</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Grifols Worldwide Operations Limited</w:t>
      </w:r>
      <w:r>
        <w:rPr>
          <w:rFonts w:ascii="Arial" w:cs="Arial" w:eastAsia="Arial" w:hAnsi="Arial"/>
          <w:sz w:val="18"/>
          <w:szCs w:val="18"/>
          <w:color w:val="auto"/>
        </w:rPr>
        <w:t>, a corporation having a place of business at Grange Castle Business Park, Grange Castle, Clondalkin, Dublin 22, Ireland (“</w:t>
      </w:r>
      <w:r>
        <w:rPr>
          <w:rFonts w:ascii="Arial" w:cs="Arial" w:eastAsia="Arial" w:hAnsi="Arial"/>
          <w:sz w:val="18"/>
          <w:szCs w:val="18"/>
          <w:b w:val="1"/>
          <w:bCs w:val="1"/>
          <w:color w:val="auto"/>
        </w:rPr>
        <w:t>GWWO</w:t>
      </w:r>
      <w:r>
        <w:rPr>
          <w:rFonts w:ascii="Arial" w:cs="Arial" w:eastAsia="Arial" w:hAnsi="Arial"/>
          <w:sz w:val="18"/>
          <w:szCs w:val="18"/>
          <w:color w:val="auto"/>
        </w:rPr>
        <w:t>”), as the successor-in-interest to BPC Plasma, Inc., formerly, Biotest Pharmaceuticals Corporation (“</w:t>
      </w:r>
      <w:r>
        <w:rPr>
          <w:rFonts w:ascii="Arial" w:cs="Arial" w:eastAsia="Arial" w:hAnsi="Arial"/>
          <w:sz w:val="18"/>
          <w:szCs w:val="18"/>
          <w:b w:val="1"/>
          <w:bCs w:val="1"/>
          <w:color w:val="auto"/>
        </w:rPr>
        <w:t>BPC</w:t>
      </w:r>
      <w:r>
        <w:rPr>
          <w:rFonts w:ascii="Arial" w:cs="Arial" w:eastAsia="Arial" w:hAnsi="Arial"/>
          <w:sz w:val="18"/>
          <w:szCs w:val="18"/>
          <w:color w:val="auto"/>
        </w:rPr>
        <w:t xml:space="preserve">”), and </w:t>
      </w:r>
      <w:r>
        <w:rPr>
          <w:rFonts w:ascii="Arial" w:cs="Arial" w:eastAsia="Arial" w:hAnsi="Arial"/>
          <w:sz w:val="18"/>
          <w:szCs w:val="18"/>
          <w:b w:val="1"/>
          <w:bCs w:val="1"/>
          <w:color w:val="auto"/>
        </w:rPr>
        <w:t>ADMA BioManufacturing, LLC.,</w:t>
      </w:r>
      <w:r>
        <w:rPr>
          <w:rFonts w:ascii="Arial" w:cs="Arial" w:eastAsia="Arial" w:hAnsi="Arial"/>
          <w:sz w:val="18"/>
          <w:szCs w:val="18"/>
          <w:color w:val="auto"/>
        </w:rPr>
        <w:t xml:space="preserve"> a Delaware limited liability corporation having a place of business at 465 Route 17 South, Ramsey, New Jersey 07446 (“</w:t>
      </w:r>
      <w:r>
        <w:rPr>
          <w:rFonts w:ascii="Arial" w:cs="Arial" w:eastAsia="Arial" w:hAnsi="Arial"/>
          <w:sz w:val="18"/>
          <w:szCs w:val="18"/>
          <w:b w:val="1"/>
          <w:bCs w:val="1"/>
          <w:color w:val="auto"/>
        </w:rPr>
        <w:t>ADMA</w:t>
      </w:r>
      <w:r>
        <w:rPr>
          <w:rFonts w:ascii="Arial" w:cs="Arial" w:eastAsia="Arial" w:hAnsi="Arial"/>
          <w:sz w:val="18"/>
          <w:szCs w:val="18"/>
          <w:color w:val="auto"/>
        </w:rPr>
        <w:t>”), is effective as of May 12, 2021 execution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BPC and ADMA were parties to that certain Plasma Purchase Agreement, effective as of June 6, 2017 (as amended, or otherwise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 pursuant to which ADMA purchased from BPC certain quantities of Normal Source Plasma (“Plasma” or “NSP”);</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December 10, 2018, BPC notified ADMA of the assignment of BPC’s rights and obligations under the Agreement to GWWO, its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2019; and</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respective promises contained herein and other valuable consideration, the receipt and legal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and intending to be legally bound hereby, the parties hereto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5" w:lineRule="exact"/>
        <w:rPr>
          <w:sz w:val="20"/>
          <w:szCs w:val="20"/>
          <w:color w:val="auto"/>
        </w:rPr>
      </w:pPr>
    </w:p>
    <w:p>
      <w:pPr>
        <w:ind w:left="460" w:hanging="290"/>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Section A.1., entitled, “</w:t>
      </w: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 is hereby deleted and replaced in its entirety as follows:</w:t>
      </w:r>
    </w:p>
    <w:p>
      <w:pPr>
        <w:spacing w:after="0" w:line="225" w:lineRule="exact"/>
        <w:rPr>
          <w:rFonts w:ascii="Arial" w:cs="Arial" w:eastAsia="Arial" w:hAnsi="Arial"/>
          <w:sz w:val="18"/>
          <w:szCs w:val="18"/>
          <w:b w:val="1"/>
          <w:bCs w:val="1"/>
          <w:color w:val="auto"/>
        </w:rPr>
      </w:pPr>
    </w:p>
    <w:p>
      <w:pPr>
        <w:ind w:left="460" w:right="700" w:firstLine="7"/>
        <w:spacing w:after="0" w:line="282" w:lineRule="auto"/>
        <w:tabs>
          <w:tab w:leader="none" w:pos="64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 xml:space="preserve"> Unless terminated earlier as provided herein, the term of the Agreement shall become effective on the Effective Date and shall remain in effect until December 31, 2022.</w:t>
      </w:r>
    </w:p>
    <w:p>
      <w:pPr>
        <w:spacing w:after="0" w:line="161" w:lineRule="exact"/>
        <w:rPr>
          <w:rFonts w:ascii="Arial" w:cs="Arial" w:eastAsia="Arial" w:hAnsi="Arial"/>
          <w:sz w:val="18"/>
          <w:szCs w:val="18"/>
          <w:b w:val="1"/>
          <w:bCs w:val="1"/>
          <w:color w:val="auto"/>
        </w:rPr>
      </w:pPr>
    </w:p>
    <w:p>
      <w:pPr>
        <w:ind w:left="460" w:hanging="290"/>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Section A.2., entitled, “</w:t>
      </w:r>
      <w:r>
        <w:rPr>
          <w:rFonts w:ascii="Arial" w:cs="Arial" w:eastAsia="Arial" w:hAnsi="Arial"/>
          <w:sz w:val="18"/>
          <w:szCs w:val="18"/>
          <w:b w:val="1"/>
          <w:bCs w:val="1"/>
          <w:u w:val="single" w:color="auto"/>
          <w:color w:val="auto"/>
        </w:rPr>
        <w:t>PRICE AND VOLUMES</w:t>
      </w:r>
      <w:r>
        <w:rPr>
          <w:rFonts w:ascii="Arial" w:cs="Arial" w:eastAsia="Arial" w:hAnsi="Arial"/>
          <w:sz w:val="18"/>
          <w:szCs w:val="18"/>
          <w:b w:val="1"/>
          <w:bCs w:val="1"/>
          <w:color w:val="auto"/>
        </w:rPr>
        <w:t>”, is hereby deleted and replaced in its entirety as follows:</w:t>
      </w:r>
    </w:p>
    <w:p>
      <w:pPr>
        <w:spacing w:after="0" w:line="225" w:lineRule="exact"/>
        <w:rPr>
          <w:rFonts w:ascii="Arial" w:cs="Arial" w:eastAsia="Arial" w:hAnsi="Arial"/>
          <w:sz w:val="18"/>
          <w:szCs w:val="18"/>
          <w:b w:val="1"/>
          <w:bCs w:val="1"/>
          <w:color w:val="auto"/>
        </w:rPr>
      </w:pPr>
    </w:p>
    <w:p>
      <w:pPr>
        <w:ind w:left="640" w:hanging="173"/>
        <w:spacing w:after="0"/>
        <w:tabs>
          <w:tab w:leader="none" w:pos="64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 AND VOLUMES.</w:t>
      </w:r>
    </w:p>
    <w:p>
      <w:pPr>
        <w:spacing w:after="0" w:line="229" w:lineRule="exact"/>
        <w:rPr>
          <w:sz w:val="20"/>
          <w:szCs w:val="20"/>
          <w:color w:val="auto"/>
        </w:rPr>
      </w:pPr>
    </w:p>
    <w:p>
      <w:pPr>
        <w:ind w:left="800" w:right="440" w:hanging="333"/>
        <w:spacing w:after="0" w:line="182" w:lineRule="auto"/>
        <w:tabs>
          <w:tab w:leader="none" w:pos="800" w:val="left"/>
        </w:tabs>
        <w:numPr>
          <w:ilvl w:val="0"/>
          <w:numId w:val="38"/>
        </w:numPr>
        <w:rPr>
          <w:rFonts w:ascii="Arial" w:cs="Arial" w:eastAsia="Arial" w:hAnsi="Arial"/>
          <w:sz w:val="34"/>
          <w:szCs w:val="34"/>
          <w:color w:val="auto"/>
          <w:vertAlign w:val="subscript"/>
        </w:rPr>
      </w:pPr>
      <w:r>
        <w:rPr>
          <w:rFonts w:ascii="Arial" w:cs="Arial" w:eastAsia="Arial" w:hAnsi="Arial"/>
          <w:sz w:val="17"/>
          <w:szCs w:val="17"/>
          <w:color w:val="auto"/>
        </w:rPr>
        <w:t>ADMA agrees to purchase and GWWO agrees to sell Plasma in the following quantities and prices, unless mutually agreed to otherwise in writing between the parties:</w:t>
      </w:r>
    </w:p>
    <w:p>
      <w:pPr>
        <w:spacing w:after="0" w:line="198" w:lineRule="exact"/>
        <w:rPr>
          <w:sz w:val="20"/>
          <w:szCs w:val="20"/>
          <w:color w:val="auto"/>
        </w:rPr>
      </w:pPr>
    </w:p>
    <w:tbl>
      <w:tblPr>
        <w:tblLayout w:type="fixed"/>
        <w:tblInd w:w="870" w:type="dxa"/>
        <w:tblCellMar>
          <w:top w:w="0" w:type="dxa"/>
          <w:left w:w="0" w:type="dxa"/>
          <w:bottom w:w="0" w:type="dxa"/>
          <w:right w:w="0" w:type="dxa"/>
        </w:tblCellMar>
      </w:tblPr>
      <w:tr>
        <w:trPr>
          <w:trHeight w:val="284"/>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YEAR</w:t>
            </w:r>
          </w:p>
        </w:tc>
        <w:tc>
          <w:tcPr>
            <w:tcW w:w="396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Quantity (liters)</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Price/Liter (USD)</w:t>
            </w:r>
          </w:p>
        </w:tc>
      </w:tr>
      <w:tr>
        <w:trPr>
          <w:trHeight w:val="54"/>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r>
      <w:tr>
        <w:trPr>
          <w:trHeight w:val="26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396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rPr>
              <w:t>[****] [****]</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3960" w:type="dxa"/>
            <w:vAlign w:val="bottom"/>
            <w:tcBorders>
              <w:right w:val="single" w:sz="8" w:color="auto"/>
            </w:tcBorders>
          </w:tcPr>
          <w:p>
            <w:pPr>
              <w:spacing w:after="0"/>
              <w:rPr>
                <w:sz w:val="24"/>
                <w:szCs w:val="24"/>
                <w:color w:val="auto"/>
              </w:rPr>
            </w:pP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r>
      <w:tr>
        <w:trPr>
          <w:trHeight w:val="264"/>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3960" w:type="dxa"/>
            <w:vAlign w:val="bottom"/>
            <w:tcBorders>
              <w:right w:val="single" w:sz="8" w:color="auto"/>
            </w:tcBorders>
          </w:tcPr>
          <w:p>
            <w:pPr>
              <w:jc w:val="right"/>
              <w:ind w:right="1670"/>
              <w:spacing w:after="0"/>
              <w:rPr>
                <w:sz w:val="20"/>
                <w:szCs w:val="20"/>
                <w:color w:val="auto"/>
              </w:rPr>
            </w:pPr>
            <w:r>
              <w:rPr>
                <w:rFonts w:ascii="Arial" w:cs="Arial" w:eastAsia="Arial" w:hAnsi="Arial"/>
                <w:sz w:val="18"/>
                <w:szCs w:val="18"/>
                <w:color w:val="auto"/>
              </w:rPr>
              <w:t>[****]</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1740" w:type="dxa"/>
            <w:vAlign w:val="bottom"/>
            <w:tcBorders>
              <w:left w:val="single" w:sz="8" w:color="auto"/>
              <w:bottom w:val="single" w:sz="8" w:color="auto"/>
              <w:right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of all purchases of NSP under this Agreement includes all required screening tests and NAT for HIV, HBV, HCV, HAV, and Parvo B-19. Any additional required testing as specified by the U.S. Food and Drug Administration (the “FDA”) (or foreign equivalent) or due to a change in the ADMA Specifications (as defined below), will be billed to ADMA at GWWO’s actual costs.</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compliance with one or more new government regulations or quality procedures or change in the specifications requested by ADMA (any of the foregoing being a “Required Change”) is required, but is not contemplated in this Agreement, and results in a material increase to GWWO actual costs to procure, store, provide and supply NSP, both Parties shall re-negotiate the change in the purchase price of NSP in good faith within ninety (90) days of the Required Change, which shall be retroactive to the effective date of the Required Change.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Section J is hereby deleted in part as it relates to GWWO notices and replaced with the following:</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gridSpan w:val="3"/>
          </w:tcPr>
          <w:p>
            <w:pPr>
              <w:spacing w:after="0"/>
              <w:rPr>
                <w:sz w:val="20"/>
                <w:szCs w:val="20"/>
                <w:color w:val="auto"/>
              </w:rPr>
            </w:pPr>
            <w:r>
              <w:rPr>
                <w:rFonts w:ascii="Arial" w:cs="Arial" w:eastAsia="Arial" w:hAnsi="Arial"/>
                <w:sz w:val="18"/>
                <w:szCs w:val="18"/>
                <w:color w:val="auto"/>
              </w:rPr>
              <w:t>To Grifols: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1"/>
        </w:trPr>
        <w:tc>
          <w:tcPr>
            <w:tcW w:w="122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340" w:hanging="215"/>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A.4, entitled, “</w:t>
      </w:r>
      <w:r>
        <w:rPr>
          <w:rFonts w:ascii="Arial" w:cs="Arial" w:eastAsia="Arial" w:hAnsi="Arial"/>
          <w:sz w:val="18"/>
          <w:szCs w:val="18"/>
          <w:b w:val="1"/>
          <w:bCs w:val="1"/>
          <w:color w:val="auto"/>
        </w:rPr>
        <w:t>SHIPMENT TERMS</w:t>
      </w:r>
      <w:r>
        <w:rPr>
          <w:rFonts w:ascii="Arial" w:cs="Arial" w:eastAsia="Arial" w:hAnsi="Arial"/>
          <w:sz w:val="18"/>
          <w:szCs w:val="18"/>
          <w:color w:val="auto"/>
        </w:rPr>
        <w:t>” is hereby deleted in its entirety and replaced with the following:</w:t>
      </w:r>
    </w:p>
    <w:p>
      <w:pPr>
        <w:spacing w:after="0" w:line="225" w:lineRule="exact"/>
        <w:rPr>
          <w:rFonts w:ascii="Arial" w:cs="Arial" w:eastAsia="Arial" w:hAnsi="Arial"/>
          <w:sz w:val="18"/>
          <w:szCs w:val="18"/>
          <w:color w:val="auto"/>
        </w:rPr>
      </w:pPr>
    </w:p>
    <w:p>
      <w:pPr>
        <w:jc w:val="both"/>
        <w:ind w:left="34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u w:val="single" w:color="auto"/>
          <w:color w:val="auto"/>
        </w:rPr>
        <w:t>SHIPMENT TERMS</w:t>
      </w:r>
      <w:r>
        <w:rPr>
          <w:rFonts w:ascii="Arial" w:cs="Arial" w:eastAsia="Arial" w:hAnsi="Arial"/>
          <w:sz w:val="16"/>
          <w:szCs w:val="16"/>
          <w:color w:val="auto"/>
        </w:rPr>
        <w:t>. All shipments shall be made FOB BPC Plasma Center or GWWO’s designated freezer warehouse, which shall be at</w:t>
      </w:r>
      <w:r>
        <w:rPr>
          <w:rFonts w:ascii="Arial" w:cs="Arial" w:eastAsia="Arial" w:hAnsi="Arial"/>
          <w:sz w:val="16"/>
          <w:szCs w:val="16"/>
          <w:b w:val="1"/>
          <w:bCs w:val="1"/>
          <w:color w:val="auto"/>
        </w:rPr>
        <w:t xml:space="preserve"> </w:t>
      </w:r>
      <w:r>
        <w:rPr>
          <w:rFonts w:ascii="Arial" w:cs="Arial" w:eastAsia="Arial" w:hAnsi="Arial"/>
          <w:sz w:val="16"/>
          <w:szCs w:val="16"/>
          <w:color w:val="auto"/>
        </w:rPr>
        <w:t>GWWO’s discretion. GWWO will invoice ADMA for the NSP at time of shipment. ADMA shall take ownership and bear all risk of loss upon pick up</w:t>
      </w:r>
    </w:p>
    <w:p>
      <w:pPr>
        <w:sectPr>
          <w:pgSz w:w="11900" w:h="17000" w:orient="portrait"/>
          <w:cols w:equalWidth="0" w:num="1">
            <w:col w:w="11240"/>
          </w:cols>
          <w:pgMar w:left="320" w:top="121" w:right="339" w:bottom="0" w:gutter="0" w:footer="0" w:header="0"/>
        </w:sectPr>
      </w:pPr>
    </w:p>
    <w:bookmarkStart w:id="48" w:name="page49"/>
    <w:bookmarkEnd w:id="48"/>
    <w:p>
      <w:pPr>
        <w:jc w:val="both"/>
        <w:ind w:left="340"/>
        <w:spacing w:after="0" w:line="263" w:lineRule="auto"/>
        <w:rPr>
          <w:sz w:val="20"/>
          <w:szCs w:val="20"/>
          <w:color w:val="auto"/>
        </w:rPr>
      </w:pPr>
      <w:r>
        <w:rPr>
          <w:rFonts w:ascii="Arial" w:cs="Arial" w:eastAsia="Arial" w:hAnsi="Arial"/>
          <w:sz w:val="18"/>
          <w:szCs w:val="18"/>
          <w:color w:val="auto"/>
        </w:rPr>
        <w:t>by ADMA’s designated carrier from the BPC plasma center or GWWO’s designated warehouse, which shall be at GWWO’s discretion, and ADMA shall at its own expense be responsible for freight charges, insurance, handling and forwarding agent’s fees, taxes, storage and all other charges applicable to the NSP.</w:t>
      </w:r>
    </w:p>
    <w:p>
      <w:pPr>
        <w:spacing w:after="0" w:line="184" w:lineRule="exact"/>
        <w:rPr>
          <w:sz w:val="20"/>
          <w:szCs w:val="20"/>
          <w:color w:val="auto"/>
        </w:rPr>
      </w:pPr>
    </w:p>
    <w:p>
      <w:pPr>
        <w:ind w:left="340" w:hanging="215"/>
        <w:spacing w:after="0" w:line="182" w:lineRule="auto"/>
        <w:tabs>
          <w:tab w:leader="none" w:pos="34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For avoidance of doubt, any and all terms and conditions as set forth in the Letter Amendment, by and between the Parties, dated July 19, 2018, shall be null and void and superseded by this Amendment #2.</w:t>
      </w:r>
    </w:p>
    <w:p>
      <w:pPr>
        <w:spacing w:after="0" w:line="199" w:lineRule="exact"/>
        <w:rPr>
          <w:rFonts w:ascii="Arial" w:cs="Arial" w:eastAsia="Arial" w:hAnsi="Arial"/>
          <w:sz w:val="34"/>
          <w:szCs w:val="34"/>
          <w:color w:val="auto"/>
          <w:vertAlign w:val="subscript"/>
        </w:rPr>
      </w:pPr>
    </w:p>
    <w:p>
      <w:pPr>
        <w:ind w:left="340" w:hanging="215"/>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K., entitled,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is hereby deleted.</w:t>
      </w:r>
    </w:p>
    <w:p>
      <w:pPr>
        <w:spacing w:after="0" w:line="229" w:lineRule="exact"/>
        <w:rPr>
          <w:rFonts w:ascii="Arial" w:cs="Arial" w:eastAsia="Arial" w:hAnsi="Arial"/>
          <w:sz w:val="18"/>
          <w:szCs w:val="18"/>
          <w:color w:val="auto"/>
        </w:rPr>
      </w:pPr>
    </w:p>
    <w:p>
      <w:pPr>
        <w:ind w:left="340" w:hanging="215"/>
        <w:spacing w:after="0" w:line="182" w:lineRule="auto"/>
        <w:tabs>
          <w:tab w:leader="none" w:pos="34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All references in the Agreement to “BPC” and “Biotest Pharmaceuticals Corporation” shall hereby be amended to refer to “Grifols Worldwide Operations Limited”, as successor-in-interest to BPC.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expressly provided herein, all terms and conditions set forth in the Agreement remain unchanged and continue in full force and effect. This Amendment #2 shall govern in the event of any conflict between this Amendment #2 and the Agreement. It is agreed by the parties that all references to the Agreement hereafter made by them in any document or instrument delivered pursuant to or in connection with the Agreement shall be deemed to refer to the Agreement as amended hereby.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#2 and the Agreement embody the entire agreement and understanding between the parties hereto with respect to the subject matter hereof and supersede all prior agreements and understandings relating to the subject matter 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#2 may be executed in any number of counterparts, each of which shall be deemed an original but all of which together shall constitute one and the same single document, and any such counterpart containing an electronically scanned or facsimile signature will have the same effect as original manual signatures.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agree that they and their employees shall execute all documents and do all other things necessary to carry out the intent to implement the provisions of this Amendment #2.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hereby have caused this Amendment #2 to be executed and the persons signing below warrant that they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sign for and on behalf of their respective parties.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ADMA BioManufacturing, LLC</w:t>
            </w:r>
          </w:p>
        </w:tc>
        <w:tc>
          <w:tcPr>
            <w:tcW w:w="5600" w:type="dxa"/>
            <w:vAlign w:val="bottom"/>
            <w:gridSpan w:val="2"/>
          </w:tcPr>
          <w:p>
            <w:pPr>
              <w:ind w:left="1120"/>
              <w:spacing w:after="0"/>
              <w:rPr>
                <w:sz w:val="20"/>
                <w:szCs w:val="20"/>
                <w:color w:val="auto"/>
              </w:rPr>
            </w:pPr>
            <w:r>
              <w:rPr>
                <w:rFonts w:ascii="Arial" w:cs="Arial" w:eastAsia="Arial" w:hAnsi="Arial"/>
                <w:sz w:val="18"/>
                <w:szCs w:val="18"/>
                <w:b w:val="1"/>
                <w:bCs w:val="1"/>
                <w:color w:val="auto"/>
              </w:rPr>
              <w:t>Grifols Worldwide Operations Limited</w:t>
            </w:r>
          </w:p>
        </w:tc>
        <w:tc>
          <w:tcPr>
            <w:tcW w:w="11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Grossman</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Arroyo</w:t>
            </w:r>
          </w:p>
        </w:tc>
        <w:tc>
          <w:tcPr>
            <w:tcW w:w="112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Adam Grossman</w:t>
            </w:r>
          </w:p>
        </w:tc>
        <w:tc>
          <w:tcPr>
            <w:tcW w:w="1680" w:type="dxa"/>
            <w:vAlign w:val="bottom"/>
          </w:tcPr>
          <w:p>
            <w:pPr>
              <w:ind w:left="11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Alfredo Arroyo</w:t>
            </w:r>
          </w:p>
        </w:tc>
        <w:tc>
          <w:tcPr>
            <w:tcW w:w="11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680" w:type="dxa"/>
            <w:vAlign w:val="bottom"/>
          </w:tcPr>
          <w:p>
            <w:pPr>
              <w:ind w:left="11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Adam S. Grossman</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67"/>
        <w:spacing w:after="0" w:line="263"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67"/>
        <w:spacing w:after="0" w:line="308" w:lineRule="auto"/>
        <w:tabs>
          <w:tab w:leader="none" w:pos="9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67"/>
        <w:spacing w:after="0" w:line="263"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67"/>
        <w:spacing w:after="0" w:line="277"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hanging="467"/>
        <w:spacing w:after="0" w:line="277" w:lineRule="auto"/>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Lenz</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March 31, 2021,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920" w:hanging="467"/>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Adam S. Grossman</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March 31, 2021,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9" w:lineRule="exact"/>
        <w:rPr>
          <w:sz w:val="20"/>
          <w:szCs w:val="20"/>
          <w:color w:val="auto"/>
        </w:rPr>
      </w:pPr>
    </w:p>
    <w:p>
      <w:pPr>
        <w:ind w:left="920" w:hanging="467"/>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hanging="467"/>
        <w:spacing w:after="0" w:line="277"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Lenz</w:t>
            </w:r>
          </w:p>
        </w:tc>
      </w:tr>
      <w:tr>
        <w:trPr>
          <w:trHeight w:val="195"/>
        </w:trPr>
        <w:tc>
          <w:tcPr>
            <w:tcW w:w="3540" w:type="dxa"/>
            <w:vAlign w:val="bottom"/>
          </w:tcPr>
          <w:p>
            <w:pPr>
              <w:spacing w:after="0"/>
              <w:rPr>
                <w:sz w:val="16"/>
                <w:szCs w:val="16"/>
                <w:color w:val="auto"/>
              </w:rPr>
            </w:pPr>
          </w:p>
        </w:tc>
        <w:tc>
          <w:tcPr>
            <w:tcW w:w="26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lowerRoman"/>
      <w:start w:val="2"/>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lowerRoman"/>
      <w:start w:val="5"/>
    </w:lvl>
  </w:abstractNum>
  <w:abstractNum w:abstractNumId="12">
    <w:nsid w:val="2901D82"/>
    <w:multiLevelType w:val="hybridMultilevel"/>
    <w:lvl w:ilvl="0">
      <w:lvlJc w:val="left"/>
      <w:lvlText w:val="%1."/>
      <w:numFmt w:val="decimal"/>
      <w:start w:val="10"/>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1)"/>
      <w:numFmt w:val="lowerRoman"/>
      <w:start w:val="2"/>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04"/>
    </w:lvl>
  </w:abstractNum>
  <w:abstractNum w:abstractNumId="35">
    <w:nsid w:val="580BD78F"/>
    <w:multiLevelType w:val="hybridMultilevel"/>
    <w:lvl w:ilvl="0">
      <w:lvlJc w:val="left"/>
      <w:lvlText w:val="%1."/>
      <w:numFmt w:val="decimal"/>
      <w:start w:val="1"/>
    </w:lvl>
    <w:lvl w:ilvl="1">
      <w:lvlJc w:val="left"/>
      <w:lvlText w:val="%2."/>
      <w:numFmt w:val="decimal"/>
      <w:start w:val="1"/>
    </w:lvl>
  </w:abstractNum>
  <w:abstractNum w:abstractNumId="36">
    <w:nsid w:val="153EA438"/>
    <w:multiLevelType w:val="hybridMultilevel"/>
    <w:lvl w:ilvl="0">
      <w:lvlJc w:val="left"/>
      <w:lvlText w:val="%1"/>
      <w:numFmt w:val="decimal"/>
      <w:start w:val="1"/>
    </w:lvl>
    <w:lvl w:ilvl="1">
      <w:lvlJc w:val="left"/>
      <w:lvlText w:val="%2."/>
      <w:numFmt w:val="decimal"/>
      <w:start w:val="2"/>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2"/>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2021-05-12T16:22:33Z</dcterms:created>
  <dcterms:modified xsi:type="dcterms:W3CDTF">2021-05-12T16:22:33Z</dcterms:modified>
</cp:coreProperties>
</file>