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June 18, 2018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Delaware</w:t>
            </w:r>
          </w:p>
        </w:tc>
        <w:tc>
          <w:tcPr>
            <w:tcW w:w="3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001-36728</w:t>
            </w:r>
          </w:p>
        </w:tc>
        <w:tc>
          <w:tcPr>
            <w:tcW w:w="39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56-2590442</w:t>
            </w:r>
          </w:p>
        </w:tc>
      </w:tr>
      <w:tr>
        <w:trPr>
          <w:trHeight w:val="195"/>
        </w:trPr>
        <w:tc>
          <w:tcPr>
            <w:tcW w:w="402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2"/>
              </w:rPr>
              <w:t>(State or other jurisdiction</w:t>
            </w:r>
          </w:p>
        </w:tc>
        <w:tc>
          <w:tcPr>
            <w:tcW w:w="35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3"/>
              </w:rPr>
              <w:t>(Commission</w:t>
            </w:r>
          </w:p>
        </w:tc>
        <w:tc>
          <w:tcPr>
            <w:tcW w:w="39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020" w:type="dxa"/>
            <w:vAlign w:val="bottom"/>
          </w:tcPr>
          <w:p>
            <w:pPr>
              <w:jc w:val="center"/>
              <w:ind w:right="110"/>
              <w:spacing w:after="0"/>
              <w:rPr>
                <w:sz w:val="20"/>
                <w:szCs w:val="20"/>
                <w:color w:val="auto"/>
              </w:rPr>
            </w:pPr>
            <w:r>
              <w:rPr>
                <w:rFonts w:ascii="Arial" w:cs="Arial" w:eastAsia="Arial" w:hAnsi="Arial"/>
                <w:sz w:val="18"/>
                <w:szCs w:val="18"/>
                <w:color w:val="auto"/>
                <w:w w:val="93"/>
              </w:rPr>
              <w:t>of incorporation)</w:t>
            </w:r>
          </w:p>
        </w:tc>
        <w:tc>
          <w:tcPr>
            <w:tcW w:w="3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7"/>
              </w:rPr>
              <w:t>465 State Route 17, Ramsey, New Jersey</w:t>
            </w:r>
          </w:p>
        </w:tc>
        <w:tc>
          <w:tcPr>
            <w:tcW w:w="39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07446</w:t>
            </w:r>
          </w:p>
        </w:tc>
      </w:tr>
      <w:tr>
        <w:trPr>
          <w:trHeight w:val="224"/>
        </w:trPr>
        <w:tc>
          <w:tcPr>
            <w:tcW w:w="7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390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(201) 478-5552</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Emerging growth company ý</w:t>
      </w:r>
    </w:p>
    <w:p>
      <w:pPr>
        <w:spacing w:after="0" w:line="22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June 18, 2018, ADMA Biologics, Inc., a Delaware corporation (the “Company”), closed the sale of an additional 1,255,230 shares of the Company’s common stock, pursuant to the underwriters’ full exercise of the over-allotment option granted by the Company to the underwriters in connection with the Company’s follow-on offering of 8,368,200 shares of common stock, which closed June 12, 2018. The Company received gross proceeds of approximately $6.0 million as a result of the exercise of the option, based on a public offering price of $4.78 per share, before deducting underwriting discounts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392"/>
        </w:trPr>
        <w:tc>
          <w:tcPr>
            <w:tcW w:w="18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6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Opinion of DLA Piper LLP (US).</w:t>
              </w:r>
            </w:hyperlink>
          </w:p>
        </w:tc>
      </w:tr>
      <w:tr>
        <w:trPr>
          <w:trHeight w:val="20"/>
        </w:trPr>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96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Consent of DLA Piper LLP (US) (included in Exhibit 5.1).</w:t>
              </w:r>
            </w:hyperlink>
          </w:p>
        </w:tc>
      </w:tr>
      <w:tr>
        <w:trPr>
          <w:trHeight w:val="784"/>
        </w:trPr>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580" w:type="dxa"/>
            <w:vAlign w:val="bottom"/>
            <w:tcBorders>
              <w:top w:val="single" w:sz="8" w:color="0000EE"/>
              <w:bottom w:val="single" w:sz="8" w:color="auto"/>
            </w:tcBorders>
          </w:tcPr>
          <w:p>
            <w:pPr>
              <w:spacing w:after="0"/>
              <w:rPr>
                <w:sz w:val="24"/>
                <w:szCs w:val="24"/>
                <w:color w:val="auto"/>
              </w:rPr>
            </w:pPr>
          </w:p>
        </w:tc>
        <w:tc>
          <w:tcPr>
            <w:tcW w:w="1820" w:type="dxa"/>
            <w:vAlign w:val="bottom"/>
            <w:tcBorders>
              <w:top w:val="single" w:sz="8" w:color="0000EE"/>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June 18, 2018</w:t>
            </w:r>
          </w:p>
        </w:tc>
        <w:tc>
          <w:tcPr>
            <w:tcW w:w="7660" w:type="dxa"/>
            <w:vAlign w:val="bottom"/>
            <w:gridSpan w:val="3"/>
          </w:tcPr>
          <w:p>
            <w:pPr>
              <w:ind w:left="2740"/>
              <w:spacing w:after="0"/>
              <w:rPr>
                <w:sz w:val="20"/>
                <w:szCs w:val="20"/>
                <w:color w:val="auto"/>
              </w:rPr>
            </w:pPr>
            <w:r>
              <w:rPr>
                <w:rFonts w:ascii="Arial" w:cs="Arial" w:eastAsia="Arial" w:hAnsi="Arial"/>
                <w:sz w:val="18"/>
                <w:szCs w:val="18"/>
                <w:color w:val="auto"/>
              </w:rPr>
              <w:t>ADMA Biologics, Inc.</w:t>
            </w:r>
          </w:p>
        </w:tc>
      </w:tr>
      <w:tr>
        <w:trPr>
          <w:trHeight w:val="648"/>
        </w:trPr>
        <w:tc>
          <w:tcPr>
            <w:tcW w:w="3760" w:type="dxa"/>
            <w:vAlign w:val="bottom"/>
          </w:tcPr>
          <w:p>
            <w:pPr>
              <w:spacing w:after="0"/>
              <w:rPr>
                <w:sz w:val="24"/>
                <w:szCs w:val="24"/>
                <w:color w:val="auto"/>
              </w:rPr>
            </w:pPr>
          </w:p>
        </w:tc>
        <w:tc>
          <w:tcPr>
            <w:tcW w:w="7660" w:type="dxa"/>
            <w:vAlign w:val="bottom"/>
            <w:gridSpan w:val="3"/>
          </w:tcPr>
          <w:p>
            <w:pPr>
              <w:ind w:left="2740"/>
              <w:spacing w:after="0"/>
              <w:rPr>
                <w:sz w:val="20"/>
                <w:szCs w:val="20"/>
                <w:color w:val="auto"/>
              </w:rPr>
            </w:pPr>
            <w:r>
              <w:rPr>
                <w:rFonts w:ascii="Arial" w:cs="Arial" w:eastAsia="Arial" w:hAnsi="Arial"/>
                <w:sz w:val="18"/>
                <w:szCs w:val="18"/>
                <w:color w:val="auto"/>
              </w:rPr>
              <w:t>By:  /s/ Brian Lenz</w:t>
            </w:r>
          </w:p>
        </w:tc>
      </w:tr>
      <w:tr>
        <w:trPr>
          <w:trHeight w:val="195"/>
        </w:trPr>
        <w:tc>
          <w:tcPr>
            <w:tcW w:w="37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Brian Lenz</w:t>
            </w:r>
          </w:p>
        </w:tc>
      </w:tr>
      <w:tr>
        <w:trPr>
          <w:trHeight w:val="230"/>
        </w:trPr>
        <w:tc>
          <w:tcPr>
            <w:tcW w:w="3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80"/>
              <w:spacing w:after="0"/>
              <w:rPr>
                <w:sz w:val="20"/>
                <w:szCs w:val="20"/>
                <w:color w:val="auto"/>
              </w:rPr>
            </w:pPr>
            <w:r>
              <w:rPr>
                <w:rFonts w:ascii="Arial" w:cs="Arial" w:eastAsia="Arial" w:hAnsi="Arial"/>
                <w:sz w:val="18"/>
                <w:szCs w:val="18"/>
                <w:color w:val="auto"/>
              </w:rPr>
              <w:t>Vice President and Chief Financial Officer</w:t>
            </w:r>
          </w:p>
        </w:tc>
      </w:tr>
    </w:tbl>
    <w:p>
      <w:pPr>
        <w:sectPr>
          <w:pgSz w:w="11900" w:h="16838" w:orient="portrait"/>
          <w:cols w:equalWidth="0" w:num="1">
            <w:col w:w="11420"/>
          </w:cols>
          <w:pgMar w:left="240" w:top="70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www.dlapiper.com</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 973-520-2550</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 973-520-2551</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Attorneys Responsible for Short Hills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 Gilbert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E. Helmer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ADMA Biologics,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465 State Route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Ramsey, NJ 07446</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ADMA Biologics, Inc., Registration Statement on Form S-3 (File No. 333-225048)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acted as counsel to ADMA Biologics,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offering by the Company of 1,255,230 shares of common stock,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pursuant to the referenced Registration Statement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the Prospectus Supplement dated June 8, 2018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each filed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this opinion letter, we have examined the Registration Statement, the Prospectus Supplement and originals, or copies certified or otherwise identified to our satisfaction, of the Amended and Restated Certificate of Incorporation of the Company as filed with the Secretary of State of the State of Delaware, the Amended and Restated Bylaws of the Company and the minutes of meetings of the stockholders and the Board of Directors of the Company, and the Pricing Committee thereof, as provided to us by the Company and such other documents, records and other instruments as we have deemed appropriate for purposes of the opinion set forth herein.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1"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Based upon the foregoing, we are of the opinion that the Shares have been duly authorized by the Company and are validly issued,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hereby consent to the use of this opinion as Exhibit 5.1 to the Registration Statement and to the reference to us under the caption “Legal Matters” in the base prospectus included in the Registration Statement and the Prospectus Supplement. In giving such consent, we do not hereby admit that we are acting within the category of persons whose consent is required under Section 7 of the Act or the rules or regulations of the SEC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DLA Piper LLP (US)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2020-01-15T18:07:01Z</dcterms:created>
  <dcterms:modified xsi:type="dcterms:W3CDTF">2020-01-15T18:07:01Z</dcterms:modified>
</cp:coreProperties>
</file>