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8567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56742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Kestenberg-Messina Kaitlin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ADMA BIOLOGICS,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5800 PARK OF COMMERCE BLVD.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ADMA BIOLOGICS,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ADMA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COO and SVP, Compliance</w:t>
      </w:r>
    </w:p>
    <w:p>
      <w:pPr>
        <w:spacing w:after="0" w:line="401" w:lineRule="exact"/>
        <w:rPr>
          <w:sz w:val="24"/>
          <w:szCs w:val="24"/>
          <w:color w:val="auto"/>
        </w:rPr>
      </w:pPr>
    </w:p>
    <w:p>
      <w:pPr>
        <w:sectPr>
          <w:pgSz w:w="11900" w:h="16838" w:orient="portrait"/>
          <w:cols w:equalWidth="0" w:num="3">
            <w:col w:w="3200" w:space="720"/>
            <w:col w:w="3120" w:space="70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BOCA RATON  FL</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33487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jc w:val="center"/>
              <w:ind w:left="653"/>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jc w:val="center"/>
              <w:ind w:right="2"/>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46"/>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03/06/2026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68"/>
              <w:spacing w:after="0"/>
              <w:rPr>
                <w:sz w:val="20"/>
                <w:szCs w:val="20"/>
                <w:color w:val="auto"/>
              </w:rPr>
            </w:pPr>
            <w:r>
              <w:rPr>
                <w:rFonts w:ascii="Times New Roman" w:cs="Times New Roman" w:eastAsia="Times New Roman" w:hAnsi="Times New Roman"/>
                <w:sz w:val="17"/>
                <w:szCs w:val="17"/>
                <w:color w:val="0000FF"/>
                <w:w w:val="91"/>
              </w:rPr>
              <w:t>10,059</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562,101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03/07/2026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68"/>
              <w:spacing w:after="0"/>
              <w:rPr>
                <w:sz w:val="20"/>
                <w:szCs w:val="20"/>
                <w:color w:val="auto"/>
              </w:rPr>
            </w:pPr>
            <w:r>
              <w:rPr>
                <w:rFonts w:ascii="Times New Roman" w:cs="Times New Roman" w:eastAsia="Times New Roman" w:hAnsi="Times New Roman"/>
                <w:sz w:val="17"/>
                <w:szCs w:val="17"/>
                <w:color w:val="0000FF"/>
                <w:w w:val="91"/>
              </w:rPr>
              <w:t>4,235</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557,866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25"/>
                <w:szCs w:val="25"/>
                <w:color w:val="0000FF"/>
                <w:w w:val="92"/>
                <w:vertAlign w:val="subscript"/>
              </w:rPr>
              <w:t>J</w:t>
            </w:r>
            <w:r>
              <w:rPr>
                <w:rFonts w:ascii="Times New Roman" w:cs="Times New Roman" w:eastAsia="Times New Roman" w:hAnsi="Times New Roman"/>
                <w:sz w:val="11"/>
                <w:szCs w:val="11"/>
                <w:color w:val="008000"/>
                <w:w w:val="92"/>
              </w:rPr>
              <w:t>(2)</w:t>
            </w:r>
          </w:p>
        </w:tc>
        <w:tc>
          <w:tcPr>
            <w:tcW w:w="760" w:type="dxa"/>
            <w:vAlign w:val="bottom"/>
            <w:tcBorders>
              <w:bottom w:val="single" w:sz="8" w:color="2C2C2C"/>
            </w:tcBorders>
          </w:tcPr>
          <w:p>
            <w:pPr>
              <w:jc w:val="center"/>
              <w:ind w:left="68"/>
              <w:spacing w:after="0"/>
              <w:rPr>
                <w:sz w:val="20"/>
                <w:szCs w:val="20"/>
                <w:color w:val="auto"/>
              </w:rPr>
            </w:pPr>
            <w:r>
              <w:rPr>
                <w:rFonts w:ascii="Times New Roman" w:cs="Times New Roman" w:eastAsia="Times New Roman" w:hAnsi="Times New Roman"/>
                <w:sz w:val="17"/>
                <w:szCs w:val="17"/>
                <w:color w:val="0000FF"/>
                <w:w w:val="98"/>
              </w:rPr>
              <w:t>91,266</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8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466,600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2,500</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8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469,100</w:t>
            </w:r>
          </w:p>
        </w:tc>
        <w:tc>
          <w:tcPr>
            <w:tcW w:w="28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1,250</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470,350</w:t>
            </w:r>
          </w:p>
        </w:tc>
        <w:tc>
          <w:tcPr>
            <w:tcW w:w="28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2,646</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472,996</w:t>
            </w:r>
          </w:p>
        </w:tc>
        <w:tc>
          <w:tcPr>
            <w:tcW w:w="28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1,525</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474,521</w:t>
            </w:r>
          </w:p>
        </w:tc>
        <w:tc>
          <w:tcPr>
            <w:tcW w:w="28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2,175</w:t>
            </w:r>
          </w:p>
        </w:tc>
        <w:tc>
          <w:tcPr>
            <w:tcW w:w="6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476,696</w:t>
            </w:r>
          </w:p>
        </w:tc>
        <w:tc>
          <w:tcPr>
            <w:tcW w:w="28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03/09/2026</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68"/>
              <w:spacing w:after="0"/>
              <w:rPr>
                <w:sz w:val="20"/>
                <w:szCs w:val="20"/>
                <w:color w:val="auto"/>
              </w:rPr>
            </w:pPr>
            <w:r>
              <w:rPr>
                <w:rFonts w:ascii="Times New Roman" w:cs="Times New Roman" w:eastAsia="Times New Roman" w:hAnsi="Times New Roman"/>
                <w:sz w:val="17"/>
                <w:szCs w:val="17"/>
                <w:color w:val="0000FF"/>
                <w:w w:val="91"/>
              </w:rPr>
              <w:t>10,096</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15.63</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0"/>
              </w:rPr>
              <w:t>466,600</w:t>
            </w:r>
            <w:r>
              <w:rPr>
                <w:rFonts w:ascii="Times New Roman" w:cs="Times New Roman" w:eastAsia="Times New Roman" w:hAnsi="Times New Roman"/>
                <w:sz w:val="21"/>
                <w:szCs w:val="21"/>
                <w:color w:val="008000"/>
                <w:w w:val="90"/>
                <w:vertAlign w:val="superscript"/>
              </w:rPr>
              <w:t>(5)(6)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0"/>
          </w:tcPr>
          <w:p>
            <w:pPr>
              <w:jc w:val="center"/>
              <w:ind w:left="32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68"/>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88"/>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2,500</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(7)</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color w:val="0000FF"/>
              </w:rPr>
              <w:t>02/14/2027</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180" w:type="dxa"/>
            <w:vAlign w:val="bottom"/>
          </w:tcPr>
          <w:p>
            <w:pPr>
              <w:spacing w:after="0"/>
              <w:rPr>
                <w:sz w:val="12"/>
                <w:szCs w:val="12"/>
                <w:color w:val="auto"/>
              </w:rPr>
            </w:pPr>
          </w:p>
        </w:tc>
        <w:tc>
          <w:tcPr>
            <w:tcW w:w="560" w:type="dxa"/>
            <w:vAlign w:val="bottom"/>
            <w:vMerge w:val="restart"/>
          </w:tcPr>
          <w:p>
            <w:pPr>
              <w:jc w:val="center"/>
              <w:ind w:right="17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2,500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jc w:val="center"/>
              <w:ind w:right="51"/>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1,250</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color w:val="0000FF"/>
              </w:rPr>
              <w:t>06/05/2029</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180" w:type="dxa"/>
            <w:vAlign w:val="bottom"/>
          </w:tcPr>
          <w:p>
            <w:pPr>
              <w:spacing w:after="0"/>
              <w:rPr>
                <w:sz w:val="12"/>
                <w:szCs w:val="12"/>
                <w:color w:val="auto"/>
              </w:rPr>
            </w:pPr>
          </w:p>
        </w:tc>
        <w:tc>
          <w:tcPr>
            <w:tcW w:w="560" w:type="dxa"/>
            <w:vAlign w:val="bottom"/>
            <w:vMerge w:val="restart"/>
          </w:tcPr>
          <w:p>
            <w:pPr>
              <w:jc w:val="center"/>
              <w:ind w:right="17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1,250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jc w:val="center"/>
              <w:ind w:right="51"/>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2,646</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color w:val="0000FF"/>
              </w:rPr>
              <w:t>08/19/2030</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2,646</w:t>
            </w:r>
          </w:p>
        </w:tc>
        <w:tc>
          <w:tcPr>
            <w:tcW w:w="180" w:type="dxa"/>
            <w:vAlign w:val="bottom"/>
          </w:tcPr>
          <w:p>
            <w:pPr>
              <w:spacing w:after="0"/>
              <w:rPr>
                <w:sz w:val="12"/>
                <w:szCs w:val="12"/>
                <w:color w:val="auto"/>
              </w:rPr>
            </w:pPr>
          </w:p>
        </w:tc>
        <w:tc>
          <w:tcPr>
            <w:tcW w:w="560" w:type="dxa"/>
            <w:vAlign w:val="bottom"/>
            <w:vMerge w:val="restart"/>
          </w:tcPr>
          <w:p>
            <w:pPr>
              <w:jc w:val="center"/>
              <w:ind w:right="17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2,771</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jc w:val="center"/>
              <w:ind w:right="51"/>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1,525</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rPr>
              <w:t>(10)</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color w:val="0000FF"/>
              </w:rPr>
              <w:t>02/25/2031</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1,525</w:t>
            </w:r>
          </w:p>
        </w:tc>
        <w:tc>
          <w:tcPr>
            <w:tcW w:w="180" w:type="dxa"/>
            <w:vAlign w:val="bottom"/>
          </w:tcPr>
          <w:p>
            <w:pPr>
              <w:spacing w:after="0"/>
              <w:rPr>
                <w:sz w:val="12"/>
                <w:szCs w:val="12"/>
                <w:color w:val="auto"/>
              </w:rPr>
            </w:pPr>
          </w:p>
        </w:tc>
        <w:tc>
          <w:tcPr>
            <w:tcW w:w="560" w:type="dxa"/>
            <w:vAlign w:val="bottom"/>
            <w:vMerge w:val="restart"/>
          </w:tcPr>
          <w:p>
            <w:pPr>
              <w:jc w:val="center"/>
              <w:ind w:right="17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2,225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jc w:val="center"/>
              <w:ind w:right="51"/>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jc w:val="center"/>
              <w:ind w:right="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03/09/2026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2,175</w:t>
            </w:r>
          </w:p>
        </w:tc>
        <w:tc>
          <w:tcPr>
            <w:tcW w:w="76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87"/>
              </w:rPr>
              <w:t>(11)</w:t>
            </w: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3"/>
                <w:szCs w:val="13"/>
                <w:color w:val="0000FF"/>
              </w:rPr>
              <w:t>07/19/2031</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2,175</w:t>
            </w:r>
          </w:p>
        </w:tc>
        <w:tc>
          <w:tcPr>
            <w:tcW w:w="180" w:type="dxa"/>
            <w:vAlign w:val="bottom"/>
          </w:tcPr>
          <w:p>
            <w:pPr>
              <w:spacing w:after="0"/>
              <w:rPr>
                <w:sz w:val="12"/>
                <w:szCs w:val="12"/>
                <w:color w:val="auto"/>
              </w:rPr>
            </w:pPr>
          </w:p>
        </w:tc>
        <w:tc>
          <w:tcPr>
            <w:tcW w:w="560" w:type="dxa"/>
            <w:vAlign w:val="bottom"/>
            <w:vMerge w:val="restart"/>
          </w:tcPr>
          <w:p>
            <w:pPr>
              <w:jc w:val="center"/>
              <w:ind w:right="17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2,825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mandatory tax withholding requirements upon vesting of restricted stock units ("RSUs"). This is not an open market sale of securities.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transferred by the reporting person in accordance with the terms of a court-approved divorce settlement agreement (the "Divorce Settlement").</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sold by the Reporting Person in accordance with the terms of the Divorce Settlement.</w:t>
      </w:r>
    </w:p>
    <w:p>
      <w:pPr>
        <w:spacing w:after="0" w:line="45" w:lineRule="exact"/>
        <w:rPr>
          <w:rFonts w:ascii="Times New Roman" w:cs="Times New Roman" w:eastAsia="Times New Roman" w:hAnsi="Times New Roman"/>
          <w:sz w:val="13"/>
          <w:szCs w:val="13"/>
          <w:color w:val="008000"/>
        </w:rPr>
      </w:pPr>
    </w:p>
    <w:p>
      <w:pPr>
        <w:ind w:right="20"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$15.59 to $15.65, inclusive. The reporting person undertakes to provide to the Issuer, any securityholder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firstLine="3"/>
        <w:spacing w:after="0" w:line="237"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as of the transaction date (i) 91,631 unvested RSUs granted on February 9, 2026, vesting quarterly on each annual anniversary of the date of grant over four years, subject to the Reporting Person's continued service as of the applicable vesting date and that will be settled into common stock upon vesting; (ii) 58,338 unvested RSUs out of 77,784 RSUs granted on February 19, 2025, vesting quarterly on each annual anniversary of the date of grant over four years, subject to the Reporting Person's continued service as of the applicable vesting date and that will be settled into common stock upon vesting; (iii) 144,240 unvested RSUs out of 192,320 RSUs granted on April 1, 2024, that will vest in equal quarterly installments on each annual anniversary of the date of grant, over four years, subject to the Reporting Person's continued service as of the applicable vesting date;</w:t>
      </w:r>
    </w:p>
    <w:p>
      <w:pPr>
        <w:spacing w:after="0" w:line="28" w:lineRule="exact"/>
        <w:rPr>
          <w:rFonts w:ascii="Times New Roman" w:cs="Times New Roman" w:eastAsia="Times New Roman" w:hAnsi="Times New Roman"/>
          <w:sz w:val="13"/>
          <w:szCs w:val="13"/>
          <w:color w:val="008000"/>
        </w:rPr>
      </w:pPr>
    </w:p>
    <w:p>
      <w:pPr>
        <w:ind w:right="40" w:firstLine="3"/>
        <w:spacing w:after="0" w:line="23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(iv) 15,000 unvested RSUs out of 30,000 RSUs granted on July 24, 2023, that will vest in equal quarterly installments on each annual anniversary of the date of grant, over four years, subject to the Reporting Person's continued service as of the applicable vesting date; (v) 23,750 unvested RSUs out of 95,000 RSUs granted on March 6, 2023, that will vest in equal quarterly installments on each annual anniversary of the date of grant, over four years, subject to the Reporting Person's continued service as of the applicable vesting date; and (vi) 133,641 shares of common stock directly owned by the Reporting Person, which reflects prior option exercises and the prior net settlement upon vesting of previously granted RSUs after the withholding of shares to cover applicable taxes.</w:t>
      </w:r>
    </w:p>
    <w:p>
      <w:pPr>
        <w:spacing w:after="0" w:line="27"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incentive stock options were granted to the Reporting Person on February 14, 2017, and are fully vested.</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incentive stock options were granted to the Reporting Person on June 5, 2019, and are fully vested.</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incentive stock options were granted to the Reporting Person on August 19, 2020, and are fully vested.</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incentive stock options were granted to the Reporting Person on February 25, 2021, and are fully vested.</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incentive stock options were granted to the Reporting Person on July 19, 2021, and are fully vested.</w:t>
      </w:r>
    </w:p>
    <w:p>
      <w:pPr>
        <w:spacing w:after="0" w:line="7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Kaitlin M. Kestenberg-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-8255</wp:posOffset>
            </wp:positionV>
            <wp:extent cx="1123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Messina, by Michael A.</w:t>
      </w:r>
      <w:r>
        <w:rPr>
          <w:sz w:val="20"/>
          <w:szCs w:val="20"/>
          <w:color w:val="auto"/>
        </w:rPr>
        <w:tab/>
      </w:r>
      <w:r>
        <w:rPr>
          <w:rFonts w:ascii="Times New Roman" w:cs="Times New Roman" w:eastAsia="Times New Roman" w:hAnsi="Times New Roman"/>
          <w:sz w:val="16"/>
          <w:szCs w:val="16"/>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Goldstein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256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3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0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7423" TargetMode="External"/><Relationship Id="rId14" Type="http://schemas.openxmlformats.org/officeDocument/2006/relationships/hyperlink" Target="http://www.sec.gov/cgi-bin/browse-edgar?action=getcompany&amp;CIK=00013685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2026-03-10T20:02:44Z</dcterms:created>
  <dcterms:modified xsi:type="dcterms:W3CDTF">2026-03-10T20:02:44Z</dcterms:modified>
</cp:coreProperties>
</file>