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5" w:lineRule="exact"/>
        <w:rPr>
          <w:sz w:val="24"/>
          <w:szCs w:val="24"/>
          <w:color w:val="auto"/>
        </w:rPr>
      </w:pPr>
    </w:p>
    <w:p>
      <w:pPr>
        <w:ind w:left="180" w:right="1920" w:hanging="172"/>
        <w:spacing w:after="0" w:line="261"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June 30, 2024</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220" w:right="1900" w:hanging="212"/>
        <w:spacing w:after="0" w:line="253" w:lineRule="auto"/>
        <w:tabs>
          <w:tab w:leader="none" w:pos="66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 to 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001-36728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u w:val="single" w:color="auto"/>
          <w:color w:val="auto"/>
        </w:rPr>
        <w:t>ADMA BIOLOGICS,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60" w:type="dxa"/>
            <w:vAlign w:val="bottom"/>
            <w:gridSpan w:val="3"/>
          </w:tcPr>
          <w:p>
            <w:pPr>
              <w:jc w:val="center"/>
              <w:ind w:right="2980"/>
              <w:spacing w:after="0"/>
              <w:rPr>
                <w:sz w:val="20"/>
                <w:szCs w:val="20"/>
                <w:color w:val="auto"/>
              </w:rPr>
            </w:pPr>
            <w:r>
              <w:rPr>
                <w:rFonts w:ascii="Times New Roman" w:cs="Times New Roman" w:eastAsia="Times New Roman" w:hAnsi="Times New Roman"/>
                <w:sz w:val="18"/>
                <w:szCs w:val="18"/>
                <w:color w:val="auto"/>
                <w:w w:val="98"/>
              </w:rPr>
              <w:t>Delaware</w:t>
            </w:r>
          </w:p>
        </w:tc>
        <w:tc>
          <w:tcPr>
            <w:tcW w:w="37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520" w:type="dxa"/>
            <w:vAlign w:val="bottom"/>
            <w:gridSpan w:val="5"/>
          </w:tcPr>
          <w:p>
            <w:pPr>
              <w:jc w:val="center"/>
              <w:ind w:right="11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2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2"/>
        </w:trPr>
        <w:tc>
          <w:tcPr>
            <w:tcW w:w="720" w:type="dxa"/>
            <w:vAlign w:val="bottom"/>
          </w:tcPr>
          <w:p>
            <w:pPr>
              <w:spacing w:after="0"/>
              <w:rPr>
                <w:sz w:val="24"/>
                <w:szCs w:val="24"/>
                <w:color w:val="auto"/>
              </w:rPr>
            </w:pPr>
          </w:p>
        </w:tc>
        <w:tc>
          <w:tcPr>
            <w:tcW w:w="4800" w:type="dxa"/>
            <w:vAlign w:val="bottom"/>
            <w:gridSpan w:val="4"/>
          </w:tcPr>
          <w:p>
            <w:pPr>
              <w:jc w:val="center"/>
              <w:ind w:right="1840"/>
              <w:spacing w:after="0"/>
              <w:rPr>
                <w:sz w:val="20"/>
                <w:szCs w:val="20"/>
                <w:color w:val="auto"/>
              </w:rPr>
            </w:pPr>
            <w:r>
              <w:rPr>
                <w:rFonts w:ascii="Times New Roman" w:cs="Times New Roman" w:eastAsia="Times New Roman" w:hAnsi="Times New Roman"/>
                <w:sz w:val="18"/>
                <w:szCs w:val="18"/>
                <w:color w:val="auto"/>
                <w:w w:val="99"/>
              </w:rPr>
              <w:t>465 State Route 17, Ramsey, New Jersey</w:t>
            </w:r>
          </w:p>
        </w:tc>
        <w:tc>
          <w:tcPr>
            <w:tcW w:w="2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07446</w:t>
            </w:r>
          </w:p>
        </w:tc>
        <w:tc>
          <w:tcPr>
            <w:tcW w:w="8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(201) 478-5552</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ADMA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700" w:type="dxa"/>
        <w:tblCellMar>
          <w:top w:w="0" w:type="dxa"/>
          <w:left w:w="0" w:type="dxa"/>
          <w:bottom w:w="0" w:type="dxa"/>
          <w:right w:w="0" w:type="dxa"/>
        </w:tblCellMar>
      </w:tblPr>
      <w:tr>
        <w:trPr>
          <w:trHeight w:val="22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line="207" w:lineRule="exact"/>
        <w:tabs>
          <w:tab w:leader="none" w:pos="8980" w:val="left"/>
          <w:tab w:leader="none" w:pos="96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2, 2024, there were 233,082,827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2024 (Unaudited) and December 31, 2023</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Six Months Ended June 30, 2024 and</w:t>
            </w: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20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380" w:type="dxa"/>
            <w:vAlign w:val="bottom"/>
            <w:tcBorders>
              <w:top w:val="single" w:sz="8" w:color="0000EE"/>
              <w:bottom w:val="single" w:sz="8" w:color="CCEEFF"/>
            </w:tcBorders>
            <w:shd w:val="clear" w:color="auto" w:fill="CCEEFF"/>
          </w:tcPr>
          <w:p>
            <w:pPr>
              <w:spacing w:after="0"/>
              <w:rPr>
                <w:sz w:val="18"/>
                <w:szCs w:val="18"/>
                <w:color w:val="auto"/>
              </w:rPr>
            </w:pPr>
          </w:p>
        </w:tc>
        <w:tc>
          <w:tcPr>
            <w:tcW w:w="1720" w:type="dxa"/>
            <w:vAlign w:val="bottom"/>
            <w:tcBorders>
              <w:top w:val="single" w:sz="8" w:color="0000EE"/>
              <w:bottom w:val="single" w:sz="8" w:color="CCEEFF"/>
            </w:tcBorders>
            <w:shd w:val="clear" w:color="auto" w:fill="CCEEFF"/>
          </w:tcPr>
          <w:p>
            <w:pPr>
              <w:spacing w:after="0"/>
              <w:rPr>
                <w:sz w:val="18"/>
                <w:szCs w:val="18"/>
                <w:color w:val="auto"/>
              </w:rPr>
            </w:pPr>
          </w:p>
        </w:tc>
        <w:tc>
          <w:tcPr>
            <w:tcW w:w="540" w:type="dxa"/>
            <w:vAlign w:val="bottom"/>
            <w:tcBorders>
              <w:top w:val="single" w:sz="8" w:color="0000EE"/>
              <w:bottom w:val="single" w:sz="8" w:color="CCEEFF"/>
            </w:tcBorders>
            <w:shd w:val="clear" w:color="auto" w:fill="CCEEFF"/>
          </w:tcPr>
          <w:p>
            <w:pPr>
              <w:spacing w:after="0"/>
              <w:rPr>
                <w:sz w:val="18"/>
                <w:szCs w:val="18"/>
                <w:color w:val="auto"/>
              </w:rPr>
            </w:pPr>
          </w:p>
        </w:tc>
        <w:tc>
          <w:tcPr>
            <w:tcW w:w="12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80" w:type="dxa"/>
            <w:vAlign w:val="bottom"/>
            <w:tcBorders>
              <w:top w:val="single" w:sz="8" w:color="0000EE"/>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 and Six Months</w:t>
            </w: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320" w:type="dxa"/>
            <w:vAlign w:val="bottom"/>
            <w:tcBorders>
              <w:top w:val="single" w:sz="8" w:color="0000EE"/>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June 30, 2024 and 2023</w:t>
            </w:r>
          </w:p>
        </w:tc>
        <w:tc>
          <w:tcPr>
            <w:tcW w:w="82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Six Months Ended June 30, 2024 and 2023</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CCEEFF"/>
            </w:tcBorders>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8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320" w:type="dxa"/>
            <w:vAlign w:val="bottom"/>
            <w:tcBorders>
              <w:bottom w:val="single" w:sz="8" w:color="CCEEFF"/>
            </w:tcBorders>
            <w:gridSpan w:val="11"/>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5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w:t>
            </w: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648"/>
        <w:spacing w:after="0" w:line="196" w:lineRule="auto"/>
        <w:rPr>
          <w:sz w:val="20"/>
          <w:szCs w:val="20"/>
          <w:color w:val="auto"/>
        </w:rPr>
      </w:pPr>
      <w:r>
        <w:rPr>
          <w:rFonts w:ascii="Times New Roman" w:cs="Times New Roman" w:eastAsia="Times New Roman" w:hAnsi="Times New Roman"/>
          <w:sz w:val="18"/>
          <w:szCs w:val="18"/>
          <w:color w:val="auto"/>
        </w:rPr>
        <w:t>This Quarterly Report on Form 10-Q includes our trademarks, trade names and service marks, such as “ASCENIV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“Nabi-HB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“BIVIGAM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which are protected under applicable intellectual property laws and are the property of ADMA Biologics, Inc., or its subsidiaries. Solely for convenience, trademarks, trade names and service marks referred to in this report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76" w:lineRule="exact"/>
        <w:rPr>
          <w:sz w:val="20"/>
          <w:szCs w:val="20"/>
          <w:color w:val="auto"/>
        </w:rPr>
      </w:pPr>
    </w:p>
    <w:p>
      <w:pPr>
        <w:ind w:left="880" w:right="52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ASCENIV and BIVIGAM on a commercial scale and further commercialize these products as a result of their approval by the U.S. Food and Drug Administration (the “FDA”) in 2019;</w:t>
      </w:r>
    </w:p>
    <w:p>
      <w:pPr>
        <w:spacing w:after="0" w:line="16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manufacture, market, launch and expand our commercial infrastructure and commercialize our current and future products and the success of such efforts;</w:t>
      </w:r>
    </w:p>
    <w:p>
      <w:pPr>
        <w:spacing w:after="0" w:line="161" w:lineRule="exact"/>
        <w:rPr>
          <w:rFonts w:ascii="Times New Roman" w:cs="Times New Roman" w:eastAsia="Times New Roman" w:hAnsi="Times New Roman"/>
          <w:sz w:val="18"/>
          <w:szCs w:val="18"/>
          <w:color w:val="auto"/>
        </w:rPr>
      </w:pPr>
    </w:p>
    <w:p>
      <w:pPr>
        <w:ind w:left="880" w:right="38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61" w:lineRule="exact"/>
        <w:rPr>
          <w:rFonts w:ascii="Times New Roman" w:cs="Times New Roman" w:eastAsia="Times New Roman" w:hAnsi="Times New Roman"/>
          <w:sz w:val="18"/>
          <w:szCs w:val="18"/>
          <w:color w:val="auto"/>
        </w:rPr>
      </w:pPr>
    </w:p>
    <w:p>
      <w:pPr>
        <w:ind w:left="880" w:right="28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or expected timing, progress and results of clinical development, clinical trials and potential regulatory approvals for our product candidates;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our third-party customers and vendors and their compliance with applicable regulatory requirements;</w:t>
      </w:r>
    </w:p>
    <w:p>
      <w:pPr>
        <w:spacing w:after="0" w:line="225" w:lineRule="exact"/>
        <w:rPr>
          <w:rFonts w:ascii="Times New Roman" w:cs="Times New Roman" w:eastAsia="Times New Roman" w:hAnsi="Times New Roman"/>
          <w:sz w:val="18"/>
          <w:szCs w:val="18"/>
          <w:color w:val="auto"/>
        </w:rPr>
      </w:pPr>
    </w:p>
    <w:p>
      <w:pPr>
        <w:ind w:left="880" w:right="40" w:hanging="440"/>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have addressed the delays experienced with final drug product current Good Manufacturing Practices (“cGMP”) release testing by our third-party vendors by adding additional release testing laboratories to our FDA-approved consortium listed in our drug approval documents;</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quantities of FDA-approved plasma with proper specifications;</w:t>
      </w:r>
    </w:p>
    <w:p>
      <w:pPr>
        <w:spacing w:after="0" w:line="225" w:lineRule="exact"/>
        <w:rPr>
          <w:rFonts w:ascii="Times New Roman" w:cs="Times New Roman" w:eastAsia="Times New Roman" w:hAnsi="Times New Roman"/>
          <w:sz w:val="18"/>
          <w:szCs w:val="18"/>
          <w:color w:val="auto"/>
        </w:rPr>
      </w:pPr>
    </w:p>
    <w:p>
      <w:pPr>
        <w:ind w:left="880" w:hanging="440"/>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our supplies of source plasma (including source plasma containing certain levels of antibodies to Respiratory Syncytial Virus), our ability to obtain and maintain regulatory compliance and reliance on third-party supply agreements as well as any extensions to such agreements;</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indications for our products and product candidates;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investigational new product applications;</w:t>
      </w:r>
    </w:p>
    <w:p>
      <w:pPr>
        <w:spacing w:after="0" w:line="225" w:lineRule="exact"/>
        <w:rPr>
          <w:rFonts w:ascii="Times New Roman" w:cs="Times New Roman" w:eastAsia="Times New Roman" w:hAnsi="Times New Roman"/>
          <w:sz w:val="18"/>
          <w:szCs w:val="18"/>
          <w:color w:val="auto"/>
        </w:rPr>
      </w:pPr>
    </w:p>
    <w:p>
      <w:pPr>
        <w:ind w:left="880" w:right="8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any of our products, including ASCENIV, BIVIGAM and Nabi-HB, for any purpose, including FDA-approved indications, by physicians, patients or payers;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evaluate the clinical and regulatory paths to grow the ASCENIV franchise through expanded FDA-approved uses;</w:t>
      </w:r>
    </w:p>
    <w:p>
      <w:pPr>
        <w:spacing w:after="0" w:line="225"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regulatory and business review processes and timing by such governmental and regulatory agencies of our business and regulatory submissions;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concurrence by the FDA with our conclusions concerning our products and product candidates;</w:t>
      </w:r>
    </w:p>
    <w:p>
      <w:pPr>
        <w:spacing w:after="0" w:line="225" w:lineRule="exact"/>
        <w:rPr>
          <w:rFonts w:ascii="Times New Roman" w:cs="Times New Roman" w:eastAsia="Times New Roman" w:hAnsi="Times New Roman"/>
          <w:sz w:val="18"/>
          <w:szCs w:val="18"/>
          <w:color w:val="auto"/>
        </w:rPr>
      </w:pPr>
    </w:p>
    <w:p>
      <w:pPr>
        <w:ind w:left="880" w:right="340" w:hanging="440"/>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results of our hyperimmune and immune globulin (“IG”) products to other comparably run hyperimmune and immune globulin clinical trials;</w:t>
      </w:r>
    </w:p>
    <w:p>
      <w:pPr>
        <w:spacing w:after="0" w:line="161" w:lineRule="exact"/>
        <w:rPr>
          <w:rFonts w:ascii="Times New Roman" w:cs="Times New Roman" w:eastAsia="Times New Roman" w:hAnsi="Times New Roman"/>
          <w:sz w:val="18"/>
          <w:szCs w:val="18"/>
          <w:color w:val="auto"/>
        </w:rPr>
      </w:pPr>
    </w:p>
    <w:p>
      <w:pPr>
        <w:ind w:left="880" w:right="600" w:hanging="440"/>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ASCENIV and BIVIGAM to provide meaningful clinical improvement for patients living with Primary Humoral Immunodeficiency (“PI”), also known as Primary Immunodeficiency Disease (“PIDD”) or Inborn Errors of Immunity, or other immune deficiencies or any other condition for which the products may be prescribed or evaluated;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385" w:lineRule="exact"/>
        <w:rPr>
          <w:sz w:val="20"/>
          <w:szCs w:val="20"/>
          <w:color w:val="auto"/>
        </w:rPr>
      </w:pPr>
    </w:p>
    <w:p>
      <w:pPr>
        <w:ind w:left="880" w:right="60" w:hanging="440"/>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promote Nabi-HB in a highly competitive environment with increasing competition from other antiviral therapies and to generate meaningful revenues from this product;</w:t>
      </w:r>
    </w:p>
    <w:p>
      <w:pPr>
        <w:spacing w:after="0" w:line="161" w:lineRule="exact"/>
        <w:rPr>
          <w:rFonts w:ascii="Times New Roman" w:cs="Times New Roman" w:eastAsia="Times New Roman" w:hAnsi="Times New Roman"/>
          <w:sz w:val="18"/>
          <w:szCs w:val="18"/>
          <w:color w:val="auto"/>
        </w:rPr>
      </w:pPr>
    </w:p>
    <w:p>
      <w:pPr>
        <w:ind w:left="880" w:right="280" w:hanging="440"/>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receive regulatory approval and commercialize our potential pipeline of any new hyperimmune globulins;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third-party contractor capabilities and vertical integration strategy;</w:t>
      </w:r>
    </w:p>
    <w:p>
      <w:pPr>
        <w:spacing w:after="0" w:line="225" w:lineRule="exact"/>
        <w:rPr>
          <w:rFonts w:ascii="Times New Roman" w:cs="Times New Roman" w:eastAsia="Times New Roman" w:hAnsi="Times New Roman"/>
          <w:sz w:val="18"/>
          <w:szCs w:val="18"/>
          <w:color w:val="auto"/>
        </w:rPr>
      </w:pPr>
    </w:p>
    <w:p>
      <w:pPr>
        <w:ind w:left="880" w:right="180" w:hanging="440"/>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61"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revenues, expenses, capital requirements, ability to maintain profitability and positive cash flows and the potential need for and availability of additional financing;</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likely reimbursement levels for our currently marketed products;</w:t>
      </w:r>
    </w:p>
    <w:p>
      <w:pPr>
        <w:spacing w:after="0" w:line="225" w:lineRule="exact"/>
        <w:rPr>
          <w:rFonts w:ascii="Times New Roman" w:cs="Times New Roman" w:eastAsia="Times New Roman" w:hAnsi="Times New Roman"/>
          <w:sz w:val="18"/>
          <w:szCs w:val="18"/>
          <w:color w:val="auto"/>
        </w:rPr>
      </w:pPr>
    </w:p>
    <w:p>
      <w:pPr>
        <w:ind w:left="880" w:right="580" w:hanging="440"/>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projected growth and sales of our existing products as well as our expectations of market acceptance of ASCENIV and BIVIGAM;</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a resurgence of a pandemic, may adversely affect our business, financial condition, liquidity or results of operations; and</w:t>
      </w:r>
    </w:p>
    <w:p>
      <w:pPr>
        <w:spacing w:after="0" w:line="225"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domestic and global economic conditions including, but not limited to, supply chain constraints, inflationary pressures or performance or geopolitical conditions, including the continuing conflict in Europe or the evolving conflict in the Middle East and surrounding areas.</w:t>
      </w:r>
    </w:p>
    <w:p>
      <w:pPr>
        <w:spacing w:after="0" w:line="162"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2023 and in this Quarterly Report on Form 10-Q for the quarter ended June 30, 2024.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195" w:lineRule="exact"/>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560" w:type="dxa"/>
            <w:vAlign w:val="bottom"/>
            <w:gridSpan w:val="7"/>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88,244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51,352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27,421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179,810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172,906</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303,691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54,326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53,835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Right-to-use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9,152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9,635</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5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376,399</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329,182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14,179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27,726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32,919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44,177</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payable, net of discount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131,074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130,594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of term fee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9,779</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188,130</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and outstanding</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voting, $0.0001 par value, 300,000,000 shares authorized, 233,026,736 and 226,063,032 shares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and outstanding at June 30, 2024 and December 31, 2023</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644,634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641,439</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(456,388)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(506,256)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188,269</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135,206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376,399</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1"/>
                <w:szCs w:val="21"/>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36"/>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w:t>
            </w:r>
          </w:p>
        </w:tc>
        <w:tc>
          <w:tcPr>
            <w:tcW w:w="1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w w:val="96"/>
              </w:rPr>
              <w:t>thousands, except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89"/>
              </w:rPr>
              <w:t>share and per share</w:t>
            </w:r>
          </w:p>
        </w:tc>
        <w:tc>
          <w:tcPr>
            <w:tcW w:w="1340" w:type="dxa"/>
            <w:vAlign w:val="bottom"/>
            <w:gridSpan w:val="3"/>
          </w:tcPr>
          <w:p>
            <w:pPr>
              <w:jc w:val="center"/>
              <w:ind w:right="670"/>
              <w:spacing w:after="0"/>
              <w:rPr>
                <w:sz w:val="20"/>
                <w:szCs w:val="20"/>
                <w:color w:val="auto"/>
              </w:rPr>
            </w:pPr>
            <w:r>
              <w:rPr>
                <w:rFonts w:ascii="Times New Roman" w:cs="Times New Roman" w:eastAsia="Times New Roman" w:hAnsi="Times New Roman"/>
                <w:sz w:val="18"/>
                <w:szCs w:val="18"/>
                <w:i w:val="1"/>
                <w:iCs w:val="1"/>
                <w:color w:val="auto"/>
                <w:w w:val="99"/>
              </w:rPr>
              <w:t>data)</w:t>
            </w:r>
          </w:p>
        </w:tc>
        <w:tc>
          <w:tcPr>
            <w:tcW w:w="100" w:type="dxa"/>
            <w:vAlign w:val="bottom"/>
          </w:tcPr>
          <w:p>
            <w:pPr>
              <w:spacing w:after="0"/>
              <w:rPr>
                <w:sz w:val="20"/>
                <w:szCs w:val="20"/>
                <w:color w:val="auto"/>
              </w:rPr>
            </w:pPr>
          </w:p>
        </w:tc>
      </w:tr>
      <w:tr>
        <w:trPr>
          <w:trHeight w:val="196"/>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60,123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189,066</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117,037</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43,433</w:t>
            </w:r>
          </w:p>
        </w:tc>
        <w:tc>
          <w:tcPr>
            <w:tcW w:w="14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92,505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83,834</w:t>
            </w:r>
          </w:p>
        </w:tc>
      </w:tr>
      <w:tr>
        <w:trPr>
          <w:trHeight w:val="223"/>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57,453</w:t>
            </w:r>
          </w:p>
        </w:tc>
        <w:tc>
          <w:tcPr>
            <w:tcW w:w="2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96,561</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33,203</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1,403</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14,248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32,247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28,759</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17,163</w:t>
            </w:r>
          </w:p>
        </w:tc>
        <w:tc>
          <w:tcPr>
            <w:tcW w:w="14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35,539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34,489</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61,022</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(1,286)</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(3,783)</w:t>
            </w:r>
          </w:p>
        </w:tc>
        <w:tc>
          <w:tcPr>
            <w:tcW w:w="16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(6,299)</w:t>
            </w:r>
          </w:p>
        </w:tc>
        <w:tc>
          <w:tcPr>
            <w:tcW w:w="14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(7,552)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00" w:type="dxa"/>
            <w:vAlign w:val="bottom"/>
          </w:tcPr>
          <w:p>
            <w:pPr>
              <w:spacing w:after="0"/>
              <w:rPr>
                <w:sz w:val="19"/>
                <w:szCs w:val="19"/>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(3,350)</w:t>
            </w:r>
          </w:p>
        </w:tc>
        <w:tc>
          <w:tcPr>
            <w:tcW w:w="16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(5,898)</w:t>
            </w:r>
          </w:p>
        </w:tc>
        <w:tc>
          <w:tcPr>
            <w:tcW w:w="14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(6,770)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(11,874)</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(6,371)</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54,252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(13,160)</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(6,371)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49,868</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232,417,645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222,683,393</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230,646,246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222,304,676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242,167,072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222,683,393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239,645,940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222,304,676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8"/>
        </w:trPr>
        <w:tc>
          <w:tcPr>
            <w:tcW w:w="4620" w:type="dxa"/>
            <w:vAlign w:val="bottom"/>
          </w:tcPr>
          <w:p>
            <w:pPr>
              <w:spacing w:after="0"/>
              <w:rPr>
                <w:sz w:val="18"/>
                <w:szCs w:val="18"/>
                <w:color w:val="auto"/>
              </w:rPr>
            </w:pPr>
          </w:p>
        </w:tc>
        <w:tc>
          <w:tcPr>
            <w:tcW w:w="230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226,063,032</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641,439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4,545,503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 for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774,889</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(2,476)</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386,341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17,806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231,769,765</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642,133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(488,450)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 for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171,408</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148,056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32,062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32,062</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233,026,736</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644,634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(456,388)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8700" w:type="dxa"/>
            <w:vAlign w:val="bottom"/>
            <w:tcBorders>
              <w:bottom w:val="single" w:sz="8" w:color="auto"/>
            </w:tcBorders>
            <w:gridSpan w:val="9"/>
          </w:tcPr>
          <w:p>
            <w:pPr>
              <w:ind w:left="36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2023</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620" w:type="dxa"/>
            <w:vAlign w:val="bottom"/>
          </w:tcPr>
          <w:p>
            <w:pPr>
              <w:spacing w:after="0"/>
              <w:rPr>
                <w:sz w:val="19"/>
                <w:szCs w:val="19"/>
                <w:color w:val="auto"/>
              </w:rPr>
            </w:pPr>
          </w:p>
        </w:tc>
        <w:tc>
          <w:tcPr>
            <w:tcW w:w="230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8"/>
        </w:trPr>
        <w:tc>
          <w:tcPr>
            <w:tcW w:w="4620" w:type="dxa"/>
            <w:vAlign w:val="bottom"/>
          </w:tcPr>
          <w:p>
            <w:pPr>
              <w:spacing w:after="0"/>
              <w:rPr>
                <w:sz w:val="18"/>
                <w:szCs w:val="18"/>
                <w:color w:val="auto"/>
              </w:rPr>
            </w:pPr>
          </w:p>
        </w:tc>
        <w:tc>
          <w:tcPr>
            <w:tcW w:w="230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221,816,930</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629,969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(478,017)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 for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443,215</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(6,789)</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222,262,588</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630,439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(484,806)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145,655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 for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117,484</w:t>
            </w:r>
          </w:p>
        </w:tc>
        <w:tc>
          <w:tcPr>
            <w:tcW w:w="92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in connection with note payable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1,967,847</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(6,371)</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224,526,748</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637,917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(491,177)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w w:val="75"/>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(13,160)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in kind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license revenue</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(2,692)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(21,227)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(1,410)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4,737</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9"/>
                <w:szCs w:val="19"/>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(4,727)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on vested Restricted Stock Units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the exercise of stock options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Pr>
          <w:p>
            <w:pPr>
              <w:spacing w:after="0"/>
              <w:rPr>
                <w:sz w:val="19"/>
                <w:szCs w:val="19"/>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(1,809)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 AND BUSINESS</w:t>
      </w:r>
    </w:p>
    <w:p>
      <w:pPr>
        <w:spacing w:after="0" w:line="229" w:lineRule="exact"/>
        <w:rPr>
          <w:sz w:val="20"/>
          <w:szCs w:val="20"/>
          <w:color w:val="auto"/>
        </w:rPr>
      </w:pPr>
    </w:p>
    <w:p>
      <w:pPr>
        <w:ind w:right="400" w:firstLine="607"/>
        <w:spacing w:after="0" w:line="261" w:lineRule="auto"/>
        <w:rPr>
          <w:sz w:val="20"/>
          <w:szCs w:val="20"/>
          <w:color w:val="auto"/>
        </w:rPr>
      </w:pPr>
      <w:r>
        <w:rPr>
          <w:rFonts w:ascii="Times New Roman" w:cs="Times New Roman" w:eastAsia="Times New Roman" w:hAnsi="Times New Roman"/>
          <w:sz w:val="18"/>
          <w:szCs w:val="18"/>
          <w:color w:val="auto"/>
        </w:rPr>
        <w:t>ADMA Biologics, Inc. (“ADMA” or the “Company”) is an end-to-end commercial biopharmaceutical company dedicated to manufacturing, marketing and developing specialty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0" w:lineRule="exact"/>
        <w:rPr>
          <w:sz w:val="20"/>
          <w:szCs w:val="20"/>
          <w:color w:val="auto"/>
        </w:rPr>
      </w:pPr>
    </w:p>
    <w:p>
      <w:pPr>
        <w:ind w:right="180" w:firstLine="607"/>
        <w:spacing w:after="0" w:line="255" w:lineRule="auto"/>
        <w:rPr>
          <w:sz w:val="20"/>
          <w:szCs w:val="20"/>
          <w:color w:val="auto"/>
        </w:rPr>
      </w:pPr>
      <w:r>
        <w:rPr>
          <w:rFonts w:ascii="Times New Roman" w:cs="Times New Roman" w:eastAsia="Times New Roman" w:hAnsi="Times New Roman"/>
          <w:sz w:val="18"/>
          <w:szCs w:val="18"/>
          <w:color w:val="auto"/>
        </w:rPr>
        <w:t>ADMA operates through its wholly-owned subsidiaries ADMA BioManufacturing, LLC (“ADMA BioManufacturing”) and ADMA BioCenters Georgia Inc. (“ADMA BioCenters”). ADMA BioManufacturing was formed in January 2017 to facilitate the acquisition of certain assets held by the Company’s former third-party contract manufacturer, which included the U.S. Food and Drug Administration (“FDA”)-licensed BIVIGAM and Nabi-HB immunoglobulin products, and an FDA-licensed plasma fractionation manufacturing facility located in Boca Raton, FL (the “Boca Facility”).</w:t>
      </w:r>
    </w:p>
    <w:p>
      <w:pPr>
        <w:spacing w:after="0" w:line="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ADMA BioCenters is the Company’s source plasma collection business with ten plasma collection facilities located throughout the United States, all of which hold an approved license with the FDA.</w:t>
      </w:r>
    </w:p>
    <w:p>
      <w:pPr>
        <w:spacing w:after="0" w:line="181" w:lineRule="exact"/>
        <w:rPr>
          <w:sz w:val="20"/>
          <w:szCs w:val="20"/>
          <w:color w:val="auto"/>
        </w:rPr>
      </w:pPr>
    </w:p>
    <w:p>
      <w:pPr>
        <w:ind w:right="60" w:firstLine="607"/>
        <w:spacing w:after="0" w:line="253" w:lineRule="auto"/>
        <w:rPr>
          <w:sz w:val="20"/>
          <w:szCs w:val="20"/>
          <w:color w:val="auto"/>
        </w:rPr>
      </w:pPr>
      <w:r>
        <w:rPr>
          <w:rFonts w:ascii="Times New Roman" w:cs="Times New Roman" w:eastAsia="Times New Roman" w:hAnsi="Times New Roman"/>
          <w:sz w:val="18"/>
          <w:szCs w:val="18"/>
          <w:color w:val="auto"/>
        </w:rPr>
        <w:t>The Company has three FDA-approved products,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for which the Company received FDA approval on April 1, 2019 and commenced first commercial sales in October 2019; (ii) BIVIGAM (Immune Globulin Intravenous, Human), an IVIG product indicated for the treatment of PI, and for which the Company received FDA approval on May 9, 2019 and commenced commercial sales in August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generates revenues from the sale of intermediate by-products that result from the immunoglobulin production process and from time to time provides contract manufacturing and laboratory services for certain clients.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of June 30, 2024, the Company had working capital of $259.5 million, including $88.2 million of cash and cash equivalents, $30.1 million of accounts receivable and $179.8 million of inventories, partially offset by $44.2 million of current liabilities. Based upon the Company’s current projected revenue and expenditures, including capital expenditures and continued implementation of the Company’s commercialization and expansion activities, the Company’s management currently believes that its cash, cash equivalents and accounts receivable, along with its projected future operating cash flow, will be sufficient to fund ADMA’s operations, as currently conducted, through the end of the third quarter of 2025 and beyond. However, the Company’s current outlook on cash flows and profitability may change based upon several factors, including the success of the Company’s commercial sales of its products, whether or not the assumptions underlying the Company’s projected revenues and expenses are correct and the continued acceptability of ADMA’s immune globulin products by physicians, patients and payers.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inflationary pressures, supply chain constraints, protection of proprietary technology, and compliance with FDA and other governmental regulations and approval requirements.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ADMA continues to evaluate a variety of strategic alternatives, and the exploration of value-creating opportunities remains a top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annual audited consolidated financial statements and notes thereto as of and for the year ended December 31, 2023 included in the Company’s Annual Report on Form 10-K filed with the U.S. Securities and Exchange Commission (the “SEC”) on February 28, 2024. The accompanying consolidated balance sheet as of December 31, 2023 was derived from the audited financial statements as of and for the year ended December 31, 2023. These condensed consolidated interim financial statements have been prepared in accordance with the instructions to Form 10-Q and Article 10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June 30, 2024, its results of operations and changes in stockholders’ equity for the three and six months ended June 30, 2024 and 2023 and cash flows for the six months ended June 30, 2024 and 2023.</w:t>
      </w:r>
    </w:p>
    <w:p>
      <w:pPr>
        <w:spacing w:after="0" w:line="194"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comprehensive income/loss was equal to the net income/loss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and chargebacks deducted from gross revenues, valuation of inventory, assumptions used in the fair value of awards granted under the Company’s equity incentive plans and warrants issued in connection with the issuance of notes payable and estimates related to the valuation allowance for the Company’s deferred tax assets and its effective tax rate.</w:t>
      </w:r>
    </w:p>
    <w:p>
      <w:pPr>
        <w:spacing w:after="0" w:line="16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engaged a third-party specialist to assist in the evaluation of the Company’s accrual for U.S. Medicaid rebates related to the sale of the Company’s immunoglobulin products. As a result of this evaluation, the Company recognized a reduction in this accrual and a corresponding increase to net revenues of $12.6 million for the three months ended June 30, 2024. This change in estimate was applied on a prospective basis as of June 30, 2024 and increased income from operations and net income by approximately $12.6 million and $11.6 million, respectively, and increased basic and diluted earnings per share by $0.05. Because there was little to no historical data to rely upon at the time BIVIGAM and ASCENIV were launched, the Company had considered several qualitative factors when evaluating the initial rate to accrue for rebates, such as the absence of a statutory limitation on the rebate amounts drug manufacturers pay to state Medicaid programs and general uncertainty that pharmaceutical manufacturers have historically seen with government payors often submitting lagged claims many periods after the initial dispensing of a product to an end patient. The Company additionally considered that estimates may change over the lifetime of these products due to changes in utilization and payor mixes. There was additional new information that arose during the three months ended June 30, 2024 that suggested the need to reevaluate the underlying assumption of historical payer mix for BIVIGAM and ASCENIV, which resulted in the $12.6 million adjustment to the accrual for U.S. Medicaid rebates at June 30, 2024.</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of Financial Instruments</w:t>
      </w:r>
    </w:p>
    <w:p>
      <w:pPr>
        <w:spacing w:after="0" w:line="22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credit facility (see Note 7) approximates fair value due to the variable interest rate on this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Accounts receivable is reported at realizable value, net of allowances for contractual credits and credit losses in the amount of $0.2 million and $0.1 million at June 30, 2024 and December 31, 2023, respectively, which are recognized in the period the related revenue is recorded. </w:t>
      </w:r>
      <w:r>
        <w:rPr>
          <w:rFonts w:ascii="Times New Roman" w:cs="Times New Roman" w:eastAsia="Times New Roman" w:hAnsi="Times New Roman"/>
          <w:sz w:val="18"/>
          <w:szCs w:val="18"/>
          <w:color w:val="212529"/>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extends credit to its customers based upon an evaluation of each customer’s financial condition and credit history. Evaluations of the financial condition, payment history and associated credit risk of customers are performed on an ongoing basis. </w:t>
      </w:r>
      <w:r>
        <w:rPr>
          <w:rFonts w:ascii="Times New Roman" w:cs="Times New Roman" w:eastAsia="Times New Roman" w:hAnsi="Times New Roman"/>
          <w:sz w:val="18"/>
          <w:szCs w:val="18"/>
          <w:color w:val="000000"/>
        </w:rPr>
        <w:t>Based on these evaluations, the Company has concluded that its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credit risk is minimal. At June 30, 2024, four customers accounted for an aggregate of approximately 95% of the Company’s total accounts receivable, and at December 31, 2023, five customers accounted for approximately 98% of the Company’s total accounts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Inventories</w:t>
      </w:r>
    </w:p>
    <w:p>
      <w:pPr>
        <w:spacing w:after="0" w:line="227" w:lineRule="exact"/>
        <w:rPr>
          <w:sz w:val="20"/>
          <w:szCs w:val="20"/>
          <w:color w:val="auto"/>
        </w:rPr>
      </w:pPr>
    </w:p>
    <w:p>
      <w:pPr>
        <w:ind w:right="80" w:firstLine="607"/>
        <w:spacing w:after="0" w:line="256" w:lineRule="auto"/>
        <w:rPr>
          <w:sz w:val="20"/>
          <w:szCs w:val="20"/>
          <w:color w:val="auto"/>
        </w:rPr>
      </w:pPr>
      <w:r>
        <w:rPr>
          <w:rFonts w:ascii="Times New Roman" w:cs="Times New Roman" w:eastAsia="Times New Roman" w:hAnsi="Times New Roman"/>
          <w:sz w:val="18"/>
          <w:szCs w:val="18"/>
          <w:color w:val="auto"/>
        </w:rPr>
        <w:t>Raw materials inventory consists of various materials purchased from suppliers, including normal source plasma and Respiratory Syncytial Virus (“RSV”) high titer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Boca Facility overhead allocation to inventory is generally based upon the estimated square footage of the Boca Facility that is used in the production of the Company’s FDA-approved products relative to the total square footage of the facility.</w:t>
      </w:r>
    </w:p>
    <w:p>
      <w:pPr>
        <w:spacing w:after="0" w:line="187" w:lineRule="exact"/>
        <w:rPr>
          <w:sz w:val="20"/>
          <w:szCs w:val="20"/>
          <w:color w:val="auto"/>
        </w:rPr>
      </w:pPr>
    </w:p>
    <w:p>
      <w:pPr>
        <w:ind w:right="60" w:firstLine="607"/>
        <w:spacing w:after="0" w:line="255" w:lineRule="auto"/>
        <w:rPr>
          <w:sz w:val="20"/>
          <w:szCs w:val="20"/>
          <w:color w:val="auto"/>
        </w:rPr>
      </w:pPr>
      <w:r>
        <w:rPr>
          <w:rFonts w:ascii="Times New Roman" w:cs="Times New Roman" w:eastAsia="Times New Roman" w:hAnsi="Times New Roman"/>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2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by the Company. Goodwill at June 30, 2024 and December 31, 2023 was $3.5 million. All of the Company’s goodwill is attributable to its ADMA BioManufacturing business segment.</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 did not record any impairment charges related to goodwill for the three and six months ended June 30, 2024 and 2023.</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and six months ended June 30, 2024 and 2023, the Company did not identify any impairment indicators for its long-lived assets, and as a result no impairment charges were recorded.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Revenues for the three and six months ended June 30, 2024 and 2023 are comprised of (i) revenues from the sale of the Company’s immunoglobulin products, ASCENIV, BIVIGAM and Nabi-HB, (ii)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AG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Product revenue is recognized when the customer is deemed to have control over the product. Control is determined based on when the product is shipped or delivered, depending on the sales terms,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wholesaler distribution and related fees, customer incentives, including prompt pay discounts, wholesaler chargebacks, group purchasing organization fees and reimbursements for patient assistance. These estimates are based on historical experience and certain other assumptions, and while the Company believes that such estimates are reasonable, they are subject to change based on future experience and other factors. During the three and six months ended June 30, 2024, the Company engaged a third-party specialist to assist in the evaluation of the Company’s accrual for U.S. Medicaid rebates related to the sale of the Company’s immunoglobulin products. As a result of this evaluation, the Company recognized a reduction in this accrual and a corresponding increase to net revenues of $12.6 million for the three months ended June 30, 2024, substantially all of which was related to the sale of ASCENIV and BIVIGAM. This change in estimate was applied on a prospective basis as of June 30, 2024 and increased income from operations and net income by approximately $12.6 million and $11.6 million, respectively, and increased basic and diluted earnings per share by $0.05. Because there was little to no historical data to rely upon at the time BIVIGAM and ASCENIV were launched, the Company had considered several qualitative factors when evaluating the initial rate to accrue for rebates, such as the absence of a statutory limitation on the rebate amounts drug manufacturers pay to state Medicaid programs and general uncertainty that pharmaceutical manufacturers have historically seen with government payors often submitting lagged claims many periods after the initial dispensing of a product to an end patient. The Company additionally considered that estimates may change over the lifetime of these products due to changes in utilization and payor mixes. There was additional new information that arose during the three months ended June 30, 2024 that suggested the need to reevaluate the underlying assumption of historical payer mix for BIVIGAM and ASCENIV, which resulted in the $12.6 million adjustment to the accrual for U.S. Medicaid rebates at June 30, 2024.</w:t>
      </w:r>
    </w:p>
    <w:p>
      <w:pPr>
        <w:spacing w:after="0" w:line="19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six months ended June 30, 2024, two customers represented an aggregate of approximately 71% of the Company’s consolidated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2023, two customers represented an aggregate of 68% of the Company’s consolidated revenues.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 Revenue</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includes costs associated with the manufacture of the Company’s FDA-approved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or processes in development, the expenses are classified as research and development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Earnings/Loss Per Common Share</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Basic earnings/loss per common share is computed by dividing net earnings/loss attributable to common stockholders by the weighted average number of shares of common stock outstanding during the period. Diluted earnings/loss per common share is calculated by dividing net earnings/loss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as well as restricted stock units (“RSUs”), using the treasury stock method. Potentially dilutive common stock is excluded from the diluted earnings/loss per common share computation to the extent that it would be anti-dilutive. For the three and six months ended June 30, 2024, basic and diluted earnings per share is calculated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7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($000’s) (numerator)</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32,062</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w:t>
            </w:r>
          </w:p>
        </w:tc>
        <w:tc>
          <w:tcPr>
            <w:tcW w:w="80" w:type="dxa"/>
            <w:vAlign w:val="bottom"/>
            <w:shd w:val="clear" w:color="auto" w:fill="CCEEFF"/>
          </w:tcPr>
          <w:p>
            <w:pPr>
              <w:spacing w:after="0"/>
              <w:rPr>
                <w:sz w:val="18"/>
                <w:szCs w:val="18"/>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 (denominator)</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232,417,645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230,646,246</w:t>
            </w:r>
          </w:p>
        </w:tc>
      </w:tr>
      <w:tr>
        <w:trPr>
          <w:trHeight w:val="257"/>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09"/>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232,417,645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230,646,246</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outstanding stock options, warrants and unvested RSUs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9,749,427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8,999,694</w:t>
            </w:r>
          </w:p>
        </w:tc>
      </w:tr>
      <w:tr>
        <w:trPr>
          <w:trHeight w:val="223"/>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 diluted (denominator)</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242,167,072</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239,645,940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7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2024, there were no shares with an anti-dilutive effect that needed to be excluded from the earnings per share computation. For the three and six months ended June 30, 2023 no potentially dilutive securities are included in the computation of diluted loss per share in the accompanying condensed consolidated financial statements as the Company reported a net loss for these periods. For the six months ended June 30, 2023, the following securities were excluded from the calculation of diluted loss per common share because of their anti-dilutive effects: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9,641,312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7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4,818,649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6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12,502,906</w:t>
            </w:r>
          </w:p>
        </w:tc>
        <w:tc>
          <w:tcPr>
            <w:tcW w:w="0" w:type="dxa"/>
            <w:vAlign w:val="bottom"/>
          </w:tcPr>
          <w:p>
            <w:pPr>
              <w:spacing w:after="0"/>
              <w:rPr>
                <w:sz w:val="1"/>
                <w:szCs w:val="1"/>
                <w:color w:val="auto"/>
              </w:rPr>
            </w:pPr>
          </w:p>
        </w:tc>
      </w:tr>
      <w:tr>
        <w:trPr>
          <w:trHeight w:val="27"/>
        </w:trPr>
        <w:tc>
          <w:tcPr>
            <w:tcW w:w="360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26,962,867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380" w:type="dxa"/>
            <w:vAlign w:val="bottom"/>
            <w:vMerge w:val="restart"/>
          </w:tcPr>
          <w:p>
            <w:pPr>
              <w:jc w:val="right"/>
              <w:ind w:right="4236"/>
              <w:spacing w:after="0"/>
              <w:rPr>
                <w:sz w:val="20"/>
                <w:szCs w:val="20"/>
                <w:color w:val="auto"/>
              </w:rPr>
            </w:pPr>
            <w:r>
              <w:rPr>
                <w:rFonts w:ascii="Times New Roman" w:cs="Times New Roman" w:eastAsia="Times New Roman" w:hAnsi="Times New Roman"/>
                <w:sz w:val="14"/>
                <w:szCs w:val="14"/>
                <w:color w:val="auto"/>
              </w:rPr>
              <w:t>9</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60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600" w:type="dxa"/>
            <w:vAlign w:val="bottom"/>
            <w:tcBorders>
              <w:bottom w:val="single" w:sz="8" w:color="auto"/>
            </w:tcBorders>
          </w:tcPr>
          <w:p>
            <w:pPr>
              <w:spacing w:after="0"/>
              <w:rPr>
                <w:sz w:val="3"/>
                <w:szCs w:val="3"/>
                <w:color w:val="auto"/>
              </w:rPr>
            </w:pPr>
          </w:p>
        </w:tc>
        <w:tc>
          <w:tcPr>
            <w:tcW w:w="6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follows recognized accounting guidance which requires all equity-based payments, including grants of stock options and RSUs, to be recognized in the statement of operations as compensation expense based on their fair values at the date of grant. Compensation expense related to awards to employees and directors with service-based vesting conditions is generally recognized on a straight-line basis over the associated vesting period of the award based on the grant date fair value of the award. Stock options granted under the Company’s equity incentive plans generally have a four-year vesting period and a term of 10 years. RSUs granted to employees generally have a four-year vesting period. Pursuant to ASU No. 2016-09, </w:t>
      </w:r>
      <w:r>
        <w:rPr>
          <w:rFonts w:ascii="Times New Roman" w:cs="Times New Roman" w:eastAsia="Times New Roman" w:hAnsi="Times New Roman"/>
          <w:sz w:val="18"/>
          <w:szCs w:val="18"/>
          <w:i w:val="1"/>
          <w:iCs w:val="1"/>
          <w:color w:val="auto"/>
        </w:rPr>
        <w:t>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Employee Share-Based Payment Accounting (Topic 718)</w:t>
      </w:r>
      <w:r>
        <w:rPr>
          <w:rFonts w:ascii="Times New Roman" w:cs="Times New Roman" w:eastAsia="Times New Roman" w:hAnsi="Times New Roman"/>
          <w:sz w:val="18"/>
          <w:szCs w:val="18"/>
          <w:color w:val="auto"/>
        </w:rPr>
        <w:t>, the Company has elected not to establish a forfeiture rate, as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related to forfeitures of unvested equity awards is fully reversed at the time of forfeiture.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2020 and for previous periods as it relates to the Company’s net operating loss carryforwards.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Derecognition of a tax benefit previously recognized could result in the Company recording a tax liability that would reduce net assets. Based on its analysis, the Company has determined that it has not incurred any material liability for unrecognized tax benefits as of June 30, 2024 and December 31, 2023, and during the three and six months ended June 30, 2024 and 2023 the Company recognized no adjustments for uncertain tax positions.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of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amendments in this ASU are intended to provide financial statement users with more disaggregated expense information about a public entity’s reportable segments, however the update does not change the definition of an operating segment or the method for determining reportable segments. This update becomes effective for fiscal years beginning after December 15, 2023 and for interim periods beginning after December 15, 2024. The Company does not expect this ASU to have a material impact on the Company’s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following table provides the components of inventories: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w w:val="75"/>
              </w:rPr>
              <w:t>thousands)</w:t>
            </w: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56,985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52,999</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55,069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49,621</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67,756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70,286</w:t>
            </w:r>
          </w:p>
        </w:tc>
      </w:tr>
      <w:tr>
        <w:trPr>
          <w:trHeight w:val="216"/>
        </w:trPr>
        <w:tc>
          <w:tcPr>
            <w:tcW w:w="86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179,810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172,906</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Raw materials includes plasma and other materials expected to be used in the production of ASCENIV, BIVIGAM and Nabi-HB. These materials will be consumed in the production of goods expected to be available for sale or otherwise have alternative uses that provide a probable future benefit.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Work-in-process inventory primarily consists of bulk drug substance and unlabeled filled vials of the Company’s immunoglobulin products.</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Finished goods inventory is comprised of immunoglobulin product inventory and related intermediates that are available for commercial sale, as well as plasma collected at the Company’s plasma collection centers that is expected to be sold to third-party customers.</w:t>
      </w:r>
    </w:p>
    <w:p>
      <w:pPr>
        <w:spacing w:after="0" w:line="15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at June 30, 2024 and December 31, 2023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1"/>
                <w:szCs w:val="21"/>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Net</w:t>
            </w:r>
          </w:p>
        </w:tc>
        <w:tc>
          <w:tcPr>
            <w:tcW w:w="360" w:type="dxa"/>
            <w:vAlign w:val="bottom"/>
          </w:tcPr>
          <w:p>
            <w:pPr>
              <w:spacing w:after="0"/>
              <w:rPr>
                <w:sz w:val="21"/>
                <w:szCs w:val="21"/>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1"/>
                <w:szCs w:val="21"/>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1"/>
                <w:szCs w:val="21"/>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Trademark and other intangible rights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Nabi-HB</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6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525</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to intermediates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907</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260" w:type="dxa"/>
            <w:vAlign w:val="bottom"/>
          </w:tcPr>
          <w:p>
            <w:pPr>
              <w:spacing w:after="0"/>
              <w:rPr>
                <w:sz w:val="18"/>
                <w:szCs w:val="18"/>
                <w:color w:val="auto"/>
              </w:rPr>
            </w:pPr>
          </w:p>
        </w:tc>
        <w:tc>
          <w:tcPr>
            <w:tcW w:w="400" w:type="dxa"/>
            <w:vAlign w:val="bottom"/>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the Company continued to develop its data intelligence and analytics programs at a cost of $0.3 million, and such costs are amortized over a period of three to five years upon the projects’ completion and placement into service. Amortization expense related to the Company’s intangible assets was $0.1 and $0.2 million for the three months ended June 30, 2024 and 2023, respectively, and $0.3 million and $0.4 million for the six months ended June 30, 2024 and 2023, respectively. Estimated future aggregate amortization expense is expected to be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2024</w:t>
            </w:r>
          </w:p>
        </w:tc>
        <w:tc>
          <w:tcPr>
            <w:tcW w:w="75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96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2025</w:t>
            </w:r>
          </w:p>
        </w:tc>
        <w:tc>
          <w:tcPr>
            <w:tcW w:w="75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296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2026</w:t>
            </w:r>
          </w:p>
        </w:tc>
        <w:tc>
          <w:tcPr>
            <w:tcW w:w="7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296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2027</w:t>
            </w:r>
          </w:p>
        </w:tc>
        <w:tc>
          <w:tcPr>
            <w:tcW w:w="75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296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w w:val="94"/>
              </w:rPr>
              <w:t>2028</w:t>
            </w:r>
          </w:p>
        </w:tc>
        <w:tc>
          <w:tcPr>
            <w:tcW w:w="7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570"/>
        </w:trPr>
        <w:tc>
          <w:tcPr>
            <w:tcW w:w="2960" w:type="dxa"/>
            <w:vAlign w:val="bottom"/>
          </w:tcPr>
          <w:p>
            <w:pPr>
              <w:spacing w:after="0"/>
              <w:rPr>
                <w:sz w:val="24"/>
                <w:szCs w:val="24"/>
                <w:color w:val="auto"/>
              </w:rPr>
            </w:pPr>
          </w:p>
        </w:tc>
        <w:tc>
          <w:tcPr>
            <w:tcW w:w="7520" w:type="dxa"/>
            <w:vAlign w:val="bottom"/>
          </w:tcPr>
          <w:p>
            <w:pPr>
              <w:jc w:val="right"/>
              <w:ind w:right="4699"/>
              <w:spacing w:after="0"/>
              <w:rPr>
                <w:sz w:val="20"/>
                <w:szCs w:val="20"/>
                <w:color w:val="auto"/>
              </w:rPr>
            </w:pPr>
            <w:r>
              <w:rPr>
                <w:rFonts w:ascii="Times New Roman" w:cs="Times New Roman" w:eastAsia="Times New Roman" w:hAnsi="Times New Roman"/>
                <w:sz w:val="14"/>
                <w:szCs w:val="14"/>
                <w:color w:val="auto"/>
              </w:rPr>
              <w:t>11</w:t>
            </w:r>
          </w:p>
        </w:tc>
        <w:tc>
          <w:tcPr>
            <w:tcW w:w="760" w:type="dxa"/>
            <w:vAlign w:val="bottom"/>
          </w:tcPr>
          <w:p>
            <w:pPr>
              <w:spacing w:after="0"/>
              <w:rPr>
                <w:sz w:val="24"/>
                <w:szCs w:val="24"/>
                <w:color w:val="auto"/>
              </w:rPr>
            </w:pPr>
          </w:p>
        </w:tc>
      </w:tr>
      <w:tr>
        <w:trPr>
          <w:trHeight w:val="44"/>
        </w:trPr>
        <w:tc>
          <w:tcPr>
            <w:tcW w:w="2960" w:type="dxa"/>
            <w:vAlign w:val="bottom"/>
            <w:tcBorders>
              <w:bottom w:val="single" w:sz="8" w:color="auto"/>
            </w:tcBorders>
          </w:tcPr>
          <w:p>
            <w:pPr>
              <w:spacing w:after="0"/>
              <w:rPr>
                <w:sz w:val="3"/>
                <w:szCs w:val="3"/>
                <w:color w:val="auto"/>
              </w:rPr>
            </w:pPr>
          </w:p>
        </w:tc>
        <w:tc>
          <w:tcPr>
            <w:tcW w:w="7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Property and equipment and related accumulated depreciation are summarized as follows: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8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 2024   December 31, 2023</w:t>
            </w:r>
          </w:p>
        </w:tc>
      </w:tr>
      <w:tr>
        <w:trPr>
          <w:trHeight w:val="27"/>
        </w:trPr>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w:t>
            </w:r>
          </w:p>
        </w:tc>
        <w:tc>
          <w:tcPr>
            <w:tcW w:w="9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8"/>
              </w:rPr>
              <w:t>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laboratory equipment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21,093</w:t>
            </w:r>
          </w:p>
        </w:tc>
      </w:tr>
      <w:tr>
        <w:trPr>
          <w:trHeight w:val="216"/>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 equipment and computer software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6,062</w:t>
            </w:r>
          </w:p>
        </w:tc>
      </w:tr>
      <w:tr>
        <w:trPr>
          <w:trHeight w:val="216"/>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5,776</w:t>
            </w:r>
          </w:p>
        </w:tc>
      </w:tr>
      <w:tr>
        <w:trPr>
          <w:trHeight w:val="216"/>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2,273</w:t>
            </w:r>
          </w:p>
        </w:tc>
      </w:tr>
      <w:tr>
        <w:trPr>
          <w:trHeight w:val="216"/>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20,811</w:t>
            </w:r>
          </w:p>
        </w:tc>
      </w:tr>
      <w:tr>
        <w:trPr>
          <w:trHeight w:val="216"/>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4,339</w:t>
            </w:r>
          </w:p>
        </w:tc>
      </w:tr>
      <w:tr>
        <w:trPr>
          <w:trHeight w:val="223"/>
        </w:trPr>
        <w:tc>
          <w:tcPr>
            <w:tcW w:w="8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80,572</w:t>
            </w:r>
          </w:p>
        </w:tc>
      </w:tr>
      <w:tr>
        <w:trPr>
          <w:trHeight w:val="223"/>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(26,737)</w:t>
            </w:r>
          </w:p>
        </w:tc>
      </w:tr>
      <w:tr>
        <w:trPr>
          <w:trHeight w:val="216"/>
        </w:trPr>
        <w:tc>
          <w:tcPr>
            <w:tcW w:w="83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53,835</w:t>
            </w:r>
          </w:p>
        </w:tc>
        <w:tc>
          <w:tcPr>
            <w:tcW w:w="100" w:type="dxa"/>
            <w:vAlign w:val="bottom"/>
            <w:tcBorders>
              <w:top w:val="single" w:sz="8" w:color="CCEEFF"/>
            </w:tcBorders>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5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on property and equipment for the three months ended June 30, 2024 and 2023 of $1.9 million and for the six months ended June 30, 2024 and 2023 of $3.8 million.</w:t>
      </w:r>
    </w:p>
    <w:p>
      <w:pPr>
        <w:spacing w:after="0" w:line="15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at June 30, 2024 and December 31,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8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 2024   December 31, 2023</w:t>
            </w:r>
          </w:p>
        </w:tc>
      </w:tr>
      <w:tr>
        <w:trPr>
          <w:trHeight w:val="27"/>
        </w:trPr>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w:t>
            </w:r>
          </w:p>
        </w:tc>
        <w:tc>
          <w:tcPr>
            <w:tcW w:w="20" w:type="dxa"/>
            <w:vAlign w:val="bottom"/>
          </w:tcPr>
          <w:p>
            <w:pPr>
              <w:spacing w:after="0"/>
              <w:rPr>
                <w:sz w:val="18"/>
                <w:szCs w:val="18"/>
                <w:color w:val="auto"/>
              </w:rPr>
            </w:pPr>
          </w:p>
        </w:tc>
        <w:tc>
          <w:tcPr>
            <w:tcW w:w="9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96"/>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3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16,608</w:t>
            </w: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distribution fees</w:t>
            </w:r>
          </w:p>
        </w:tc>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5,954</w:t>
            </w:r>
          </w:p>
        </w:tc>
      </w:tr>
      <w:tr>
        <w:trPr>
          <w:trHeight w:val="21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incentives</w:t>
            </w:r>
          </w:p>
        </w:tc>
        <w:tc>
          <w:tcPr>
            <w:tcW w:w="3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4,961</w:t>
            </w: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testing</w:t>
            </w:r>
          </w:p>
        </w:tc>
        <w:tc>
          <w:tcPr>
            <w:tcW w:w="3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other compensation</w:t>
            </w:r>
          </w:p>
        </w:tc>
        <w:tc>
          <w:tcPr>
            <w:tcW w:w="3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2,203</w:t>
            </w:r>
          </w:p>
        </w:tc>
      </w:tr>
      <w:tr>
        <w:trPr>
          <w:trHeight w:val="223"/>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r>
      <w:tr>
        <w:trPr>
          <w:trHeight w:val="256"/>
        </w:trPr>
        <w:tc>
          <w:tcPr>
            <w:tcW w:w="5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4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27,726</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100" w:type="dxa"/>
            <w:vAlign w:val="bottom"/>
            <w:shd w:val="clear" w:color="auto" w:fill="CCEEFF"/>
          </w:tcPr>
          <w:p>
            <w:pPr>
              <w:spacing w:after="0"/>
              <w:rPr>
                <w:sz w:val="22"/>
                <w:szCs w:val="22"/>
                <w:color w:val="auto"/>
              </w:rPr>
            </w:pPr>
          </w:p>
        </w:tc>
      </w:tr>
      <w:tr>
        <w:trPr>
          <w:trHeight w:val="385"/>
        </w:trPr>
        <w:tc>
          <w:tcPr>
            <w:tcW w:w="532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7.  DEBT</w:t>
            </w:r>
          </w:p>
        </w:tc>
        <w:tc>
          <w:tcPr>
            <w:tcW w:w="30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 summary of outstanding senior notes payable is as follows:</w:t>
            </w: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8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 2024   December 31, 2023</w:t>
            </w:r>
          </w:p>
        </w:tc>
      </w:tr>
      <w:tr>
        <w:trPr>
          <w:trHeight w:val="27"/>
        </w:trPr>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gridSpan w:val="3"/>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w:t>
            </w:r>
          </w:p>
        </w:tc>
        <w:tc>
          <w:tcPr>
            <w:tcW w:w="9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98"/>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3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62,500</w:t>
            </w: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72,500</w:t>
            </w:r>
          </w:p>
        </w:tc>
      </w:tr>
      <w:tr>
        <w:trPr>
          <w:trHeight w:val="21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3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Debt discount</w:t>
            </w:r>
          </w:p>
        </w:tc>
        <w:tc>
          <w:tcPr>
            <w:tcW w:w="3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(4,406)</w:t>
            </w:r>
          </w:p>
        </w:tc>
      </w:tr>
      <w:tr>
        <w:trPr>
          <w:trHeight w:val="25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payable</w:t>
            </w:r>
          </w:p>
        </w:tc>
        <w:tc>
          <w:tcPr>
            <w:tcW w:w="304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131,074</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130,594</w:t>
            </w:r>
          </w:p>
        </w:tc>
        <w:tc>
          <w:tcPr>
            <w:tcW w:w="100" w:type="dxa"/>
            <w:vAlign w:val="bottom"/>
            <w:shd w:val="clear" w:color="auto" w:fill="CCEEFF"/>
          </w:tcPr>
          <w:p>
            <w:pPr>
              <w:spacing w:after="0"/>
              <w:rPr>
                <w:sz w:val="22"/>
                <w:szCs w:val="22"/>
                <w:color w:val="auto"/>
              </w:rPr>
            </w:pPr>
          </w:p>
        </w:tc>
      </w:tr>
      <w:tr>
        <w:trPr>
          <w:trHeight w:val="564"/>
        </w:trPr>
        <w:tc>
          <w:tcPr>
            <w:tcW w:w="3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500" w:type="dxa"/>
            <w:vAlign w:val="bottom"/>
            <w:tcBorders>
              <w:top w:val="single" w:sz="8" w:color="CCEEFF"/>
            </w:tcBorders>
          </w:tcPr>
          <w:p>
            <w:pPr>
              <w:spacing w:after="0"/>
              <w:rPr>
                <w:sz w:val="24"/>
                <w:szCs w:val="24"/>
                <w:color w:val="auto"/>
              </w:rPr>
            </w:pPr>
          </w:p>
        </w:tc>
        <w:tc>
          <w:tcPr>
            <w:tcW w:w="3040" w:type="dxa"/>
            <w:vAlign w:val="bottom"/>
            <w:tcBorders>
              <w:top w:val="single" w:sz="8" w:color="CCEEFF"/>
            </w:tcBorders>
          </w:tcPr>
          <w:p>
            <w:pPr>
              <w:jc w:val="right"/>
              <w:ind w:right="2576"/>
              <w:spacing w:after="0"/>
              <w:rPr>
                <w:sz w:val="20"/>
                <w:szCs w:val="20"/>
                <w:color w:val="auto"/>
              </w:rPr>
            </w:pPr>
            <w:r>
              <w:rPr>
                <w:rFonts w:ascii="Times New Roman" w:cs="Times New Roman" w:eastAsia="Times New Roman" w:hAnsi="Times New Roman"/>
                <w:sz w:val="14"/>
                <w:szCs w:val="14"/>
                <w:color w:val="auto"/>
              </w:rPr>
              <w:t>12</w:t>
            </w: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December 18, 2023 (the “Ares Closing Date”), the Company and all of its subsidiaries entered into a credit agreement (the “Ares Credit Agreement”) with Ares Capital Corporation and certain credit funds affiliated with Ares Capital Corporation (collectively, “Ares”). The Ares Credit Agreement provides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the Ares Closing Date, the Company used the proceeds from the Ares Loans, along with a portion of its existing cash on hand, to terminate and pay in full all of the outstanding obligations under the Company’s previous senior credit facility (the “Hayfin Credit Facility”) with Hayfin Services LLP (“Hayfin”) including the outstanding principal in the amount of $158.6 million.</w:t>
      </w:r>
    </w:p>
    <w:p>
      <w:pPr>
        <w:spacing w:after="0" w:line="192"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Borrowings under the term loan bear interest at the adjusted Term SOFR for a three-month tenor in effect on the day that is two business days prior to the first day of the applicable calendar quarter plus 6.50% (the “Initial SOFR Term Loan Applicable Margin”). Borrowings under the revolving facility bear interest at the adjusted Term SOFR for a three-month tenor in effect on the day that is two business days prior to the first day of the applicable calendar quarter plus 3.75% (the “SOFR Revolving Facility Applicable Margin”). As of June 30, 2024 and December 31, 2023, the interest rate on the term loan was approximately 11.84% and 11.88%, respectively, and the interest rate on the revolving facility was approximately 9.05% and 9.13%, respectively.</w:t>
      </w:r>
    </w:p>
    <w:p>
      <w:pPr>
        <w:spacing w:after="0" w:line="16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the Ares Maturity Date, the Company is required to pay Ares the entire outstanding principal amount underlying the Ares Loans and any accrued and unpaid interest thereon. Prior to the Ares Maturity Date, there are no scheduled principal payments on the Ares Credit Facilities, and the Company is required to make quarterly interest payments to Ares of approximately $3.6 million. The Company may prepay the outstanding principal under the revolving facility, together with any accrued but unpaid interest on the prepaid principal amount, at any time and from time to time upon three business days’ prior written notice with no prepayment premium. However, in the event the Company prepays an amount under the Revolving Facility that is greater than 50% of the current $72.5 million outstanding balance, the Company will still be required to pay interest on 50% of this balance, or $36.3 million, through the term of the Ares Credit Facility. The Company may prepay the outstanding principal on the term loan, together with any accrued but unpaid interest on the prepaid principal amount, at any time and from time to time upon three business days’ prior written notice, subject to the payment to Ares of a prepayment premium equal to (i) the present value as of such date of all remaining required interest payments on the principal amount being repaid plus 1.5% of the prepaid principal amount, if prepaid on or prior to the first anniversary of the Ares Closing Date, (ii) 1.5% of the prepaid principal amount, if prepaid after the first anniversary of the Ares Closing Date and on or prior to the second anniversary of the Ares Closing Date, or (iii) 1.0% of the prepaid principal amount, if prepaid on or prior to the third anniversary of the Ares Closing Date.</w:t>
      </w:r>
    </w:p>
    <w:p>
      <w:pPr>
        <w:spacing w:after="0" w:line="19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Ares Credit Facility, the Company incurred fees and expenses related to the transaction of $2.8 million, including a $1.7 million original discount payable to Ares, all of which was deducted from the Ares loan proceeds. In addition, the Company is also required to pay Ares an exit fee of $1.7 million upon the earlier of any prepayment date or the Ares Maturity Date, and this amount has been accrued as a separate liability in the Company’s consolidated balance sheets as of June 30, 2024 and December 31, 2023. As a result, the Company recognized an aggregate debt discount of $4.4 million as of the Ares Closing Date, and the weighted-average effective interest rate on the Ares Loans as of June 30, 2024 and December 31, 2023 was 11.35% and 11.39%, respectively. This debt discount was recorded as a reduction to the face amount of the debt and is being amortized as interest expense over the term of the debt using the interest method.</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All of the Company’s obligations under the Ares Credit Agreement are secured by a first-priority lien and security interest in substantially all of the Company’s tangible and intangible assets, including intellectual property and all of the equity interests in the Company’s subsidiaries. The Ares Credit Agreement contains certain representations and warranties, affirmative covenants, negative covenants and conditions that are customarily required for similar debt financings. The negative covenants include certain financial covenants, including maximum total leverage ratios and a $15.0 million minimum liquidity covenant, and also restrict or limit the Company’s ability and the ability of the Company’s subsidiaries to, among other things and subject to certain exceptions contained in the Ares Credit Agreement, incur new indebtedness; create liens on assets; engage in certain fundamental corporate changes, such as mergers or acquisitions, or changes to the Company’s or the Company’s subsidiaries’ business activities; make certain Investments or Restricted Payments (each as defined in the Ares Credit Agreement); engage in certain affiliate transactions; or enter into, amend or terminate any other agreements that have the impact of restricting the Company’s ability to make loan repayments under the Ares Credit Agreement. As of June 30, 2024 the Company was in compliance with all of the covenants contained in the Ares Credit Agreement.</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the Company will incur an increase in the rate of interest on the Ares Loans of 2% per annum.</w:t>
      </w:r>
    </w:p>
    <w:p>
      <w:pPr>
        <w:spacing w:after="0" w:line="17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 is currently authorized to issue up to 10 million shares of preferred stock, $0.0001, par value per share. There were no shares of preferred stock outstanding at June 30, 2024 and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22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 Company was authorized to issue 300,000,000 shares of its common stock, $0.0001 par value per share, and 233,026,736 and 226,063,032 shares of common stock were outstanding as of June 30, 2024 and December 31, 2023, respectively. After giving effect to the 31,407,217 shares reserved for outstanding warrants and awards issued or reserved for future issuance under the Company’s equity incentive plans, as of June 30, 2024 there were 35,566,047 shares of common stock available for issuance.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January 10, 2024, a former noteholder of the Company exercised a warrant to purchase 4 million shares of the Company’s common stock on a cashless basis and the Company issued 1,977,514 shares of common stock to this noteholder. On March 8, 2024 Hayfin and its affiliates exercised warrants to purchase an aggregate of 3,388,681 shares of the Company’s common stock on a cashless basis and the Company issued 2,482,205 shares of common stock to Hayfin and its affiliates. On March 14, 2024 an entity associated with another former noteholder of the Company exercised a warrant to purchase 169,651 shares of the Company’s common stock on a cashless basis and the Company issued 85,784 shares of common stock to this entity. On May 9, 2024 Hayfin and its affiliates exercised warrants to purchase an aggregate of 1,787,424 shares of the Company’s common stock on a cashless basis and the Company issued 937,507 shares of common stock to Hayfin and its affiliates.</w:t>
      </w:r>
    </w:p>
    <w:p>
      <w:pPr>
        <w:spacing w:after="0" w:line="189"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On February 24, 2024 a warrant to purchase 34,800 shares of the Company’s common stock held by a former noteholder of the Company expired in accordance with its terms. At June 30, 2024 and December 31, 2023, the Company had outstanding warrants to purchase an aggregate of 3,122,350 and 12,502,906 shares, respectively, of common stock, with weighted-average exercise prices of $2.08 and $2.32 per share, respectively, with expiration dates ranging between October 2024 and May 2030. The following table summarizes information about warrants outstanding for the six months ended June 30,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43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436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2023</w:t>
            </w:r>
          </w:p>
        </w:tc>
        <w:tc>
          <w:tcPr>
            <w:tcW w:w="43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12,502,906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5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(34,800)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5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5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(9,345,756)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June 30, 2024</w:t>
            </w:r>
          </w:p>
        </w:tc>
        <w:tc>
          <w:tcPr>
            <w:tcW w:w="4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3,122,350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564"/>
        </w:trPr>
        <w:tc>
          <w:tcPr>
            <w:tcW w:w="4360" w:type="dxa"/>
            <w:vAlign w:val="bottom"/>
          </w:tcPr>
          <w:p>
            <w:pPr>
              <w:spacing w:after="0"/>
              <w:rPr>
                <w:sz w:val="24"/>
                <w:szCs w:val="24"/>
                <w:color w:val="auto"/>
              </w:rPr>
            </w:pPr>
          </w:p>
        </w:tc>
        <w:tc>
          <w:tcPr>
            <w:tcW w:w="4320" w:type="dxa"/>
            <w:vAlign w:val="bottom"/>
          </w:tcPr>
          <w:p>
            <w:pPr>
              <w:jc w:val="right"/>
              <w:ind w:right="2895"/>
              <w:spacing w:after="0"/>
              <w:rPr>
                <w:sz w:val="20"/>
                <w:szCs w:val="20"/>
                <w:color w:val="auto"/>
              </w:rPr>
            </w:pPr>
            <w:r>
              <w:rPr>
                <w:rFonts w:ascii="Times New Roman" w:cs="Times New Roman" w:eastAsia="Times New Roman" w:hAnsi="Times New Roman"/>
                <w:sz w:val="14"/>
                <w:szCs w:val="14"/>
                <w:color w:val="auto"/>
              </w:rPr>
              <w:t>14</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36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Incentive Plans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fair value of stock options granted under the Company’s equity incentive plans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six months ended June 30,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840" w:type="dxa"/>
            <w:vAlign w:val="bottom"/>
          </w:tcPr>
          <w:p>
            <w:pPr>
              <w:spacing w:after="0"/>
              <w:rPr>
                <w:sz w:val="21"/>
                <w:szCs w:val="21"/>
                <w:color w:val="auto"/>
              </w:rPr>
            </w:pPr>
          </w:p>
        </w:tc>
        <w:tc>
          <w:tcPr>
            <w:tcW w:w="2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1"/>
                <w:szCs w:val="21"/>
                <w:color w:val="auto"/>
              </w:rPr>
            </w:pPr>
          </w:p>
        </w:tc>
      </w:tr>
      <w:tr>
        <w:trPr>
          <w:trHeight w:val="223"/>
        </w:trPr>
        <w:tc>
          <w:tcPr>
            <w:tcW w:w="88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9"/>
                <w:szCs w:val="19"/>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5.5 - 6.3 years</w:t>
            </w: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5.5 - 6.3 years</w:t>
            </w:r>
          </w:p>
        </w:tc>
        <w:tc>
          <w:tcPr>
            <w:tcW w:w="12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12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68%</w:t>
            </w:r>
          </w:p>
        </w:tc>
        <w:tc>
          <w:tcPr>
            <w:tcW w:w="120" w:type="dxa"/>
            <w:vAlign w:val="bottom"/>
          </w:tcPr>
          <w:p>
            <w:pPr>
              <w:spacing w:after="0"/>
              <w:rPr>
                <w:sz w:val="18"/>
                <w:szCs w:val="18"/>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2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r>
      <w:tr>
        <w:trPr>
          <w:trHeight w:val="234"/>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4.29-4.34%</w:t>
            </w:r>
          </w:p>
        </w:tc>
        <w:tc>
          <w:tcPr>
            <w:tcW w:w="12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4.20-4.24%</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ind w:firstLine="693"/>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granted options to purchase an aggregate of 1,396,524 and 1,727,510 shares of common stock, respectively, to its directors and employees. The weighted average remaining contractual life of stock options outstanding and expected to vest at June 30, 2024 is 7.3 years. The weighted average remaining contractual life of stock options exercisable at June 30, 2024 is 6.0 years. During the six months ended June 30, 2024, options to purchase an aggregate of 555,171 shares of common stock were exercised, which included certain exercise transactions for which an aggregate of 20,774 shares were withheld to cover the exercise price, and the Company received aggregate net exercise proceeds of $1.4 million.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option activity under the Company’s equity incentive plans and related information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5,906,184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(15,702)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(212,717)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1,396,524</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(555,171)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June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6,519,118</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3,585,489</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$7.3 million of unrecognized compensation expense related to options granted under the Company’s equity incentive plans, which is expected to be recognized over a weighted-average period of 2.9 years.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granted RSUs representing an aggregate of 2,781,288 and 2,976,260 shares, respectively, to certain employees of the Company and to members of its Board of Directors. These RSUs generally vest annually over a period of four years for employees and semi-annually over a period of one year for directors. During the six months ended June 30, 2024, an aggregate of 1,386,350 shares of common stock vested in connection with grants of RSUs. With respect to these vested RSUs, 440,053 shares valued at approximately $3.2 million were withheld by the Company to cover employees’ tax liabilities. These shares were no longer outstanding as of June 30, 2024. A summary of the Company’s unvested RSU activity and related information is as follows: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5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6"/>
        </w:trPr>
        <w:tc>
          <w:tcPr>
            <w:tcW w:w="32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6960" w:type="dxa"/>
            <w:vAlign w:val="bottom"/>
            <w:gridSpan w:val="3"/>
          </w:tcPr>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96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45"/>
        </w:trPr>
        <w:tc>
          <w:tcPr>
            <w:tcW w:w="3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6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4,657,297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6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2,781,288</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6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(1,386,350)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6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(186,438)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57"/>
        </w:trPr>
        <w:tc>
          <w:tcPr>
            <w:tcW w:w="2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56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5,865,797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r>
    </w:tbl>
    <w:p>
      <w:pPr>
        <w:spacing w:after="0" w:line="198"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$21.9 million of unrecognized compensation expense related to unvested RSUs granted under the Company’s equity incentive plans, which is expected to be recognized over a weighted-average period of 3.2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expense for all awards granted under the Company’s equity incentive plans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Pr>
          <w:p>
            <w:pPr>
              <w:ind w:left="24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2,388</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r>
      <w:tr>
        <w:trPr>
          <w:trHeight w:val="25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u w:val="single" w:color="auto"/>
          <w:color w:val="auto"/>
        </w:rPr>
        <w:t>RELATED PARTY TRANSACTIONS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leases office space and equipment from Areth, LLC (“Areth”) pursuant to an agreement for services effective as of January 1, 2016, as amended from time to time, and pays monthly rent on this facility in the amount of $10,000 through December 31, 2026. Rent expense for the six months ended June 30, 2024 and 2023 amounted to $60,000. Areth is a company controlled by Dr. Jerrold B. Grossman, the Vice Chairman of the Company’s Board of Directors, and Adam S. Grossman, the Company’s President and Chief Executive Officer. The Company also reimburses Areth for office and building-related (common area) expenses, equipment and certain other operational expenses, which were not material to the condensed consolidated financial statements for the six months ended June 30, 2024 and 2023.</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purchased certain specialized medical equipment and services primarily related to the Company’s plasma collection centers, as well as personal protective equipment, from GenesisBPS and its affiliates (“Genesis”), aggregating to $0.1 million and $0.2 million, respectively. Genesis is owned by Dr. Grossman and Mr. Grossman.</w:t>
      </w:r>
    </w:p>
    <w:p>
      <w:pPr>
        <w:spacing w:after="0" w:line="17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Legal Matters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Vendor Commitments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terms of a plasma purchase agreement dated as of November 17, 2011 (the “2011 Plasma Purchase Agreement”), the Company agreed to purchase from its former contract manufacturer an annual minimum volume of source plasma containing antibodies to RSV to be used in the manufacture of ASCENIV. The Company must purchase a to-be-determined and agreed upon annual minimum volume from the counterparty, and under the original 2011 Plasma Purchase Agreement the Company was permitted to also collect high-titer RSV plasma from up to five wholly-owned ADMA plasma collection facilities. During 2015, the Company amended the 2011 Plasma Purchase Agreement to (i) allow the Company to collect its raw material RSV high-titer plasma from any number of wholly-owned ADMA plasma collection facilities and (ii) allow the Company to purchase its raw material RSV high-titer plasma from other third-party collection organizations, in each case, provided that the annual minimum volumes from the Company’s former contract manufacturer were met, thus allowing the Company to expand its reach for raw material supply as it executes its commercialization plans for ASCENIV. Unless terminated earlier, the 2011 Plasma Purchase Agreement expires in June 2027, after which it may be renewed for two additional five-year periods if agreed to by the parties. On December 10, 2018, the Company’s former contract manufacturer assigned its rights and obligations under the 2011 Plasma Purchase Agreement to Grifols Worldwide Operations Limited (“Grifols”) as its successor-in-interest, effective January 1, 2019.</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June 6, 2017, the Company entered into a Plasma Supply Agreement with its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10-year term. On July 19,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the counterparty, then the counterparty shall reimburse ADMA BioManufacturing for the difference in price ADMA BioManufacturing incurs. On December 10, 2018, the Company’s former contract manufacturer assigned its rights and obligations under the Plasma Supply Agreement to Grifols, effective January 1, 2019.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Post-Marketing Commitments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FDA’s approval of ASCENIV on April 1, 2019, the Company is required to perform a pediatric study to evaluate the safety and efficacy of ASCENIV in children and adolescents. For the six months ended June 30, 2024 and 2023, the Company incurred expenses related to this study in the amount of $0.7 million and $0.4 million, respectively. The Company expects to incur expenses of approximately $0.8 million to complete this study, which is required to be completed by June of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Contracts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previously entered into employment agreements with Mr. Grossman and with Brian Lenz, the Company’s former Executive Vice President, Chief Financial Officer and General Manager, ADMA BioCenters. Effective as of April 1, 2024, Mr. Lenz transitioned to a non-employee consulting role and entered into a consulting agreement with the Company. On April 1, 2024, the Company entered into an employment agreement with Kaitlin Kestenberg, who was promoted to Chief Operating Officer and Senior Vice President, Compliance. On July 24, 2024, the Company entered into an employment agreement with Brad Tade, who was appointed Chief Financial Officer and Treasurer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Commitments</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Further, the Company indemnifies its directors and executive officers who are, or were, serving at the Company’s request in such capacities. The Company’s maximum exposure under these arrangements is unknown as of June 30, 2024. The Company does not anticipate recognizing any significant losses relating to these arrangements.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engaged in the manufacture, marketing and development of specialty plasma-derived biologics. The Company’s ADMA BioManufacturing operating segment reflects the Company’s immunoglobulin manufacturing, commercial and development operations in Boca Raton, FL. The Plasma Collection Centers operating segment consists of ten plasma collection facilities located throughout the United States, all of which are operational, collecting plasma and currently hold FDA licenses. The Company defines its operating segments as those business units whose operating results are regularly reviewed by the chief operating decision maker (“CODM”) to analyze performance and allocate resources. While not considered an operating segment, the Corporate information included in the tables below consists of certain unallocated general and administrative overhead expenses and interest expense on the Company’s senior debt (see Note 7). The Company’s CODM is its President and Chief Executive Officer. For the Company’s two operating segments, the CODM uses income/loss before taxes as the measure of segment profit to determine the allocation of resources for each segment. Summarized financial information concerning reportable segments is shown in the following tables:</w:t>
      </w:r>
    </w:p>
    <w:p>
      <w:pPr>
        <w:spacing w:after="0" w:line="1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640"/>
              <w:spacing w:after="0" w:line="201" w:lineRule="exact"/>
              <w:rPr>
                <w:sz w:val="20"/>
                <w:szCs w:val="20"/>
                <w:color w:val="auto"/>
              </w:rPr>
            </w:pPr>
            <w:r>
              <w:rPr>
                <w:rFonts w:ascii="Times New Roman" w:cs="Times New Roman" w:eastAsia="Times New Roman" w:hAnsi="Times New Roman"/>
                <w:sz w:val="18"/>
                <w:szCs w:val="18"/>
                <w:b w:val="1"/>
                <w:bCs w:val="1"/>
                <w:color w:val="auto"/>
              </w:rPr>
              <w:t>ADMA</w:t>
            </w:r>
          </w:p>
        </w:tc>
        <w:tc>
          <w:tcPr>
            <w:tcW w:w="1580" w:type="dxa"/>
            <w:vAlign w:val="bottom"/>
            <w:tcBorders>
              <w:top w:val="single" w:sz="8" w:color="auto"/>
            </w:tcBorders>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3720" w:type="dxa"/>
            <w:vAlign w:val="bottom"/>
          </w:tcPr>
          <w:p>
            <w:pPr>
              <w:ind w:left="21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80" w:type="dxa"/>
            <w:vAlign w:val="bottom"/>
          </w:tcPr>
          <w:p>
            <w:pPr>
              <w:spacing w:after="0"/>
              <w:rPr>
                <w:sz w:val="21"/>
                <w:szCs w:val="21"/>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240" w:type="dxa"/>
            <w:vAlign w:val="bottom"/>
          </w:tcPr>
          <w:p>
            <w:pPr>
              <w:spacing w:after="0"/>
              <w:rPr>
                <w:sz w:val="21"/>
                <w:szCs w:val="21"/>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12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0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107,191</w:t>
            </w:r>
          </w:p>
        </w:tc>
      </w:tr>
      <w:tr>
        <w:trPr>
          <w:trHeight w:val="216"/>
        </w:trPr>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49,738</w:t>
            </w:r>
          </w:p>
        </w:tc>
      </w:tr>
      <w:tr>
        <w:trPr>
          <w:trHeight w:val="216"/>
        </w:trPr>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(6,274)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39,201</w:t>
            </w:r>
          </w:p>
        </w:tc>
      </w:tr>
      <w:tr>
        <w:trPr>
          <w:trHeight w:val="216"/>
        </w:trPr>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(3,350)</w:t>
            </w:r>
          </w:p>
        </w:tc>
      </w:tr>
      <w:tr>
        <w:trPr>
          <w:trHeight w:val="216"/>
        </w:trPr>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(9,611)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35,851</w:t>
            </w:r>
          </w:p>
        </w:tc>
      </w:tr>
      <w:tr>
        <w:trPr>
          <w:trHeight w:val="216"/>
        </w:trPr>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2,047</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258,095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33,607</w:t>
            </w: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84,697</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376,399</w:t>
            </w:r>
          </w:p>
        </w:tc>
      </w:tr>
      <w:tr>
        <w:trPr>
          <w:trHeight w:val="421"/>
        </w:trPr>
        <w:tc>
          <w:tcPr>
            <w:tcW w:w="37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right"/>
              <w:ind w:right="640"/>
              <w:spacing w:after="0" w:line="194" w:lineRule="exact"/>
              <w:rPr>
                <w:sz w:val="20"/>
                <w:szCs w:val="20"/>
                <w:color w:val="auto"/>
              </w:rPr>
            </w:pPr>
            <w:r>
              <w:rPr>
                <w:rFonts w:ascii="Times New Roman" w:cs="Times New Roman" w:eastAsia="Times New Roman" w:hAnsi="Times New Roman"/>
                <w:sz w:val="18"/>
                <w:szCs w:val="18"/>
                <w:b w:val="1"/>
                <w:bCs w:val="1"/>
                <w:color w:val="auto"/>
              </w:rPr>
              <w:t>ADMA</w:t>
            </w:r>
          </w:p>
        </w:tc>
        <w:tc>
          <w:tcPr>
            <w:tcW w:w="15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720" w:type="dxa"/>
            <w:vAlign w:val="bottom"/>
          </w:tcPr>
          <w:p>
            <w:pPr>
              <w:ind w:left="21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80" w:type="dxa"/>
            <w:vAlign w:val="bottom"/>
          </w:tcPr>
          <w:p>
            <w:pPr>
              <w:spacing w:after="0"/>
              <w:rPr>
                <w:sz w:val="21"/>
                <w:szCs w:val="21"/>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240" w:type="dxa"/>
            <w:vAlign w:val="bottom"/>
          </w:tcPr>
          <w:p>
            <w:pPr>
              <w:spacing w:after="0"/>
              <w:rPr>
                <w:sz w:val="21"/>
                <w:szCs w:val="21"/>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12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0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60,123</w:t>
            </w:r>
          </w:p>
        </w:tc>
      </w:tr>
      <w:tr>
        <w:trPr>
          <w:trHeight w:val="216"/>
        </w:trPr>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43,433</w:t>
            </w:r>
          </w:p>
        </w:tc>
      </w:tr>
      <w:tr>
        <w:trPr>
          <w:trHeight w:val="216"/>
        </w:trPr>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(5,893)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(5,898)</w:t>
            </w:r>
          </w:p>
        </w:tc>
      </w:tr>
      <w:tr>
        <w:trPr>
          <w:trHeight w:val="216"/>
        </w:trPr>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(6,371)</w:t>
            </w:r>
          </w:p>
        </w:tc>
      </w:tr>
      <w:tr>
        <w:trPr>
          <w:trHeight w:val="216"/>
        </w:trPr>
        <w:tc>
          <w:tcPr>
            <w:tcW w:w="3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37,459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57,405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343,027</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2,098</w:t>
            </w:r>
          </w:p>
        </w:tc>
      </w:tr>
      <w:tr>
        <w:trPr>
          <w:trHeight w:val="552"/>
        </w:trPr>
        <w:tc>
          <w:tcPr>
            <w:tcW w:w="3720" w:type="dxa"/>
            <w:vAlign w:val="bottom"/>
          </w:tcPr>
          <w:p>
            <w:pPr>
              <w:spacing w:after="0"/>
              <w:rPr>
                <w:sz w:val="24"/>
                <w:szCs w:val="24"/>
                <w:color w:val="auto"/>
              </w:rPr>
            </w:pP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18</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7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5"/>
          </w:tcPr>
          <w:p>
            <w:pPr>
              <w:ind w:left="440"/>
              <w:spacing w:after="0" w:line="201" w:lineRule="exact"/>
              <w:rPr>
                <w:sz w:val="20"/>
                <w:szCs w:val="20"/>
                <w:color w:val="auto"/>
              </w:rPr>
            </w:pPr>
            <w:r>
              <w:rPr>
                <w:rFonts w:ascii="Times New Roman" w:cs="Times New Roman" w:eastAsia="Times New Roman" w:hAnsi="Times New Roman"/>
                <w:sz w:val="18"/>
                <w:szCs w:val="18"/>
                <w:b w:val="1"/>
                <w:bCs w:val="1"/>
                <w:color w:val="auto"/>
              </w:rPr>
              <w:t>ADMA</w:t>
            </w:r>
          </w:p>
        </w:tc>
        <w:tc>
          <w:tcPr>
            <w:tcW w:w="1560" w:type="dxa"/>
            <w:vAlign w:val="bottom"/>
            <w:tcBorders>
              <w:top w:val="single" w:sz="8" w:color="auto"/>
            </w:tcBorders>
            <w:gridSpan w:val="5"/>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3880" w:type="dxa"/>
            <w:vAlign w:val="bottom"/>
          </w:tcPr>
          <w:p>
            <w:pPr>
              <w:ind w:left="21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tcPr>
          <w:p>
            <w:pPr>
              <w:spacing w:after="0"/>
              <w:rPr>
                <w:sz w:val="21"/>
                <w:szCs w:val="21"/>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0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2,698</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189,066</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89,462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92,505</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75,409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61,022</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(6,770)</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75,368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54,252</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4,413</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4,161</w:t>
            </w:r>
          </w:p>
        </w:tc>
      </w:tr>
      <w:tr>
        <w:trPr>
          <w:trHeight w:val="421"/>
        </w:trPr>
        <w:tc>
          <w:tcPr>
            <w:tcW w:w="38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40" w:type="dxa"/>
            <w:vAlign w:val="bottom"/>
            <w:gridSpan w:val="5"/>
          </w:tcPr>
          <w:p>
            <w:pPr>
              <w:ind w:left="440"/>
              <w:spacing w:after="0" w:line="194" w:lineRule="exact"/>
              <w:rPr>
                <w:sz w:val="20"/>
                <w:szCs w:val="20"/>
                <w:color w:val="auto"/>
              </w:rPr>
            </w:pPr>
            <w:r>
              <w:rPr>
                <w:rFonts w:ascii="Times New Roman" w:cs="Times New Roman" w:eastAsia="Times New Roman" w:hAnsi="Times New Roman"/>
                <w:sz w:val="18"/>
                <w:szCs w:val="18"/>
                <w:b w:val="1"/>
                <w:bCs w:val="1"/>
                <w:color w:val="auto"/>
              </w:rPr>
              <w:t>ADMA</w:t>
            </w:r>
          </w:p>
        </w:tc>
        <w:tc>
          <w:tcPr>
            <w:tcW w:w="156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880" w:type="dxa"/>
            <w:vAlign w:val="bottom"/>
          </w:tcPr>
          <w:p>
            <w:pPr>
              <w:ind w:left="21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tcPr>
          <w:p>
            <w:pPr>
              <w:spacing w:after="0"/>
              <w:rPr>
                <w:sz w:val="21"/>
                <w:szCs w:val="21"/>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0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7,627</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117,037</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76,975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83,834</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(1,286)</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(11,874)</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(13,160)</w:t>
            </w:r>
          </w:p>
        </w:tc>
      </w:tr>
      <w:tr>
        <w:trPr>
          <w:trHeight w:val="216"/>
        </w:trPr>
        <w:tc>
          <w:tcPr>
            <w:tcW w:w="3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2,817</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1,556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4,131</w:t>
            </w:r>
          </w:p>
        </w:tc>
      </w:tr>
      <w:tr>
        <w:trPr>
          <w:trHeight w:val="414"/>
        </w:trPr>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Net revenues according to geographic area, based on the location of where the product is shipped, is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880" w:type="dxa"/>
            <w:vAlign w:val="bottom"/>
          </w:tcPr>
          <w:p>
            <w:pPr>
              <w:ind w:left="24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109,303</w:t>
            </w:r>
          </w:p>
        </w:tc>
        <w:tc>
          <w:tcPr>
            <w:tcW w:w="100" w:type="dxa"/>
            <w:vAlign w:val="bottom"/>
            <w:shd w:val="clear" w:color="auto" w:fill="CCEEFF"/>
          </w:tcPr>
          <w:p>
            <w:pPr>
              <w:spacing w:after="0"/>
              <w:rPr>
                <w:sz w:val="18"/>
                <w:szCs w:val="18"/>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7,734</w:t>
            </w:r>
          </w:p>
        </w:tc>
      </w:tr>
      <w:tr>
        <w:trPr>
          <w:trHeight w:val="257"/>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10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107,191</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60,123</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LEASE OBLIGATIONS</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The Company’s lease expense is recognized on a straight-line basis over the lease term and is reflected in Plasma center operating expenses and Selling, general and administrative expenses. Aggregate lease expense for the Company’s leases for the three months ended June 30, 2024 and 2023 was approximately $0.6 million, and aggregate lease expense for the six months ended June 30, 2024 and 2023 was $1.2 million. Cash paid for the Company’s leases for the three months ended June 30, 2024 and 2023 was also approximately $0.6 million, and cash paid for the six months ended June 30, 2024 and 2023 was approximately $1.2 million and $1.1 million, respectively.</w:t>
      </w:r>
    </w:p>
    <w:p>
      <w:pPr>
        <w:spacing w:after="0" w:line="19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aggregate lease liabilities of $10.3 million and $10.8 million as of June 30, 2024 and December 31, 2023, respectively, which are comprised primarily of the leases for the Company’s plasma collection centers and a warehouse lease for raw material storage related to the Company’s immunoglobulin manufacturing operations. The Company’s operating leases have a weighted average remaining term of 7.2 years. Scheduled payments under the Company’s lease obligations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jc w:val="right"/>
              <w:ind w:right="7390"/>
              <w:spacing w:after="0"/>
              <w:rPr>
                <w:sz w:val="20"/>
                <w:szCs w:val="20"/>
                <w:color w:val="auto"/>
              </w:rPr>
            </w:pPr>
            <w:r>
              <w:rPr>
                <w:rFonts w:ascii="Times New Roman" w:cs="Times New Roman" w:eastAsia="Times New Roman" w:hAnsi="Times New Roman"/>
                <w:sz w:val="18"/>
                <w:szCs w:val="18"/>
                <w:color w:val="auto"/>
              </w:rPr>
              <w:t>Remainder of 2024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jc w:val="right"/>
              <w:ind w:right="739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739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jc w:val="right"/>
              <w:ind w:right="739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739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jc w:val="right"/>
              <w:ind w:right="739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jc w:val="right"/>
              <w:ind w:right="739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jc w:val="right"/>
              <w:ind w:right="7390"/>
              <w:spacing w:after="0"/>
              <w:rPr>
                <w:sz w:val="20"/>
                <w:szCs w:val="20"/>
                <w:color w:val="auto"/>
              </w:rPr>
            </w:pPr>
            <w:r>
              <w:rPr>
                <w:rFonts w:ascii="Times New Roman" w:cs="Times New Roman" w:eastAsia="Times New Roman" w:hAnsi="Times New Roman"/>
                <w:sz w:val="18"/>
                <w:szCs w:val="18"/>
                <w:color w:val="auto"/>
              </w:rPr>
              <w:t>Total payments</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16,061</w:t>
            </w:r>
          </w:p>
        </w:tc>
      </w:tr>
      <w:tr>
        <w:trPr>
          <w:trHeight w:val="216"/>
        </w:trPr>
        <w:tc>
          <w:tcPr>
            <w:tcW w:w="10020" w:type="dxa"/>
            <w:vAlign w:val="bottom"/>
            <w:shd w:val="clear" w:color="auto" w:fill="CCEEFF"/>
          </w:tcPr>
          <w:p>
            <w:pPr>
              <w:jc w:val="right"/>
              <w:ind w:right="739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(5,737)</w:t>
            </w:r>
          </w:p>
        </w:tc>
      </w:tr>
      <w:tr>
        <w:trPr>
          <w:trHeight w:val="223"/>
        </w:trPr>
        <w:tc>
          <w:tcPr>
            <w:tcW w:w="10020" w:type="dxa"/>
            <w:vAlign w:val="bottom"/>
          </w:tcPr>
          <w:p>
            <w:pPr>
              <w:jc w:val="right"/>
              <w:ind w:right="7390"/>
              <w:spacing w:after="0"/>
              <w:rPr>
                <w:sz w:val="20"/>
                <w:szCs w:val="20"/>
                <w:color w:val="auto"/>
              </w:rPr>
            </w:pPr>
            <w:r>
              <w:rPr>
                <w:rFonts w:ascii="Times New Roman" w:cs="Times New Roman" w:eastAsia="Times New Roman" w:hAnsi="Times New Roman"/>
                <w:sz w:val="18"/>
                <w:szCs w:val="18"/>
                <w:color w:val="auto"/>
              </w:rPr>
              <w:t>Current portion</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(1,142)</w:t>
            </w:r>
          </w:p>
        </w:tc>
      </w:tr>
      <w:tr>
        <w:trPr>
          <w:trHeight w:val="257"/>
        </w:trPr>
        <w:tc>
          <w:tcPr>
            <w:tcW w:w="10020" w:type="dxa"/>
            <w:vAlign w:val="bottom"/>
            <w:tcBorders>
              <w:bottom w:val="single" w:sz="8" w:color="CCEEFF"/>
            </w:tcBorders>
            <w:shd w:val="clear" w:color="auto" w:fill="CCEEFF"/>
          </w:tcPr>
          <w:p>
            <w:pPr>
              <w:jc w:val="right"/>
              <w:ind w:right="7390"/>
              <w:spacing w:after="0"/>
              <w:rPr>
                <w:sz w:val="20"/>
                <w:szCs w:val="20"/>
                <w:color w:val="auto"/>
              </w:rPr>
            </w:pPr>
            <w:r>
              <w:rPr>
                <w:rFonts w:ascii="Times New Roman" w:cs="Times New Roman" w:eastAsia="Times New Roman" w:hAnsi="Times New Roman"/>
                <w:sz w:val="18"/>
                <w:szCs w:val="18"/>
                <w:color w:val="auto"/>
              </w:rPr>
              <w:t>Balance at June 30, 2024</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left="500" w:hanging="330"/>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ind w:left="180" w:firstLine="648"/>
        <w:spacing w:after="0" w:line="256" w:lineRule="auto"/>
        <w:rPr>
          <w:sz w:val="20"/>
          <w:szCs w:val="20"/>
          <w:color w:val="auto"/>
        </w:rPr>
      </w:pPr>
      <w:r>
        <w:rPr>
          <w:rFonts w:ascii="Times New Roman" w:cs="Times New Roman" w:eastAsia="Times New Roman" w:hAnsi="Times New Roman"/>
          <w:sz w:val="18"/>
          <w:szCs w:val="18"/>
          <w:color w:val="auto"/>
        </w:rPr>
        <w:t>The Company uses the estimated annual effective tax rate approach as prescribed by ASC 740-270, Interim Reporting, to calculate its interim tax provision. For the three and six months ended June 30, 2024, the Company recorded income tax expense of $3.8 million and $4.4 million, respectively, resulting in an effective tax rate of 8.1% for the six months ended June 30, 2024. The tax expense for the three and six months ended June 30, 2024 represents federal and state tax liabilities that are not fully sheltered by net operating loss carryforwards (“NOLs”) due to limitations from prior ownership changes and other limitations on NOLs incurred after 2017. The Company’s effective tax rate differs from the federal statutory tax rate of 21% due primarily to the reversal of the valuation allowance on certain federal and state NOLs estimated to be realized in the current year.</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Valuation Allowance</w:t>
      </w:r>
    </w:p>
    <w:p>
      <w:pPr>
        <w:spacing w:after="0" w:line="227" w:lineRule="exact"/>
        <w:rPr>
          <w:sz w:val="20"/>
          <w:szCs w:val="20"/>
          <w:color w:val="auto"/>
        </w:rPr>
      </w:pPr>
    </w:p>
    <w:p>
      <w:pPr>
        <w:ind w:left="180" w:right="40" w:firstLine="648"/>
        <w:spacing w:after="0" w:line="254" w:lineRule="auto"/>
        <w:rPr>
          <w:sz w:val="20"/>
          <w:szCs w:val="20"/>
          <w:color w:val="auto"/>
        </w:rPr>
      </w:pPr>
      <w:r>
        <w:rPr>
          <w:rFonts w:ascii="Times New Roman" w:cs="Times New Roman" w:eastAsia="Times New Roman" w:hAnsi="Times New Roman"/>
          <w:sz w:val="18"/>
          <w:szCs w:val="18"/>
          <w:color w:val="auto"/>
        </w:rPr>
        <w:t>A valuation allowance, if needed, reduces deferred tax assets to the amount expected to be realized. When determining the amount of net deferred tax assets that are more likely than not to be realized, the Company assesses all available positive and negative evidence. This evidence includes, but is not limited to, prior earnings history, expected future earnings, carry-back and carry-forward periods and the feasibility of ongoing tax strategies that could potentially enhance the likelihood of the realization of a deferred tax asset. The weight given to the positive and negative evidence is commensurate with the extent the evidence may be objectively verified. As such, it is generally difficult for positive evidence regarding projected future taxable income, exclusive of reversing taxable temporary differences, to outweigh objective negative evidence of recent financial reporting losses. Based on these criteria and the relative weighting of both the positive and negative evidence available, the Company continues to maintain a full valuation allowance against its net deferred tax assets.</w:t>
      </w:r>
    </w:p>
    <w:p>
      <w:pPr>
        <w:spacing w:after="0" w:line="3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40640</wp:posOffset>
            </wp:positionV>
            <wp:extent cx="70294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ind w:left="180"/>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u w:val="single" w:color="auto"/>
          <w:color w:val="auto"/>
        </w:rPr>
        <w:t>Net Operating Losses</w:t>
      </w:r>
    </w:p>
    <w:p>
      <w:pPr>
        <w:spacing w:after="0" w:line="227" w:lineRule="exact"/>
        <w:rPr>
          <w:sz w:val="20"/>
          <w:szCs w:val="20"/>
          <w:color w:val="auto"/>
        </w:rPr>
      </w:pPr>
    </w:p>
    <w:p>
      <w:pPr>
        <w:ind w:left="180"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and state (post-apportioned basis) NOLs of $315.6 million and $216.4 million, respectively. Approximately $35.6 million and $95.1 million of the foregoing federal and state NOLs, respectively, will expire at various dates from 2028 through 2043, if not limited by triggering events prior to such time.</w:t>
      </w:r>
    </w:p>
    <w:p>
      <w:pPr>
        <w:spacing w:after="0" w:line="176" w:lineRule="exact"/>
        <w:rPr>
          <w:sz w:val="20"/>
          <w:szCs w:val="20"/>
          <w:color w:val="auto"/>
        </w:rPr>
      </w:pPr>
    </w:p>
    <w:p>
      <w:pPr>
        <w:ind w:left="180" w:right="60" w:firstLine="648"/>
        <w:spacing w:after="0" w:line="256" w:lineRule="auto"/>
        <w:rPr>
          <w:sz w:val="20"/>
          <w:szCs w:val="20"/>
          <w:color w:val="auto"/>
        </w:rPr>
      </w:pPr>
      <w:r>
        <w:rPr>
          <w:rFonts w:ascii="Times New Roman" w:cs="Times New Roman" w:eastAsia="Times New Roman" w:hAnsi="Times New Roman"/>
          <w:sz w:val="18"/>
          <w:szCs w:val="18"/>
          <w:color w:val="auto"/>
        </w:rPr>
        <w:t>Under the provisions of the Internal Revenue Code, changes in ownership of the Company, in certain circumstances, would limit the amount of federal NOLs that can be utilized annually in the future to offset taxable income. In particular, Section 382 of the Internal Revenue Code (“Section 382”) imposes limitations on an entity’s ability to use NOLs upon certain changes in ownership. If the Company is limited in its ability to use its NOLs in future years in which it has taxable income, then the Company will pay more taxes than if it were otherwise able to fully utilize its NOLs. As of December 31, 2023, approximately $267.8 million of the foregoing federal NOLs are subject to limitation under Section 382 due to prior ownership changes.</w:t>
      </w:r>
    </w:p>
    <w:p>
      <w:pPr>
        <w:spacing w:after="0" w:line="187" w:lineRule="exact"/>
        <w:rPr>
          <w:sz w:val="20"/>
          <w:szCs w:val="20"/>
          <w:color w:val="auto"/>
        </w:rPr>
      </w:pPr>
    </w:p>
    <w:p>
      <w:pPr>
        <w:ind w:left="180"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may experience ownership changes in the future as a result of subsequent shifts in ownership of the Company’s capital stock that the Company cannot predict or control that could result in further limitations being placed on the Company’s ability to utilize its federal NOLs.</w:t>
      </w:r>
    </w:p>
    <w:p>
      <w:pPr>
        <w:spacing w:after="0" w:line="15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SUPPLEMENTAL DISCLOSURE OF CASH FLOW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for the three months ended June 30, 2024 and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w:t>
            </w:r>
          </w:p>
        </w:tc>
        <w:tc>
          <w:tcPr>
            <w:tcW w:w="13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w w:val="78"/>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acquired reflected in accounts payable and accrued liabilities</w:t>
            </w:r>
          </w:p>
        </w:tc>
        <w:tc>
          <w:tcPr>
            <w:tcW w:w="3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issued in connection with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5460" w:type="dxa"/>
            <w:vAlign w:val="bottom"/>
          </w:tcPr>
          <w:p>
            <w:pPr>
              <w:spacing w:after="0"/>
              <w:rPr>
                <w:sz w:val="24"/>
                <w:szCs w:val="24"/>
                <w:color w:val="auto"/>
              </w:rPr>
            </w:pPr>
          </w:p>
        </w:tc>
        <w:tc>
          <w:tcPr>
            <w:tcW w:w="3180" w:type="dxa"/>
            <w:vAlign w:val="bottom"/>
          </w:tcPr>
          <w:p>
            <w:pPr>
              <w:jc w:val="right"/>
              <w:ind w:right="2856"/>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46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2023, filed on February 28, 2024 (the “2023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ADMA Biologics, Inc. (the “Company,” “ADMA,” “we,” “us” or “our”) is an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adolescents, for which we received FDA approval on April 1, 2019 and commenced first commercial sales in October 2019; (ii) BIVIGAM (Immune Globulin Intravenous, Human), an IVIG product indicated for the treatment of PI, and for which we received FDA approval on May 9, 2019 and commenced commercial sales in August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Times New Roman" w:cs="Times New Roman" w:eastAsia="Times New Roman" w:hAnsi="Times New Roman"/>
          <w:sz w:val="18"/>
          <w:szCs w:val="18"/>
          <w:i w:val="1"/>
          <w:iCs w:val="1"/>
          <w:color w:val="auto"/>
        </w:rPr>
        <w:t>S. pneumonia</w:t>
      </w:r>
      <w:r>
        <w:rPr>
          <w:rFonts w:ascii="Times New Roman" w:cs="Times New Roman" w:eastAsia="Times New Roman" w:hAnsi="Times New Roman"/>
          <w:sz w:val="18"/>
          <w:szCs w:val="18"/>
          <w:color w:val="auto"/>
        </w:rPr>
        <w:t xml:space="preserve"> infection for an immunoglobulin manufactured to contain standardized antibodies to numerous serotypes of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Our products and product candidates are intended to be used by physician specialists focused on caring for immune-compromised patients with or at risk for certain infectious diseases.</w:t>
      </w:r>
    </w:p>
    <w:p>
      <w:pPr>
        <w:spacing w:after="0" w:line="19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manufacture these products at our FDA-licensed, plasma fractionation and purification facility located in Boca Raton, Florida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(“IG”) products representing annual revenues greater than $400 million in 2024 and $445 million in 2025. These revenue targets translate to potential fiscal year 2024 and 2025 net income exceeding $105 million and $155 million, respectively, and adjusted EBITDA exceeding $150 million and $200 million, respectively.</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Through our ADMA BioCenters subsidiary, we currently operate ten source plasma collection facilities in the United States,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three of our FDA-approved plasma collection centers also have approvals from the Korean Ministry of Food and Drug Safety (“MFDS”), as well as FDA approval to operate a Hepatitis B immunization program. A typical plasma collection center, such as those operated by ADMA BioCenters, can collect approximately 30,000 to 50,000 liters of source and hyperimmune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sell plasma-derived intermediate fractions to certain customers, which are generated as part of our FDA-approved manufacturing process for IG and IVIG products, through a plasma intermediates supply agreement we entered into in October 2019. These intermediate by-products are used as the starting raw material to produce other plasma-derived biologics. In addition, from time to time we provide contract manufacturing services for certain third-party clients. We also provide laboratory contracting services to certain customers and anticipate providing contract filling, labeling and packing services utilizing our FDA-approved in-house fill-finish capabilities.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ASCENIV</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With our patented testing methods and assay, we are able to identify the high-titer or “hyperimmune” plasma that meets our internal and required specifications for ASCENIV. This type of high-titer plasma is typically found in less than 10% of the total donor collection samples we test.</w:t>
      </w:r>
    </w:p>
    <w:p>
      <w:pPr>
        <w:spacing w:after="0" w:line="18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ASCENIV is approved for the treatment of PIDD or PI, a class of inherited genetic disorders that causes a deficient or absent immune system in adults and adolescents (12 to 17 years of age).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 school and 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In the future, we may elect to work with the FDA and the immunology and infectious disease community to design an appropriate clinical trial to evaluate the use of ASCENIV in this patient population. Following FDA approval in April 2019, commercial sales of ASCENIV commenced in October of 2019 and in 2023 ADMA commenced manufacturing ASCENIV at the 4,400 Liter production scale for the first time in the Company’s history. This expansion has improved the product’s margin profile and increases plant production capacity as fewer batches are needed to support our revenue goals. ASCENIV’s prescriber and patient base continued to expand during 2023, which drove record utilization and pull-through for this product. These elevated demand trends have sustained into 2024, and ADMA currently expects that this product’s rapid growth will continue throughout 2024 and beyond.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BIVIGAM</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w:t>
      </w:r>
    </w:p>
    <w:p>
      <w:pPr>
        <w:spacing w:after="0" w:line="180"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On December 12, 2023, we announced that the FDA approved the expansion of BIVIGAM’s label in the United States to now include the pediatric setting for those two years of age and 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Nabi-HB</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United States and we continue to manufacture Nabi-HB under HHS License No. 2019.</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w:t>
      </w:r>
    </w:p>
    <w:p>
      <w:pPr>
        <w:spacing w:after="0" w:line="189" w:lineRule="exact"/>
        <w:rPr>
          <w:sz w:val="20"/>
          <w:szCs w:val="20"/>
          <w:color w:val="auto"/>
        </w:rPr>
      </w:pPr>
    </w:p>
    <w:p>
      <w:pPr>
        <w:ind w:right="140" w:firstLine="648"/>
        <w:spacing w:after="0" w:line="273" w:lineRule="auto"/>
        <w:rPr>
          <w:sz w:val="20"/>
          <w:szCs w:val="20"/>
          <w:color w:val="auto"/>
        </w:rPr>
      </w:pPr>
      <w:r>
        <w:rPr>
          <w:rFonts w:ascii="Times New Roman" w:cs="Times New Roman" w:eastAsia="Times New Roman" w:hAnsi="Times New Roman"/>
          <w:sz w:val="17"/>
          <w:szCs w:val="17"/>
          <w:color w:val="auto"/>
        </w:rPr>
        <w:t>Some of the estimates and assumptions we have to make under U.S. GAAP require very difficult, subjective and/or complex judgments about matters that are inherently uncertain and, as a result, we have identified those as critical accounting estimates, which are considered critical to an understanding of our historical financial condition and results of operations and are reasonably likely to have a material impact on our future results of operations and financial condition. Critical accounting estimates include rebates and certain other deductions from gross revenues, valuation of inventory, impairment of long-lived assets, assumptions used in the fair value of awards granted under our equity incentive plans and warrants issued in connection with the issuance of notes payable, estimates related to the valuation allowance for our deferred tax assets and our effective tax rate for the current fiscal year. For a description of our significant accounting policies, see Note 2 to the Consolidated Financial Statements included in the 2023 10-K.</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Deductions for Rebates, Chargebacks and Sales Allowances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Prior to June 30, 2024, adjustments to these estimates to reflect actual results or updated expectations have not been material to our overall business. While we have some historical sales and rebate experience from our two primary immunoglobulin products, ASCENIV and BIVIGAM, since their FDA approvals in 2019, our historical experience is not extensive.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 During the three and six months ended June 30, 2024, we engaged a third-party specialist to assist in the evaluation of our accrual for U.S. Medicaid rebates related to the sale of our immunoglobulin products. As a result of this evaluation, we recognized a reduction in this accrual and a corresponding increase to net revenues of $12.6 million in the three months ended June 30, 2024 (see Note 2 to the Consolidated Financial Statements). The primary driver in our estimated rebates accrual at June 30, 2024 relates to a change in the assumption around the payor mix for our products, specifically the proportion of our revenue that is attributable to providers and patients utilizing Managed Medicaid, Medicaid and Medicare Part D, relative to our total sales. The change in this key assumption to our standing estimation model was based on the collection of additional historical data from our direct experience with selling our primary immunoglobulin products. Additional changes in estimate assumptions surrounding U.S. Medicaid and other rebate obligations could materially impact our revenues and our results of operations in the future.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Inventory</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Estimates related to the valuation of inventory include net realizable value of inventory in determining whether the cost of inventory exceeds its net realizable value which, if this were the case, would require a charge against earnings to write down the value of the inventory to its net realizable value. Net realizable value of inventory is based on our management’s estimate of the future net selling price of the inventory, which is subject to market conditions and the estimation processes we use for revenues as discussed above. With respect to raw materials inventory, we are required to estimate the level and timing of usage of these materials prior to their expiration dates in determining whether it is appropriate to carry these materials on our balance sheet as a valid asset of the Company. Changes in either of these estimates could materially impact our cost of product revenue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and Valuation of Warrants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executive officers, we use the Black-Scholes option pricing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term of our awards. The expected term of the options granted is in accordance with U.S. Securities and Exchange Commission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We will continue to analyze the expected stock price volatility and expected term assumptions and will adjust our Black-Scholes option pricing assumptions as appropriate. Any changes in the foregoing Black-Scholes assumptions, or our election to utilize an alternative method for valuing stock options granted to employees, directors and executive officers, could potentially impact our stock-based compensation expense and our results of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We also use the Black-Scholes option valuation model for the purpose of estimating the fair value of warrants we issue from time to time in connection with the issuance of notes payable. Changes in our Black-Scholes assumptions, or our election to utilize an alternative method for valuing warrants issued to our lenders, could impact our interest expense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and six months ended June 30, 2024 and 2023, we did not identify any impairment indicators for our long-lived assets, and as a result no impairment charges were recorded. Examples of events or circumstances that may be indicative of impairment that would require the use of significant judgment by management include:</w:t>
      </w:r>
    </w:p>
    <w:p>
      <w:pPr>
        <w:spacing w:after="0" w:line="18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the asset.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continued cash flow losses.</w:t>
      </w:r>
    </w:p>
    <w:p>
      <w:pPr>
        <w:spacing w:after="0" w:line="9"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an asset is used, such as a restriction imposed by the FDA or other regulatory authorities that could affect our ability to manufacture our products using a particular asset.</w:t>
      </w:r>
    </w:p>
    <w:p>
      <w:pPr>
        <w:ind w:left="660" w:right="380" w:hanging="328"/>
        <w:spacing w:after="0" w:line="25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expectation of losses or reduced profits associated with an asset. This could result, for example, from the introduction of a competitor’s product that impacts projected revenue growth, or a change in the acceptance of a product by patients, physicians and payers that results in an inability to sustain projected product revenues.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Goodwill is not amortized but is assessed for impairment on an annual basis or more frequently if impairment indicators exist. The testing of goodwill for impairment requires us to determine whether or not the fair value of the reporting unit associated with the goodwill is less than its carrying amount, including goodwill and other intangible assets. An impairment charge is recorded to the extent the reporting unit’s carrying value exceeds its fair value, with the impairment loss recognized not to exceed the total amount of goodwill allocated to that reporting unit. In order to determine the fair value of the reporting unit, we utilize the fair value of the Company as a whole, as determined by its market capitalization. Determination of the fair value and carrying value of each reporting unit, relative to the fair value of the Company, requires management to employ certain estimates, assumptions and judgment, which we believe are reasonable. However, any changes to these estimates and assumptions could impact our determination of whether or not our goodwill is impaired. We did not recognize any impairment charges related to goodwill for the three and six months ended June 30, 2024 and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Effective Tax Rate</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currently maintain a full valuation allowance against all of our net deferred tax assets, and as a result we have historically not recorded an income tax benefit in the accompanying consolidated financial statements despite continued losses through December 31, 2023. This valuation allowance reflects our assessment of whether it is more likely than not that we will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We consider cumulative losses in recent years to be a significant type of negative evidence. Based on our history of losses through December 31, 2023, at this time we have not included future projected taxable income as a source of income to recognize our deferred tax assets, despite our achievement of positive net income for the three and six months ended June 30, 2024.</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After consideration of all available positive and negative evidence regarding our estimates of future taxable income, we have elected to maintain a full valuation allowance for our deferred tax assets as of June 30, 2024. We will continue to monitor this evidence through the balance of 2024 to determine if a reduction to the valuation allowance is required, which could potentially result in our recognition of an income tax benefit later in fiscal 2024.</w:t>
      </w:r>
    </w:p>
    <w:p>
      <w:pPr>
        <w:spacing w:after="0" w:line="15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income tax expense for the six months ended June 30, 2024 is based on our estimated effective tax rate for the full year 2024, which is a function of our projected net income under U.S. GAAP, our estimates and assumptions regarding certain permanent and temporary differences between U.S. GAAP income and taxable income, and the limitations to our net operating loss carryforwards and their limitations under Section 382 of the Internal Revenue Code of 1986, as amended (see “Risk Factors” appearing elsewhere in this report and Note 13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our results of operations for the three months ended June 30, 2024, our second fiscal quarter, compared to the three months ended June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8"/>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194"/>
        </w:trPr>
        <w:tc>
          <w:tcPr>
            <w:tcW w:w="7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r>
      <w:tr>
        <w:trPr>
          <w:trHeight w:val="245"/>
        </w:trPr>
        <w:tc>
          <w:tcPr>
            <w:tcW w:w="7320" w:type="dxa"/>
            <w:vAlign w:val="bottom"/>
          </w:tcPr>
          <w:p>
            <w:pPr>
              <w:ind w:left="30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47,068</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43,433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57,453</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39,674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2,516</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before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3,789</w:t>
            </w: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38,433</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38,112</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140" w:hanging="132"/>
        <w:spacing w:after="0"/>
        <w:tabs>
          <w:tab w:leader="none" w:pos="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See Non-GAAP Financial Measures appearing at the end of this discussion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recorded total revenues of $107.2 million for the three months ended June 30, 2024, as compared to $60.1 million for the three months ended June 30, 2023, an increase of $47.1 million, or approximately 78%. Excluding the $12.6 million adjustment we recorded in the second quarter of 2024 to decrease our accrual for U.S. Medicaid rebates (which had the effect of increasing net revenues by $12.6 million), revenue would have increased by approximately $34.4 million, or 57%. This increase is primarily related to increased sales of our ASCENIV IG product, as we continue to experience increased physician, payer and patient acceptance and utilization of ASCENIV.</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also experienced a $0.6 million increase in third-party plasma sales by our Plasma Collection Centers business segment, as we fulfilled our entire commitment to supply normal source plasma (“NSP”) to our primary third-party customer for fiscal 2023 in the first quarter of 2023, while that same commitment for fiscal 2024 is being met over the course of the full year.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Profit</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was $49.7 million for the three months ended June 30, 2024, as compared to $43.4 million for the three months ended June 30, 2023. This increase is primarily attributable to volume-driven increases in product revenue costs related to the increased sales of our IG products and NSP of $7.1 million and $0.5 million, respectively, partially offset by decreases in other manufacturing costs totaling $1.4 million, mainly due to the inventory losses in the second quarter of 2023 related to the IT systems disruption we experienced in June of 2023.</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2024, we had gross profit of $57.5 million, as compared to $16.7 million for the same period of a year ago, which represents a gross margin in the second quarter of 2024 of 53.6%, as compared to 27.8% in the second quarter of 2023. Excluding the $12.6 million adjustment we recorded in the second quarter of 2024 to reduce our accrual for estimated U.S. Medicaid rebates, our gross profit for the second quarter of 2024 was $44.8 million, representing a gross margin of 47.4%. This improvement in gross margin is mainly driven by a significantly more favorable mix of higher margin IG sales in 2024 as compared to 2023, along with the absence of the $2.1 million of inventory losses experienced in 2023 due to the IT systems disruption.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totaled $0.6 million for the second quarter of 2024, as compared to $1.4 million for the second quarter of 2023. The decrease is primarily due to the absence of expenditures in 2024 related to the BIVIGAM post-marketing commitments, which were completed in June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Operating Expenses</w:t>
      </w:r>
    </w:p>
    <w:p>
      <w:pPr>
        <w:spacing w:after="0" w:line="229"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18"/>
          <w:szCs w:val="18"/>
          <w:color w:val="auto"/>
        </w:rPr>
        <w:t>Plasma Center Operating Expenses decreased from $1.3 million for the three months ended June 30, 2023 to $0.9 million for the three months ended June 30, 2024. The decrease is due to a 31% increase in the amount of plasma collected in the second quarter of 2024 as compared to the second quarter of 2023, which resulted in a $3.7 million increase in the amount of plasma center costs we capitalized into inventory in 2024. This amount was partially offset by increases in donor fees of $2.2 million, softgoods and supplies of $0.4 million and donor testing expenses of $0.6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mainly pertains to the amortization of intangible assets acquired in a 2017 acquisition transaction and was $0.1 million and $0.2 million for the three months ended June 30,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were $16.6 million for the three months ended June 30, 2024, an increase of $2.4 million from the three months ended June 30, 2023. The increase reflects increases in employee-related costs, including salaries, benefits, stock-based compensation, relocation and recruiting, in the amount of $1.3 million, severance expense of $0.3 million and temporary labor, software maintenance expense, insurance expense and professional service fees in the amount of $0.2 million each. SG&amp;A expenses as a percentage of net revenues fell from 23.7% in the second quarter of 2023 to 15.5% in the second quarter of 2024, or 17.6% excluding the revenue adjustment described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Income/Loss from Operations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operating income was $39.2 million for the second quarter of 2024, as compared to an operating loss of $0.5 million for the second quarter of 2023. The $39.7 million improvement in operating income was due to the improved gross profit of $40.8 million, partially offset by an increase in total operating expenses of $1.1 million in 2024. The higher gross profit reflects the foregoing change in estimate which increased our revenues in the second quarter of 2024 by $12.6 million.</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Interest expense for the three months ended June 30, 2024 was $3.8 million, as compared to $6.3 million for the three months ended June 30, 2023. The decrease is due to the refinancing of our senior debt in December of 2023 (see “Liquidity and Capital Resources”). This transaction reduced our stated rate of interest from approximately 13.9% in the second quarter of 2023 to approximately 10.3% in the second quarter of 2024, and also resulted in a reduction to our outstanding debt principal in the second quarter of 2024 compared with the second quarter of 2023 of approximately $21.7 million. In addition, we had lower amortization of debt discount in 2024 of approximately $0.5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Other income, net, which primarily consists of interest income on our cash balances, was $0.4 million for the three months ended June 30,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As a result of our generating pre-tax U.S. GAAP income of $35.9 million for the three months ended June 30, 2024, we recorded income tax expense of $3.8 million for the three months ending June 30, 2024, with no comparable amount for the three months ending June 30, 2023. The provision for income taxes for the second quarter of 2024 represents an effective tax rate of 8.1% for the first six months of 2024 and reflects federal and state income tax liabilities that are not fully sheltered by net operating losses due to limitations from prior ownership changes and other limitations on net operating loss carryforwards under the Internal Revenue Code of 1986, as amended (see “Risk Factors” appearing elsewhere in this report and Note 13 to the Consolidated Financial Statements). Our effective tax rate for the three months ended June 30, 2024 differs from the federal statutory tax rate of 21%, mainly due to the reversal of the valuation allowance on certain federal and state net operating loss carryforwards expected to be realized in the current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net income was $32.1 million for the second quarter of 2024, as compared to a net loss of $6.4 million for the second quarter of 2023. This $38.9 million improvement in our results of operations was primarily due to the increase in operating income of $39.7 million discussed above and the reduction in interest expense for the period, partially offset by the provision for income taxes in 2024. The foregoing change in estimate in our accrual for Medicaid rebates favorably impacted our net income for the second quarter of 2024 by approximately $11.6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our results of operations for the six months ended June 30, 2024 compared to the six months ended June 30, 2023:</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7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7000" w:type="dxa"/>
            <w:vAlign w:val="bottom"/>
          </w:tcPr>
          <w:p>
            <w:pPr>
              <w:ind w:left="280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189,066</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83,834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62,308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before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54,252</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7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63,028</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70,969</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62,066</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 - See Non-GAAP Financial Measures appearing at the end of this discussion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recorded total revenues of $189.1 million for the six months ended June 30, 2024, as compared to $117.0 million for the six months ended June 30, 2023, an increase of approximately $72.0 million, or 62%. Excluding the $12.6 million adjustment we recorded in the second quarter of 2024 to decrease our accrual for U.S. Medicaid rebates (which had the effect of increasing net revenues by $12.6 million), revenue would have increased by approximately $59.4 million, or 51%. This increase is primarily related to increased sales of ASCENIV and our other IG products, as we continue to experience increased physician, payer and patient acceptance and utilization of ASCENIV and expand our customer base for BIVIGAM.</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increase in IG revenues for the first six months of 2024 was partially offset by a $4.9 million decrease in third-party plasma sales by our Plasma Collection Centers business segment. During the first quarter of 2023, we fulfilled our entire commitment to supply NSP to our primary third-party customer for fiscal 2023, while that same commitment for fiscal 2024 is being met over the course of the full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Profit</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Cost of product revenue was $92.5 million for the first six months of 2024, as compared to $83.8 million for the first six months of 2023. This increase is primarily attributable to volume-driven increases in product revenue costs related to the increased sales of our IG products of $15.1 million, partially offset by $4.5 million of lower product revenue costs related to plasma sales and a reduction in other manufacturing costs of $1.8 million.</w:t>
      </w:r>
    </w:p>
    <w:p>
      <w:pPr>
        <w:spacing w:after="0" w:line="17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we had gross profit of $96.6 million, as compared to $33.2 million for the same period of a year ago, which represents a gross margin in the first six months of 2024 of 51.1%, as compared to 28.4% in the first six months of 2023. Excluding the $12.6 million adjustment we recorded in the second quarter of 2024 to reduce our accrual for estimated U.S. Medicaid rebates, our gross profit for the first six months of 2024 was $83.9 million, representing a gross margin of 47.6%. This improvement in gross margin is mainly driven by a significantly more favorable mix of higher margin IG sales in 2024 as compared to 2023, along with the reduction in other manufacturing costs.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R&amp;D expenses totaled $1.0 million for the first six months of 2024, as compared to $2.3 million for the first six months of 2023. The decrease is primarily due to the absence of expenditures in 2024 related to the BIVIGAM post-marketing commitments, which were completed in June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Operating Expenses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Plasma Center Operating Expenses decreased from $3.1 million for the six months ended June 30, 2023 to $1.9 million for the six months ended June 30, 2024. The decrease is due to a 34% increase in the amount of plasma collected in the first six months of 2024 as compared to the first six months of 2023, which resulted in a $7.4 million increase in the amount of plasma center costs we capitalized into inventory in 2024. This amount was partially offset by increases in donor fees of $3.5 million, softgoods and supplies of $1.1 million, donor testing expenses of $1.3 million and software maintenance expense of $0.3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mainly pertains to the amortization of intangible assets acquired in a 2017 acquisition transaction and was $0.3 million and $0.4 million for the six months ended June 30,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SG&amp;A expenses were $32.2 million for the six months ended June 30, 2024, an increase of $3.5 million from the six months ended June 30, 2023. The increase reflects increases in employee-related costs, including salaries, benefits, stock-based compensation, relocation and recruiting, in the amount of $2.5 million, $1.9 million of which is stock-based compensation, repairs and maintenance expense of $0.5 million, software maintenance expense of $0.3 million and insurance expense of $0.2 million. SG&amp;A expenses as a percentage of net revenues decreased from 24.6% in the first six months of 2023 to 17.1% in the first six months of 2024, or 18.3% excluding the revenue adjustment described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Income/Loss from Operations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operating income was $61.0 million for the first six months of 2024, as compared to an operating loss of $1.3 million for the first six months of 2023. The $62.3 million increase in operating income was mainly due to the improved gross profit, partially offset by $1.0 million of lower total operating expenses. The higher gross profit reflects the foregoing change in estimate which increased our revenues for the six months ended June 30, 2024 by $12.6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Interest expense for the six months ended June 30, 2024 was $7.6 million, as compared to $12.4 million for the six months ended June 30, 2023. The decrease is due to the refinancing of our senior debt in December of 2023 (see “Liquidity and Capital Resources”). This transaction reduced our stated interest rate by approximately 365 basis points in 2024 compared to 2023, and also resulted in a reduction to our outstanding debt principal balance. In addition, we had lower amortization of debt discount in 2024 of approximately $0.7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for the six months ended June 30, 2024 was $0.8 million, as compared to $0.5 million for the six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mainly due to an increase in interest income of $0.3 million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recorded income tax expense of $4.4 million for the six months ended June 30, 2024, with no comparable amount for the six months ending June 30, 2023. The provision for income taxes for the first six months of 2024 represents an effective tax rate of 8.1% and reflects federal and state income tax liabilities that are not fully sheltered by net operating losses due to limitations from prior ownership changes and other limitations on net operating loss carryforwards under the Internal Revenue Code of 1986, as amended (see “Risk Factors” appearing elsewhere in this report and Note 13 to the Consolidated Financial Statements). After consideration of all available positive and negative evidence regarding our estimates of future taxable income, we have elected to maintain a full valuation allowance for our deferred tax assets as of June 30, 2024. We will continue to monitor this evidence through the balance of 2024 to determine if a reduction to the valuation allowance is required, which could potentially result in our recognition of an income tax benefit later in fiscal 2024.</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income was $49.9 million for the first six months of 2024, as compared to a net loss of $13.2 million for the first six months of 2023. This $63.0 million improvement in our results of operations was primarily due to the increase in operating income of $62.3 million and lower interest expense of $4.9 million discussed above, partially offset by the provision for income taxes for the period. The foregoing change in estimate in our accrual for Medicaid rebates favorably impacted our net income for the first six months of 2024 by approximately $11.6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 (“EBITDA”), Adjusted EBITDA</w:t>
      </w:r>
    </w:p>
    <w:p>
      <w:pPr>
        <w:spacing w:after="0" w:line="229"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EBITDA and Adjusted EBITDA are important non-GAAP financial measures used by our management and Board of Directors to assess our operating performance. We use EBITDA and Adjusted EBITDA as key performance measures because we believe that they facilitate operating performance comparisons from period to period that exclude potential differences driven by the impact of variations of non-cash items such as depreciation and amortization, as well as, in the case of Adjusted EBITDA, stock-based compensation or certain one-time and non-recurring items. In addition, we believe that EBITDA, Adjusted EBITDA and similar measures are widely used by investors, securities analysts, ratings agencies and other parties in evaluating companies in our industry as a measure of financial performance and debt-service capabilities. See below for a reconciliation of our EBITDA and Adjusted EBITDA to net income/loss, the most directly comparable financial measure calculated and presented in accordance with U.S. GAAP.</w:t>
      </w:r>
    </w:p>
    <w:p>
      <w:pPr>
        <w:spacing w:after="0" w:line="17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Because EBITDA and Adjusted EBITDA are measures not deemed to be in accordance with U.S. GAAP and are susceptible to varying calculations, our EBITDA and Adjusted EBITDA may not be comparable to similarly titled measures of other companies, including companies in our industry, because other companies may calculate EBITDA and Adjusted EBITDA in a different manner than we calculate these measurements. Although we use Adjusted EBITDA as one of several financial measures to assess our operating performance, its use is limited as it excludes certain significant operating expenses. EBITDA and Adjusted EBITDA are not intended to represent cash flows for the periods presented, nor have they been presented as an alternative to operating income/loss, net income/loss or as an indicator of operating performance and should not be considered in isolation or as a substitute for measures of performance prepared in accordance with U.S. GAAP. The following table presents the reconciliation of net income/loss to EBITDA and Adjusted EBITDA for the three and six months ended June 30, 2024 and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1"/>
                <w:szCs w:val="21"/>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w:t>
            </w: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w w:val="98"/>
              </w:rPr>
              <w:t>thousands, except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89"/>
              </w:rPr>
              <w:t>share and per share</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data)</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32,062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49,868</w:t>
            </w:r>
          </w:p>
        </w:tc>
        <w:tc>
          <w:tcPr>
            <w:tcW w:w="3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1,906</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1,919</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3,826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3,789</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4,384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3,783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6,299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7,552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12,415</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41,682</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65,965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2,863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2,747</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IT systems disruption</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2,770</w:t>
            </w:r>
          </w:p>
        </w:tc>
        <w:tc>
          <w:tcPr>
            <w:tcW w:w="14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44,545</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Adjusted EBITDA increased for the three and six months ended June 30, 2024 by $38.1 million and $62.1 million, respectively, as compared to the same periods of a year ago. The improvement is driven primarily by the increased sales and gross profit in 2024, as well as continued operational oversight and cost containment efforts at both of our business segments.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2024, we had working capital of $259.5 million, primarily consisting of $179.8 million of inventory, cash and cash equivalents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$88.2 million and $30.1 million of accounts receivable, partially offset by current liabilities of $44.2 million, as compared to working capital at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2023 of $207.2 million, primarily consisting of $172.9 million of inventory, cash and cash equivalents of $51.4 million and accounts receivable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$27.4 million, partially offset by current liabilities of $49.8 million. We had positive cash flows from operations for the six months ended June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year ended December 31, 2023 of $43.4 million and $8.8 million, respectively. Prior to fiscal 2023, we funded our operations primarily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of our equity and debt securities. Our material cash requirements are primarily comprised of:</w:t>
      </w:r>
    </w:p>
    <w:p>
      <w:pPr>
        <w:spacing w:after="0" w:line="207" w:lineRule="exact"/>
        <w:rPr>
          <w:sz w:val="20"/>
          <w:szCs w:val="20"/>
          <w:color w:val="auto"/>
        </w:rPr>
      </w:pPr>
    </w:p>
    <w:p>
      <w:pPr>
        <w:ind w:left="1300" w:right="120" w:hanging="320"/>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procurement of raw material source plasma, which includes plasma donor fees and plasma center supplies, and other raw materials necessary to maintain and scale up our manufacturing operations;</w:t>
      </w: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and benefits;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equipment upgrades and capacity expansion at the Boca Facility and to maintain our plasma collection facilities;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our debt;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programs, medical education and continued commercialization efforts;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Boca Facility maintenance, repairs and supplies;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required post-marketing clinical trials for ASCENIV; and</w:t>
      </w:r>
    </w:p>
    <w:p>
      <w:pPr>
        <w:spacing w:after="0" w:line="9" w:lineRule="exact"/>
        <w:rPr>
          <w:rFonts w:ascii="Times New Roman" w:cs="Times New Roman" w:eastAsia="Times New Roman" w:hAnsi="Times New Roman"/>
          <w:sz w:val="18"/>
          <w:szCs w:val="18"/>
          <w:color w:val="auto"/>
        </w:rPr>
      </w:pPr>
    </w:p>
    <w:p>
      <w:pPr>
        <w:ind w:left="1300" w:right="740" w:hanging="320"/>
        <w:spacing w:after="0" w:line="26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improvements and updates to our IT infrastructure, laboratory equipment and assays, and facilities and engineering equipment.</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currently anticipate, based upon our projected revenue and expenditures, that our current cash, cash equivalents and accounts receivable, along with our projected future operating cash flow, will be sufficient to fund our operations, as currently conducted, through the end of the third quarter of fiscal 2025 and beyond. Based on current operations and assuming continued market acceptance and utilization of our finished drug products, we do not anticipate the need to raise additional capital at this time. However, should the market for our products or political, economic or inflationary conditions change, we may need to seek additional capital which may not be available due to a variety of potential factors beyond our control (see “Risk Factors” appearing elsewhere in this report).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ADMA continues to evaluate a variety of strategic alternatives, and the exploration of value-creating opportunities remains a top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December 18, 2023 (the “Ares Closing Date”), we and all of our subsidiaries entered into a credit agreement (the “Ares Credit Agreement”) with Ares Capital Corporation and certain credit funds affiliated with Ares Capital Corporation (collectively, “Ares”). The Ares Credit Agreement provides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the Ares Closing Date, we used the proceeds from the Ares Loans, along with a portion of our existing cash on hand, to terminate and pay in full all of the outstanding obligations under our previous senior credit facility (the “Hayfin Credit Facility”) with Hayfin Services LLP (“Hayfin”) including the outstanding principal in the amount of $158.6 million, a prepayment penalty in the amount $11.1 million, an exit fee of $1.6 million, all accrued and unpaid interest outstanding on the Hayfin Credit Facility as of the Ares Closing date, as well as certain fees and expenses related thereto.</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28" w:lineRule="exact"/>
        <w:rPr>
          <w:sz w:val="20"/>
          <w:szCs w:val="20"/>
          <w:color w:val="auto"/>
        </w:rPr>
      </w:pPr>
    </w:p>
    <w:p>
      <w:pPr>
        <w:ind w:right="100" w:firstLine="648"/>
        <w:spacing w:after="0" w:line="226" w:lineRule="exact"/>
        <w:rPr>
          <w:sz w:val="20"/>
          <w:szCs w:val="20"/>
          <w:color w:val="auto"/>
        </w:rPr>
      </w:pPr>
      <w:r>
        <w:rPr>
          <w:rFonts w:ascii="Times New Roman" w:cs="Times New Roman" w:eastAsia="Times New Roman" w:hAnsi="Times New Roman"/>
          <w:sz w:val="18"/>
          <w:szCs w:val="18"/>
          <w:color w:val="auto"/>
        </w:rPr>
        <w:t>Borrowings under the term loan bear interest at the adjusted Term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in effect on the day that is two business days prior to the first day of the applicable calendar quarter plus 6.50% (the “Initial SOFR Term Loan Applicable Margin”). Borrowings under the revolving facility initially bear interest at the adjusted Term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in effect on the day that is two business days prior to the first day of the applicable calendar quarter plus 3.75% (the “SOFR Revolving Facility Applicable Margin”). As of June 30, 2024 and December 31, 2023, the interest rate on the term loan was approximately 11.84% and 11.88%, respectively, and the interest rate on the revolving facility was approximately 9.05% and 9.13%, respectively.</w:t>
      </w:r>
    </w:p>
    <w:p>
      <w:pPr>
        <w:spacing w:after="0" w:line="202"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7"/>
          <w:szCs w:val="17"/>
          <w:color w:val="auto"/>
        </w:rPr>
        <w:t>On the Ares Maturity Date, we are required to pay Ares the entire outstanding principal amount underlying the Ares Loans and any accrued and unpaid interest thereon. Prior to the Ares Maturity Date, there are no scheduled principal payments on the Ares Credit Facility, and we are required to make quarterly interest payments during the term of the Ares Credit Facility of approximately $3.6 million. We may prepay the outstanding principal under the revolving facility, together with any accrued but unpaid interest on the prepaid principal amount, at any time and from time to time upon three business days’ prior written notice with no prepayment premium. However, in the event that we prepay an amount under the revolving facility that is greater than 50% of the current $72.5 million outstanding balance, we will still be required to pay interest on 50% of this balance, or $36.3 million, through the term of the Ares Credit Facility. We may prepay the outstanding principal on the term loan, together with any accrued but unpaid interest on the prepaid principal amount, at any time and from time to time upon three business days’ prior written notice, subject to the payment to Ares of a prepayment premium equal to</w:t>
      </w:r>
    </w:p>
    <w:p>
      <w:pPr>
        <w:ind w:right="240" w:firstLine="8"/>
        <w:spacing w:after="0" w:line="253"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as of such date of all remaining required interest payments on the principal amount being repaid plus 1.5% of the prepaid principal amount, if prepaid on or prior to the first anniversary of the Ares Closing Date, (ii) 1.5% of the prepaid principal amount, if prepaid after the first anniversary of the Ares Closing Date and on or prior to the second anniversary of the Ares Closing Date, or (iii) 1.0% of the prepaid principal amount, if prepaid on or prior to the third anniversary of the Ares Closing Date.</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Ares Credit Facility, we incurred fees and expenses related to the transaction of approximately $2.7 million, including a $1.7 million original issue discount payable to Ares, all of which was deducted from the Ares loan proceeds. In addition, we are also required to pay Ares an exit fee of $1.7 million upon the earlier of any prepayment date or the Ares Maturity Date, and this amount has been accrued as a separate liability in our consolidated balance sheet as of June 30, 2024 and December 31, 2023. As a result, we recognized an aggregate debt discount of $4.4 million as of the Ares Closing Date, and the weighted-average effective interest rate on the Ares Loans as of June 30, 2024 and December 31, 2023 was 11.35% and 11.39%, respectively.</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All of our obligations under the Ares Credit Agreement are secured by a first-priority lien and security interest in substantially all of our tangible and intangible assets, including intellectual property and all of the equity interests in our subsidiaries. The Ares Credit Agreement contains certain representations and warranties, affirmative covenants, negative covenants and conditions that are customarily required for similar financings. The negative covenants include certain financial covenants, including maximum total leverage ratios and a $15.0 million liquidity covenant, and also restrict or limit our ability and the ability of our subsidiaries to, among other things and subject to certain exceptions contained in the Ares Credit Agreement, incur new indebtedness; create liens on assets; engage in certain fundamental corporate changes, such as mergers or acquisitions, or changes to our or our subsidiaries’ business activities; make certain Investments or Restricted Payments (each as defined in the Ares Credit Agreement); engage in certain affiliate transactions; or enter into, amend or terminate any other agreements that have the impact of restricting our ability to make loan repayments under the Ares Credit Agreement. As of June 30, 2024, we were in compliance with all of the covenants contained in the Ares Credit Agreement.</w:t>
      </w:r>
    </w:p>
    <w:p>
      <w:pPr>
        <w:spacing w:after="0" w:line="18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will incur an increase in the rate of interest on the Ares Loans of 2%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8360" w:type="dxa"/>
            <w:vAlign w:val="bottom"/>
            <w:vMerge w:val="restart"/>
          </w:tcPr>
          <w:p>
            <w:pPr>
              <w:ind w:left="34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86,522</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operations for the six months ended June 30, 2024 was $43.4 million, as compared to cash used in operations of $20.8 million, for the same period of a year ago, mainly due to the increase revenues, gross margin and net income in 2024. The following table illustrates the primary components of and changes to our cash flows from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80" w:type="dxa"/>
            <w:vAlign w:val="bottom"/>
          </w:tcPr>
          <w:p>
            <w:pPr>
              <w:ind w:left="37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expenses, gains and losses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(21,227)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inventories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payable and 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3,592</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(1,453)</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operations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and 2023 was $4.7 million and $2.8 million, respectively, and is mainly comprised of capital expenditures at the Boca Facility. While we currently have no firm commitments for capital expenditures, we expect our total capital expenditures will be between $5.0 million and $10.0 million for the remainder of fiscal 2024, mainly for additional upgrades to the Boca Facility manufacturing operations and related operational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$1.8 million and $0.4 million for the six months ended June 30, 2024 and 2023, respectively. The increase is due to additional taxes paid in connection with shares that were withheld from RSUs that vested during the period, partially offset by an increase in proceeds from the exercise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Inflation impacted a number of facets of our business during the six months ended June 30, 2024 and for the years ended December 31, 2023 and 2022 at each of our business segments. We experienced price increases for, among other items, certain raw materials, consumable supplies, services for repairs and maintenance of our facilities, utilities, shipping and freight charges, fuel surcharges and labor costs, among other expenses. Based upon the macroeconomic environment, publicly available information and reports from the U.S. government, we expect this trend to continue in 2024 and potentially longer, which could potentially have a significant impact on our future results of operations. In addition, some of our third-party inventory purchase agreements provide for annual price increases that are tied to various consumer price indices, which have resulted in higher than historical percentage price increases and has resulted in and could continue to result in higher source plasma and other raw material and supplies costs in 2024 and beyond. Also, in a higher inflationary environment, we may not be able to raise the prices of our products to keep up with the rate of inflation. We are unable to predict when these external drivers of inflation will subside.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 as the result of changes in interest rates. Our senior credit facility with Ares requires quarterly payments of interest based on the adjusted Term SOFR plus the Applicable Margin. We currently do not utilize any derivative financial instruments, such as interest rate swaps or caps, to mitigate this risk. As of June 30, 2024, we had $135.0 million outstanding under our senior credit facility that is subject to variable interest rates. As a result, the effect of a hypothetical, instantaneous and unfavorable change of 100 basis points in interest rates would have an approximate $1.4 million annualized negative impact on our earnings and cash flows.</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principal financial officer, we conducted an evaluation of our disclosure controls and procedures as of June 30, 2024. Based on this evaluation, our principal executive officer and principal financial officer concluded that our disclosure controls and procedures as of June 30, 2024 were effective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June 30, 2024 that have materially affected, or are reasonably likely to materially affect, our internal control over financial reporting.</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the 2023 10-K and our other filings with the SEC, before making an investment decision regarding our common stock.</w:t>
      </w:r>
    </w:p>
    <w:p>
      <w:pPr>
        <w:spacing w:after="0" w:line="182" w:lineRule="exact"/>
        <w:rPr>
          <w:sz w:val="20"/>
          <w:szCs w:val="20"/>
          <w:color w:val="auto"/>
        </w:rPr>
      </w:pPr>
    </w:p>
    <w:p>
      <w:pPr>
        <w:ind w:left="660" w:right="8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achieved net income on a non-GAAP basis and generated positive cash flows for the year ended December 31, 2023 and generated positive net income and cash flows for the six months ended June 30, 2024, we may not be able to maintain profitability and generate positive cash flows in the future.</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in the future, need to raise additional capital or seek alternative financing in order to operate, expand or maintain our business, which may not be available on favorable terms, if at all.</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our business segments and our facilities are subject to periodic inspections by the FDA, which, depending on the outcome of such inspections, could result in certain FDA actions, including the issuance of observations, notices, citations, warning letters or other enforcement actions.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could adversely affect our business.</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Biologics License Application (“BLA”) or other required submission for review, we may not be authorized to market ASCENIV for any other indication.</w:t>
      </w:r>
    </w:p>
    <w:p>
      <w:pPr>
        <w:spacing w:after="0" w:line="179"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to market ASCENIV, BIVIGAM and Nabi-HB, there can be no assurance that we will be successful in further developing and expanding commercial operations or balancing our research and development activities with our commercialization activities.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researchers, developers and vendors to develop, manufacture, supply materials for or test our products and product candidates, some of which are single-sourced, and such parties are outside of our control.</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6"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7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payers and patients do not accept and use our current products or our future product candidates, our ability to generate revenue from these products will be materially impaired.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accruals for U.S. Medicaid rebates and other liabilities related to the sale of our immunoglobulin products are estimates based on historical experience and other assumptions. Any change in our accrual estimates could have a material effect on our business, financial position and operating results.</w:t>
      </w:r>
    </w:p>
    <w:p>
      <w:pPr>
        <w:spacing w:after="0" w:line="175"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7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ADMA BioCenters operations collect information from donors in the United States that subjects us to consumer and health privacy laws, which could create enforcement and litigation exposure if we fail to meet their requirements.</w:t>
      </w:r>
    </w:p>
    <w:p>
      <w:pPr>
        <w:spacing w:after="0" w:line="16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secured credit facility with Ares Capital Corporation and certain of its affiliates (“Ares”) is subject to acceleration in specified circumstances, which may result in Ares taking possession and disposing of any collateral.</w:t>
      </w:r>
    </w:p>
    <w:p>
      <w:pPr>
        <w:spacing w:after="0" w:line="161"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other security breaches could compromise our proprietary and confidential information or otherwise penetrate our network, which could harm our business and reputation.</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produce safe and effective products depends on the safety of our plasma supply, testing by third parties and the timing of receiving the testing results, and the manufacturing processes we have in place to counter transmittable diseases.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supply-constrained and our financial performance would suffer if we cannot obtain adequate quantities of FDA-approved source plasma with proper specifications or other necessary raw materials.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(“NOLs”) may be limited.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may fluctuate in a way that is disproportionate to our operating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Through December 31, 2023, we have a history of losses and have historically needed to raise, and in the future may be required to raise, additional capital to operate our business.</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long-term liquidity depends upon our ability to grow our commercial programs, expand our commercial operations at the Boca Facility, improve our supply-chain capabilities, improve production yields, continue to build out our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currently anticipate, based upon our projected revenue and expenditures, that our current cash, cash equivalents and accounts receivable, along with our projected future operating cash flow, will be sufficient to fund our operations, as currently conducted, through the end of the third quarter of fiscal 2025 and beyond. However, our current outlook on cash flows and profitability may change based upon our effectiveness in executing on our commercialization efforts and operational initiatives and whether or not the assumptions underlying our projected revenues and expenses are correct. Although we achieved net income and positive cash flows for the six months ended June 30, 2024 and positive cash flow from operations for the first time in our history for the year ended December 31, 2023, at present we cannot be certain that we will be able to generate positive cash flows from operations throughout 2024 and if we cannot raise additional capital or obtain alternative financing if needed, we may have to delay, curtail or eliminate our commercialization efforts and product development activities. Even if we are able to raise additional capital, such equity or debt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Historically, the major source of our cash has been from proceeds from various public offerings of our common stock and debt transactions. The actual amount of additional cash that we may need, if any, is subject to many factors. There can be no assurances that additional financing will be available if needed or that management will be able to obtain financing on terms acceptable to us or that we will continue to be profitable and generate positive operating cash flow.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profitability in 2024 and beyond.</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a history of losses through December 31, 2023, and we may not be able to maintain profitability. Although we achieved net income of $49.9 million for the six months ended June 30, 2024, for the years ended December 31, 2023, 2022 and 2021, we incurred net losses of $28.2 million, $65.9 million and $71.6 million, respectively. From our inception in 2004 through June 30, 2024, we have incurred an accumulated deficit of $456.4 million. We may not be able to maintain profitability throughout 2024, and if we are unable to continue to consistently achieve positive cash flows we may need to continue to finance our operations through additional equity or debt financings or corporate collaboration and licensing agreements. We also expect to continue to incur significant operating and capital expenditures and anticipate that as our business continues to grow our operating expenses will increase accordingly as we:</w:t>
      </w:r>
    </w:p>
    <w:p>
      <w:pPr>
        <w:spacing w:after="0" w:line="18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commercialization and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controls and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production capacity at the Boca Facility.</w:t>
      </w:r>
    </w:p>
    <w:p>
      <w:pPr>
        <w:spacing w:after="0" w:line="22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a result, we will need to generate significant revenues in order to maintain profitability. We may not be able to generate these revenues or maintain profitability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Pandemics, or a resurgence of a pandemic, may adversely affect our business, financial condition, liquidity or results of operations.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COVID-19 pandemic negatively impacted certain aspects of our business and operations. The resurgence of the COVID-19 pandemic, or a future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our submissions or applications to the FDA and our employees. The ultimate impact will depend on the severity and duration of the pandemic and actions taken by governmental authorities and other third parties in response, each of which is unforeseeable and difficult to predict.</w:t>
      </w:r>
    </w:p>
    <w:p>
      <w:pPr>
        <w:spacing w:after="0" w:line="17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a portion of the filling, packaging, testing and labeling of the drug substance we manufacture, and also obtain plasma from certain third parties. This reliance on third parties carries the risk that the services upon which we rely may not be performed in a timely manner, in sufficient quantities or according to our specifications, which could delay the availability of our finished drug product and could adversely affect our commercialization efforts and our revenues.</w:t>
      </w:r>
    </w:p>
    <w:p>
      <w:pPr>
        <w:spacing w:after="0" w:line="180"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Third parties may not perform as agreed or in accordance with FDA requirements. Any significant problem that our third-party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services and products meeting the necessary quality standards or at all could have a material and adverse effect on our products, business, financial condition and results from operations.</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Although we are utilizing our FDA-approved fill/finish suite that we built at the Boca Facility for a portion of our finished drug product and although we receive our raw material plasma from our ADMA BioCenters plasma collection facilities, we also intend to continue to utilize third parties to supplement our fill/finish process for final drug product and to supply raw material source and high-titer RSV plasma. Any failure by us, our contract fill/finishers, or other third parties involved in the process for producing our products or product candidates to comply with the applicable manufacturing and regulatory requirements, including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manufacturers exposes us to the following risks:</w:t>
      </w:r>
    </w:p>
    <w:p>
      <w:pPr>
        <w:spacing w:after="0" w:line="225" w:lineRule="exact"/>
        <w:rPr>
          <w:sz w:val="20"/>
          <w:szCs w:val="20"/>
          <w:color w:val="auto"/>
        </w:rPr>
      </w:pPr>
    </w:p>
    <w:p>
      <w:pPr>
        <w:ind w:left="660" w:right="2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contractors on acceptable terms or at all because the number of potential service providers is limited and the FDA must inspect and qualify any contract manufacturers for current cGMP compliance as part of our marketing application;</w:t>
      </w:r>
    </w:p>
    <w:p>
      <w:pPr>
        <w:spacing w:after="0" w:line="161" w:lineRule="exact"/>
        <w:rPr>
          <w:rFonts w:ascii="Times New Roman" w:cs="Times New Roman" w:eastAsia="Times New Roman" w:hAnsi="Times New Roman"/>
          <w:sz w:val="18"/>
          <w:szCs w:val="18"/>
          <w:color w:val="auto"/>
        </w:rPr>
      </w:pPr>
    </w:p>
    <w:p>
      <w:pPr>
        <w:ind w:left="660" w:right="40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fill/finisher would have to be educated in, or develop substantially equivalent processes for, the production of our products and product candidates;</w:t>
      </w:r>
    </w:p>
    <w:p>
      <w:pPr>
        <w:spacing w:after="0" w:line="161" w:lineRule="exact"/>
        <w:rPr>
          <w:rFonts w:ascii="Times New Roman" w:cs="Times New Roman" w:eastAsia="Times New Roman" w:hAnsi="Times New Roman"/>
          <w:sz w:val="18"/>
          <w:szCs w:val="18"/>
          <w:color w:val="auto"/>
        </w:rPr>
      </w:pPr>
    </w:p>
    <w:p>
      <w:pPr>
        <w:ind w:left="660" w:right="68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the resurgence of a pandemic such as the COVID-19 pandemic, or a cyberattack or data breach, could adversely affect our contracted fill/finishers’ operations, supply chain or workforce;</w:t>
      </w:r>
    </w:p>
    <w:p>
      <w:pPr>
        <w:spacing w:after="0" w:line="161"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contracted fill/finishers’ resources and level of expertise with plasma-derived biologics may be limited, therefore they may require a significant amount of support from us in order to implement and maintain the infrastructure and processes required to deliver our finished drug product;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right="4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might be unable to timely provide finished drug product or raw material plasma in sufficient quantity to meet our commercial needs;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may not be able to execute our inspection procedures and required tests appropriately;</w:t>
      </w:r>
    </w:p>
    <w:p>
      <w:pPr>
        <w:spacing w:after="0" w:line="225"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61" w:lineRule="exact"/>
        <w:rPr>
          <w:rFonts w:ascii="Times New Roman" w:cs="Times New Roman" w:eastAsia="Times New Roman" w:hAnsi="Times New Roman"/>
          <w:sz w:val="18"/>
          <w:szCs w:val="18"/>
          <w:color w:val="auto"/>
        </w:rPr>
      </w:pPr>
    </w:p>
    <w:p>
      <w:pPr>
        <w:jc w:val="both"/>
        <w:ind w:left="660" w:right="4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may fail to comply with applicable regulatory requirements, placing them and us at risk of regulatory enforcement actions, recalls and other adverse consequences, and which place our patients at risk, which may negatively impact our business and their ability to supply products to meet our development, clinical and commercial needs;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 parties could breach or terminate their agreements with us; and</w:t>
      </w:r>
    </w:p>
    <w:p>
      <w:pPr>
        <w:spacing w:after="0" w:line="22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of these risks could delay or prevent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trade and sanction requirements and limits, other acts of God or force majeure events or global health occurrences and emergencies.</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Market opportunity estimates and growth forecasts are subject to significant uncertainty and are based on assumptions and estimates that may not prove to be accurate. In particular, the size and growth of the overall U.S. IVIG and source plasma markets and the potential market opportunity for an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pneumoniae </w:t>
      </w:r>
      <w:r>
        <w:rPr>
          <w:rFonts w:ascii="Times New Roman" w:cs="Times New Roman" w:eastAsia="Times New Roman" w:hAnsi="Times New Roman"/>
          <w:sz w:val="18"/>
          <w:szCs w:val="18"/>
          <w:color w:val="auto"/>
        </w:rPr>
        <w:t>hyperimmune globulin are subject to significant variables that can be difficult to measure, estimate or quantify. Our business depends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collection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conditions, war, terrorism or other military actions may have a material adverse effect on our business.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Geopolitical conflicts, war or other military action or international acts of terrorism may cause significant disruption to commerce throughout the world. To the extent that such disruptions result in disruptions to our supply chain, delays or cancellations of customer orders, a general decrease in consumer spending, our inability to effectively market and distribute our products and/or our inability to access the capital markets, our business and results of operations could be materially and adversely affected. For example, in response to the ongoing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ongoing conflicts in the Middle East and the surrounding areas could have a broader impact that extends into other markets where we do business. We are unable to predict geopolitical conditions, whether acts of international terrorism or the involvement in a war or other military actions will result in any long-term commercial disruptions or if such involvement or responses will have any long-term material adverse effect on our business, results of operations, or financial condition.</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or warning letters.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and our suppliers and contractors may be unable to comply with our specifications, cGMP requirements and with other FDA, state, and foreign regulatory requirements for commercial and clinical supply. The FDA and other regulatory authorities are authorized to perform inspections and remote regulatory assessments of our and our suppliers’ facilities, including the Boca Facility. The FDA and other regulatory authorities also may inspect and approve our and our third-parties’ facilities before they may be used for commercial production. If we or our suppliers are not able to comply with the applicable regulatory requirements, we or they may be subject to regulatory enforcement actions, which can materially impact our business. For instance,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19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the event of any enforcement actions, we and our third-party contractors would need to implement remedial actions which may be time-intensive or costly. We may not be able to timely resolve concerns raised by the applicable regulator as a result of an inspection or without expending significant resources. We are unable to control the timing of inspections, communications and actions, and will be required to respond to the regulator and make certain submissions within certain timeframes. We also do not know whether or not the regulator will change its requirements, guidance or expectations. If the regulator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and breakdown, cyberattacks on our operations and information technology systems as well as the systems of our customers, suppliers and related entities, human error, employee issues, global health occurrences such as a pandemic, global and economic uncertainty, war,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commencement and completion of clinical trials or ultimate product approval for any current or future development product candidate may be delayed by several factors, including:</w:t>
      </w:r>
    </w:p>
    <w:p>
      <w:pPr>
        <w:spacing w:after="0" w:line="18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safety or effectiveness, or other adverse study results during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or noncompliance with clinical trial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w:t>
      </w:r>
    </w:p>
    <w:p>
      <w:pPr>
        <w:spacing w:after="0" w:line="225"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8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5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Other issues that may impact our clinical trials and that could delay or prevent our ability to receive marketing approval or commercialize our product candidates, include:</w:t>
      </w:r>
    </w:p>
    <w:p>
      <w:pPr>
        <w:spacing w:after="0" w:line="162" w:lineRule="exact"/>
        <w:rPr>
          <w:sz w:val="20"/>
          <w:szCs w:val="20"/>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our contract research organizations (“CROs”);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requiring us to perform additional or unanticipated clinical trials to obtain approval or becoming subject to additional post-marketing testing, surveillance, or Risk Evaluation and Mitigation Strategies requirements to maintain regulatory approval;</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 or our having insufficient funds for a clinical trial or to pay the substantial user fees required by FDA upon the filing of a marketing application;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inadequate quality of our product candidates or other materials necessary to conduct clinical trials;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sufficient study enrollment, subjects dropping out or withdrawing from our studies, delays in adding new investigators or clinical trial sites or a withdrawal of clinical trial sites;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Flaws in our clinical trial design that are not discoverable until the clinical trial has progressed;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make changes to our product candidates that require additional testing or that cause our product candidates to perform differently than expected;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policies that may impact our ability to obtain raw materials and/or finished product for commercialization;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comparable regulatory authorities taking longer than we anticipate to make decisions on our products or product candidates; and</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demonstrate that a product or product candidate provides an advantage over current standards of care or current or future competitive therapies in development.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United States, and therefore, may not be performed in accordance with standards normally required by the FDA and other regulatory agencies.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new contract manufacturing arrangements with third parties and revenues generated from the sales of manufacturing intermediates. We cannot assure you that we will receive the approvals necessary to commercialize any product candidate we may acquire or develop in the future or that we will be able to maintain our current approvals.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9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revenues from,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United States.</w:t>
      </w:r>
    </w:p>
    <w:p>
      <w:pPr>
        <w:spacing w:after="0" w:line="18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190"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high-titer antibodies to RSV. This high titer-plasma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significant additional research and clinical trials, and we will need to overcome significant regulatory burdens prior to commercialization in the United States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76" w:lineRule="exact"/>
        <w:rPr>
          <w:sz w:val="20"/>
          <w:szCs w:val="20"/>
          <w:color w:val="auto"/>
        </w:rPr>
      </w:pPr>
    </w:p>
    <w:p>
      <w:pPr>
        <w:ind w:right="7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third-party researchers, developers and vendors to develop, manufacture, supply materials for or test our products and product candidates, as well as for other pre -and-post approval services, and such parties’ performance is, to some extent, outside of our control.</w:t>
      </w:r>
    </w:p>
    <w:p>
      <w:pPr>
        <w:spacing w:after="0" w:line="13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depend on independent investigators and collaborators, such as universities and medical institutions, contract laboratories, CROs, contract manufacturers, contract fill/finishers, third-party plasma centers and consultants to conduct our preclinical activities, clinical trials, CMC testing and other activities under agreements with us. We also depend on third-party suppliers for materials used in our operations.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Additionally, certain of our third-party suppliers may be single-sourced, and it may be time-consuming, expensive or otherwise not feasible to locate an alternative supplier. If outside collaborators fail to devote sufficient time and resources to our products and/or 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and we may not be able to maintain existing approvals or meet our regulatory requirements. We or they may also be subject to regulatory enforcement actions, may need to take corrective actions, including initiating recalls,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and maintain approval for our product candidates.</w:t>
      </w:r>
    </w:p>
    <w:p>
      <w:pPr>
        <w:spacing w:after="0" w:line="18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currently anticipate expanding the manufacturing capacity and product output capability of our Boca Facility. Following the expansion of any of our manufacturing processes or the addition of new equipment, such as our fill-finish machine, we will need to validate the expanded facility and equipment, make the necessary submissions to FDA, obtain any FDA-required approvals and have it inspected by the FDA. Given the significant delays that may result during the validation process, we may experience a supply shortage of our products or our production capabilities may be limited until completion of and validation of our facility expansion and new manufacturing equipment.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application supplement to allow for the commercial relaunch of BIVIGAM, as well as the FDA’s approval of our BLA for ASCENIV, require us to conduct specified post-marketing studies, including pediatric and safety studies. If, during the post-marketing period (after marketing approval) previously unknown adverse events emerge, there is the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or manufacturing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further post-marketing studies or clinical trials, implement risk mitigation strategies, or to issue corrective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programs, refusal of orders under existing government contracts, exclusion from participation in federal healthcare programs, consent decrees, deferred or non-prosecution agreements or corporate integrity agreements;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penalties or criminal fines.</w:t>
      </w:r>
    </w:p>
    <w:p>
      <w:pPr>
        <w:spacing w:after="0" w:line="22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5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two customers, BioCARE, Inc. (“BioCare”) and Priority Healthcare Distribution, Inc. d/b/a CuraScript SD Specialty Distribution (“Curascript”), represented an aggregate of approximately 71% of our consolidated revenues. For the year ended December 31, 2023, BioCare and Curascript represented an aggregate of 72% of our consolidated revenues.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four customers, BioCare, Curascript, Reliance Life Sciences Pvt. Limited (“Reliance”) and Healix Infusion Therapy, LLC (“Healix”), represented an aggregate of approximately 95% of our consolidated accounts receivable. As of December 31, 2023, five customers, BioCare, Healix, Curascript, Cencora, Inc. (f/k/a AmerisourceBergen Corporation) and Reliance, represented an aggregate of approximately 98% of our consolidated accounts receivable.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at competitive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features and quality standards for our products sufficient to meet the expectations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and deliver a sufficient quantity of our products in a timely manner to meet our customers’ requirements;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or the resurgence of a pandemic, and government responses thereto on our customers and their businesses,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cyberattack or data breach on our customers or related entities; and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economic conditions or geopolitical conditions, including the exacerbated conflicts in Europe, the Middle East and the surrounding areas.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patient injury,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1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 However, because our products and product candidates are plasma-based products, not only are we subject to the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5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of our products relative to competing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for our products from government or other healthcare payers;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5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among other things, accruals for U.S. Medicaid rebates related to the sale of our immunoglobulin products. We accrue these rebates at the time of sale based on our estimates of the sales mix of our products and the portion of the products we sell that will be prescribed to Medicaid beneficiaries. These estimates are based on historical experience and certain other assumptions, and while the Company believes that such estimates are reasonable, they are subject to change based on future experience, Medicaid utilization trends and other factors. If any of our ratios, factors, assessments, experiences or judgments are not indicative or accurate estimates of our future experience, our results could be materially affected. Estimates that are most at risk for material adjustment include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w:t>
      </w:r>
    </w:p>
    <w:p>
      <w:pPr>
        <w:spacing w:after="0" w:line="19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example, during the three and six months ended June 30, 2024, we engaged a third-party specialist to assist in the evaluation of our accrual for U.S. Medicaid rebates related to the sale of our immunoglobulin products. As a result of this evaluation, we recognized a reduction in this accrual and a corresponding increase to net revenues of $12.6 million.</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Patient Protection and Affordable Care Act (“ACA”) included a significant expansion of state Medicaid programs. As more individuals become eligible for coverage under these programs, Medicaid utilization of our products could increase, resulting in a corresponding increase in our rebate payments. Such rebate payments may exceed what we have accrued for during the applicable period. Increases in Medicaid rebate payments could decrease our net revenues from product sales, which in turn could adversely affect our business, financial position, and operating results.</w:t>
      </w:r>
    </w:p>
    <w:p>
      <w:pPr>
        <w:spacing w:after="0" w:line="17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7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current product development portfolio consists primarily of label expansion activities for ASCENIV, as well as expanding our IP estate with patents issued for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IG. We have initiated small-scale preclinical activities to potentially expand our current portfolio through new product development efforts. If we are not successful in developing or acquiring additional products and product candidates, we will have to depend on our ability to continue to generate revenues from ASCENIV, BIVIGAM, Nabi-HB, contract manufacturing, intermediate fractions and plasma attributable to the operations of ADMA BioCenters to support our operations.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ADMA BioCenters operations collect information from donors in the United States that subjects us to consumer and health privacy laws, which could create enforcement and litigation exposure if we fail to meet their requirements.</w:t>
      </w:r>
    </w:p>
    <w:p>
      <w:pPr>
        <w:spacing w:after="0" w:line="159" w:lineRule="exact"/>
        <w:rPr>
          <w:sz w:val="20"/>
          <w:szCs w:val="20"/>
          <w:color w:val="auto"/>
        </w:rPr>
      </w:pPr>
    </w:p>
    <w:p>
      <w:pPr>
        <w:ind w:right="260" w:firstLine="648"/>
        <w:spacing w:after="0" w:line="254" w:lineRule="auto"/>
        <w:rPr>
          <w:sz w:val="20"/>
          <w:szCs w:val="20"/>
          <w:color w:val="auto"/>
        </w:rPr>
      </w:pPr>
      <w:r>
        <w:rPr>
          <w:rFonts w:ascii="Times New Roman" w:cs="Times New Roman" w:eastAsia="Times New Roman" w:hAnsi="Times New Roman"/>
          <w:sz w:val="18"/>
          <w:szCs w:val="18"/>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requirements with respect to safeguarding the privacy, security and transmission of protected health information (“PHI”) held by covered entities and business associates. HIPAA “covered entities” include health plans/insurers, healthcare providers engaging in HIPAA standard electronic transactions and healthcare clearinghouses.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(“BAA”) with the service provider that receives PHI on behalf of the entity.</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While we are not a covered entity or business associate subject to HIPAA, personal information that we obtain pursuant to a clinical trial may be subject to U.S. Federal Trade Commission (the “FTC”) privacy regulation. Failing to take appropriate steps to keep consumers’ personal information secure may constitute an unfair act or practice violating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less prescriptive than,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For example, the CCPA was amended by the CPRA,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We could be subject to enforcement action and litigation exposure if we fail to adhere to these data privacy and security laws. Virginia, Colorado, Connecticut and Utah have also enacted privacy laws that became effective in 2023 and are similar in many respects to the CCPA. Several other states have also enacted privacy laws similar to the CCPA that will become effective in the coming years, adding to potential privacy compliance obligations.</w:t>
      </w:r>
    </w:p>
    <w:p>
      <w:pPr>
        <w:spacing w:after="0" w:line="19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Ares Credit Facility is subject to acceleration in specified circumstances, which may result in Ares taking possession and disposing of any collateral.</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December 18, 2023 (the “Ares Closing Date”), we entered into a credit agreement with Ares (the “Ares Credit Agreement”) (see “Liquidity and Capital Resources”). The Ares Credit Agreement provides for a total of $135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The Ares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would incur an increase in the rate of interest on the Ares Loans of 2% per annum. The occurrence of an event of default could result in, among other things, the termination of commitments under the Ares Credit Facility, the declaration that all outstanding loans are immediately due and payable in whole or in part, and Ares taking immediate possession of, and selling, any collateral securing the Ares Loans.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may render our products or technologies obsolete or non-competitive.</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we move forward in clinical development, we continue to discover novel technologies related to our products and we may draft patent applications directed to these technologies.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market exclusivity of a product earlier than expected.</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realized during its market exclusivity period. In the United States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80"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There is no assurance that ASCENIV, or any other of our products for which we are issued a patent, will enjoy market exclusivity for the full time period of the respective patent.</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manage our growth, our business may be harmed.</w:t>
      </w:r>
    </w:p>
    <w:p>
      <w:pPr>
        <w:spacing w:after="0" w:line="31" w:lineRule="exact"/>
        <w:rPr>
          <w:sz w:val="20"/>
          <w:szCs w:val="20"/>
          <w:color w:val="auto"/>
        </w:rPr>
      </w:pPr>
    </w:p>
    <w:p>
      <w:pPr>
        <w:jc w:val="both"/>
        <w:ind w:right="60" w:firstLine="648"/>
        <w:spacing w:after="0" w:line="253" w:lineRule="auto"/>
        <w:rPr>
          <w:sz w:val="20"/>
          <w:szCs w:val="20"/>
          <w:color w:val="auto"/>
        </w:rPr>
      </w:pPr>
      <w:r>
        <w:rPr>
          <w:rFonts w:ascii="Times New Roman" w:cs="Times New Roman" w:eastAsia="Times New Roman" w:hAnsi="Times New Roman"/>
          <w:sz w:val="18"/>
          <w:szCs w:val="18"/>
          <w:color w:val="auto"/>
        </w:rPr>
        <w:t>Our success will depend on the expansion of our commercial and manufacturing activities, supply of raw material plasma and overall operations and the effective management of our growth, which will place a significant strain on our management and on our administrative, operational and financial resources. To manage this growth, we must expand our operational, financial and management systems and hire and train additional qualified personnel. If we are unable to manage our growth effectively, our business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our management team could adversely affect our business.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could compromise our proprietary and confidential information or otherwise penetrate our network, which could harm our business and reputation.</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Hackers may impersonate our vendors, suppliers or other third parties with whom we do business, which may result in financial harm to our business. Further, while many of our employees and certain suppliers with whom we do business operate in a remote working environment, the risk of cybersecurity attacks and data breaches, particularly through phishing attempts, may be increased as we and third parties with whom we interact leverage our IT infrastructure in unanticipated ways.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such as the IT disruption described elsewhere in this report,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and retain a substantial number of qualified personnel, our ability to sustain and grow our business may be harmed.</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expect to hire several new employees devoted to our plasma collection centers, commercialization, sales, marketing, medical and scientific affairs, regulatory affairs, quality control, information technology,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188"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collect human blood plasma at our ADMA BioCenters facilities, and if we cannot maintain FDA licensure for these facilities or obtain FDA licensure for additional facilities that we may construct or acquire rights to, we may be adversely affected and may not be able to sell or use this human blood plasma for future commercial purposes.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intend to maintain FDA licensure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licensure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7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There are no assurances we will be able to maintain compliance with all FDA or other regulations. There is also no guarantee that we will be able to fulfill our contractual requirements to our customers.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7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laws governing our conduct in the United States are enforceable on the federal, state and local levels by criminal, civil and administrative sanctions. Violations of laws such as the Federal Food, Drug, and Cosmetic Act,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jail sentences, fines or exclusion from participation in or debarment from federal and state healthcare or government procurement programs, pursuant to enforcement actions by DOJ, Medicare, Medicaid,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participation in applicable state healthcare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point-of-sale reductions in price and (b) PBM service fees paid by a manufacturer to a PBM.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Recent legislation and a final rule promulgated on December 29, 2023 delayed implementation of this portion of the rule until January 1, 2032.</w:t>
      </w:r>
    </w:p>
    <w:p>
      <w:pPr>
        <w:spacing w:after="0" w:line="19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spacing w:after="0" w:line="187"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7"/>
          <w:szCs w:val="17"/>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been brought against companies accused of promoting off-label uses of drugs, because such promotion induces unapproved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w:t>
      </w:r>
    </w:p>
    <w:p>
      <w:pPr>
        <w:spacing w:after="0" w:line="18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w:t>
      </w:r>
    </w:p>
    <w:p>
      <w:pPr>
        <w:spacing w:after="0" w:line="187"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Most U.S.-based pharmaceutical companies have such programs. We will need to adopt healthcare compliance and ethics programs that would incorporate the OIG’s recommendations and voluntary industry guidelines and train our employees. Such a program may be expensive and may not provide assurance that we will avoid compliance issues.</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w:t>
      </w:r>
    </w:p>
    <w:p>
      <w:pPr>
        <w:spacing w:after="0" w:line="18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and rigorous governmental regulation, including the requirement of FDA and other federal, state and local business regulatory 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Both before and after the approval of our products, our products, operations, facilities, suppliers and CROs are subject to extensive regulation by federal, state and local governmental authorities in the United States and other countries, with regulations differing from country to country. In the United States,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United States without FDA and other federal, state and local business regulatory approvals. Any failure to receive the marketing approvals necessary to commercialize our products or product candidates could harm our business.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few years, including in December 2018 and January 2019, the U.S. government has shut down several times and certain regulatory agencies, such as the FDA and the SEC, have had to furlough critical employees and stop critical activities. Separately, in response to the COVID-19 pandemic, the FDA postponed most inspections at domestic and foreign manufacturing facilities from March 2020 until July 2021. If a prolonged government shutdown or regulatory agency disruption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certain amounts of raw materials and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this Quarterly Report on Form 10-Q.</w:t>
      </w:r>
    </w:p>
    <w:p>
      <w:pPr>
        <w:spacing w:after="0" w:line="19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supply-constrained and our financial performance would suffer if we cannot obtain adequate quantities of FDA-approved source and high-titer plasma with proper specifications or other necessary raw materials.</w:t>
      </w:r>
    </w:p>
    <w:p>
      <w:pPr>
        <w:spacing w:after="0" w:line="15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Additionally, although we achieved plasma supply self-sufficiency with the approval of our tenth plasma collection center in November 2023, we remain reliant on the purchase of plasma from third parties and the collection of plasma from our FDA-licensed plasma collection centers to manufacture our products. We can give no assurances that appropriate plasma will be available to us through our own plasma collection facilities or on commercially reasonable terms, or at all, to manufacture our products.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Additionally, our supply contract with Grifols for the purchase of normal source plasma (“NSP”) expired on December 31, 2022 and was not renewed. Although we have executed additional agreements with other third-party suppliers of NSP, we anticipate that the NSP used in IG production in 2024 and beyond will be sourced from our ADMA BioCenters plasma collection facilities. There can be no assurances that we will be able to obtain an adequate supply of NSP from other third-party suppliers or be able to collect NSP in the same quantities, or at all, through our ADMA BioCenters plasma collection facilities at a cost that is not higher than the price we paid to Grifols for NSP. If our costs to obtain NSP through collections at our ADMA BioCenters plasma collection facilities or from other third-party suppliers are higher than what we paid to Grifols under our supply contract, our liquidity and results of operations could be adversely impacted.</w:t>
      </w:r>
    </w:p>
    <w:p>
      <w:pPr>
        <w:spacing w:after="0" w:line="185"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biosimilar pathway established as part of healthcare reform may make it easier for competitors to market biosimilar products.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ACA and the companion Healthcare and Education Reconciliation Act (which together are referred to as 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United States, we expect in the future to face greater competition from biosimilar products, including a possible increase in patent challenges.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Healthcare Reform Law in the United States may adversely affect our business.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Through the March 2010 adoption of the Healthcare Reform Law in the United States, substantial changes are being made to the current system for paying for healthcare in the United States,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9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Corporate responsibility, specifically related to Environmental, Social and Governance (“ESG”) matters, may impose additional costs and expose us to new risks.</w:t>
      </w:r>
    </w:p>
    <w:p>
      <w:pPr>
        <w:spacing w:after="0" w:line="15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Finances, Capital Requirements and Other Financial Matters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generate positive cashflows and net income, we may require additional funding and may be unable to raise capital when needed, which would adversely affect our operations and could force us to delay, curtail or eliminate some of our commercialization efforts or one or more of our research and development programs.</w:t>
      </w:r>
    </w:p>
    <w:p>
      <w:pPr>
        <w:spacing w:after="0" w:line="17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Although we generated positive cash flow from operations of $43.4 million for the six months ended June 30, 2024 and $8.8 million for the year ended December 31, 2023, our operations have consumed substantial amounts of cash since inception, and for the year ended December 31, 2022 we had negative cash flows from operations of $59.5 million. We expect to continue to spend substantial amounts for collecting plasma at our plasma collection centers, maintaining our plasma collection centers, procurement of raw material plasma and other raw materials necessary to scale up our manufacturing operations, commercial product launches and capacity expansion at the Boca Facility. In addition, our end-to-end production cycle from collecting and procuring raw material source plasma to commercial release of finished product can take between seven and 12 months or potentially longer, requiring substantial investments in raw material plasma and other manufacturing materials. We had a net loss of $28.2 million for the year ended December 31, 2023 and although we achieved net income of $49.9 million for the six months ended June 30, 2024, at present we cannot be certain that we will be able to maintain profitability on an ongoing basis. If we are unable to generate positive cash flow throughout fiscal 2024, we may need to continue to finance our operations through additional equity or debt financings or corporate collaboration and licensing agreements. We currently anticipate, based upon our projected revenue and expenditures, that our current cash, cash equivalents and accounts receivable, along with our projected future operating cash flow, will be sufficient to fund our operations, as currently conducted, through the end of the third quarter of fiscal 2025 and beyond. Our current outlook with respect to cash flows and profitability may change based upon how effective we are in continuing to execute on our commercialization efforts and operational initiatives and whether or not the assumptions underlying our projected revenues and expenses are correct. If we are required to raise additional capital and if such capital is not available due to widespread liquidity constraints or significant market instability that could result from widespread economic or geopolitical conditions or other factors beyond our control, we may have to delay, curtail or eliminate our commercialization efforts or our product development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to us in amounts sufficient to enable us to make interest or principal payments on our indebtedness when due.</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Ares Credit Facility provides for total senior secured loans in an aggregate principal amount of up to $135.0 million, all of which has been drawn down and is currently outstanding. Borrowings under the Ares Credit Facility currently bear interest at a weighted-average rate of approximately</w:t>
      </w:r>
    </w:p>
    <w:p>
      <w:pPr>
        <w:ind w:right="60"/>
        <w:spacing w:after="0" w:line="252" w:lineRule="auto"/>
        <w:rPr>
          <w:sz w:val="20"/>
          <w:szCs w:val="20"/>
          <w:color w:val="auto"/>
        </w:rPr>
      </w:pPr>
      <w:r>
        <w:rPr>
          <w:rFonts w:ascii="Times New Roman" w:cs="Times New Roman" w:eastAsia="Times New Roman" w:hAnsi="Times New Roman"/>
          <w:sz w:val="18"/>
          <w:szCs w:val="18"/>
          <w:color w:val="auto"/>
        </w:rPr>
        <w:t>10.4% per annum, which reflects the three-month term SOFR rate; provided, however, that upon, and during the continuance of, an event of default, the interest rate will automatically increase by an additional 200 basis points. We are currently required to make quarterly payments of interest during the term of the Ares Credit Facility of approximately $3.6 million, with all principal and unpaid interest due at maturity. In addition, our monthly interest rate obligation is subject to rising interest rates. The Ares Credit Facility has a maturity date of December 20, 2027, subject to acceleration pursuant to the Ares Credit Agreement, including upon an event of default. All of our obligations under the Ares Credit Facility are secured by a first-priority lien and security interest in substantially all of our and our subsidiaries’ tangible and intangible assets, including intellectual property, and all of the equity interests in our subsidiaries.</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current and projected cash, cash equivalents and accounts receivable may not be sufficient to repay all of our current outstanding debt obligations as they mature. If we are unable to achieve sufficient positive cash flow to repay our outstanding debt obligations as they mature, we will need to obtain additional financing in the amounts necessary to repay our outstanding debt obligations when due. If we are unable to repay our outstanding debt obligations when they mature, our creditors would be able to accelerate all of the amounts due and, in the case of the Ares Credit Facility, seek to enforce their security interests, which could lead to our creditors taking immediate possession of and selling substantially all of our assets with no return provided to our stockholders.</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in the future, our ability to produce accurate and timely financial statements could be impaired, which could result in investors losing confidence in the accuracy and completeness of our financial statements, harm our operating results and negatively affect the market price of our common stock.</w:t>
      </w:r>
    </w:p>
    <w:p>
      <w:pPr>
        <w:spacing w:after="0" w:line="1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404 of the Sarbanes-Oxley Act of 2002 and related rules (the “Sarbanes-Oxley Act”), we are required to maintain internal control over financial reporting and our management is required to report on the effectiveness of our internal control over financial reporting, including any material weaknesses in such internal controls.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8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Because we became a large accelerated filer effective December 31, 2023, the Sarbanes-Oxley Act requires our independent registered public accounting firm to attest to the effectiveness of our internal control over financial reporting. Our transition to large accelerated filer status and becoming subject to additional requirements of the Sarbanes-Oxley Act will be time-consuming, and there is a risk of noncompliance. Further, the costs associated with the compliance with and implementation of procedures under these and future laws and related rules could have a material impact on our results of operations.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related to the Sarbanes-Oxley Act. Moreover, if we have a material weakness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of the Sarbanes-Oxley Act in a timely manner, if we are unable to assert that our internal controls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In addition, we could become subject to investigations by any stock exchange on which our securities are listed, the SEC or other regulatory authorities, which could require additional financial and management resources, which could have an adverse impact on our business.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(“NOLs”) may be limited.</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As of December 31, 2023, we had federal and state NOLs of $315.6 million and $216.4 million, respectively. Federal and state NOLs of approximately $35.6 million and $95.1 million, respectively, will begin to expire at various dates beginning in 2028,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Although we did not experience any ownership changes for the years ended December 31, 2023 and 2022, we may experience ownership changes in the future as a result of subsequent changes in our stock ownership that we cannot predict or control that could result in further limitations being placed on our ability to utilize our federal NOLs.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fluctuate in a way that is disproportionate to our operating 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potential sales of substantial amounts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or completing preclinical or clinical trials or unsatisfactory results of these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a decision by federal, state or local business regulatory authority;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acceptance, third-party reimbursement and sales of BIVIGAM and ASCENIV;</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us or about our competitors, including clinical trial results, regulatory approvals or new product introductions;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licensors or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developments relating to our patents or other proprietary rights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pharmaceutical or biotechnology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and legislation;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volatility;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economic uncertainty;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anticipated or actual operating results;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3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August 2, 2024, most of our 233,082,827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79"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affiliates control a substantial amount of our shares of common stock. Provisions in our Second Amended and Restated Certificate of Incorporation, as amended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June 30, 2024, BlackRock Inc., Vanguard Group and our directors and executive officers and their affiliates owned approximately 16%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Ares Credit Agreement prohibits us from paying dividends. As a result, capital appreciation, if any, of our common stock will be your sole source of gain for the foreseeable future.</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June 30, 2024, there were 35,566,047 shares remaining available for issuance, after giving effect to 15,507,265 shares of our common stock that were subject to outstanding stock options, RSUs and warrants as of June 30, 2024 that may be issued by us without stockholder approval, as well as an additional 15,899,952 shares reserved for the future issuance of awards under our equity compensation plans.</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may from time to time enter into plans or other arrangements for the purchase or sale of our common stock that are intended to satisfy the affirmative defense conditions of Rule 10b5-1(c) or may represent a non-Rule 10b5-1 trading arrangement under the Exchange Act. During the quarter ended June 30, 2024, no such plans or other arrangements were adopted or terminated.</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following the signature page of this Quarterly Report on Form 10-Q.</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ADMA Biologics, Inc.</w:t>
      </w:r>
    </w:p>
    <w:p>
      <w:pPr>
        <w:spacing w:after="0" w:line="229" w:lineRule="exact"/>
        <w:rPr>
          <w:sz w:val="20"/>
          <w:szCs w:val="20"/>
          <w:color w:val="auto"/>
        </w:rPr>
      </w:pPr>
    </w:p>
    <w:p>
      <w:pPr>
        <w:spacing w:after="0"/>
        <w:tabs>
          <w:tab w:leader="none" w:pos="78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By: /s/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Adam S. Grossman</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spacing w:after="0"/>
        <w:tabs>
          <w:tab w:leader="none" w:pos="78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2024</w:t>
      </w:r>
      <w:r>
        <w:rPr>
          <w:sz w:val="20"/>
          <w:szCs w:val="20"/>
          <w:color w:val="auto"/>
        </w:rPr>
        <w:tab/>
      </w:r>
      <w:r>
        <w:rPr>
          <w:rFonts w:ascii="Times New Roman" w:cs="Times New Roman" w:eastAsia="Times New Roman" w:hAnsi="Times New Roman"/>
          <w:sz w:val="18"/>
          <w:szCs w:val="18"/>
          <w:color w:val="auto"/>
        </w:rPr>
        <w:t>By: /s/ Brad Tade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Brad Tade</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6" w:right="6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1420" w:type="dxa"/>
            <w:vAlign w:val="bottom"/>
            <w:gridSpan w:val="6"/>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40" w:type="dxa"/>
            <w:vAlign w:val="bottom"/>
          </w:tcPr>
          <w:p>
            <w:pPr>
              <w:spacing w:after="0"/>
              <w:rPr>
                <w:sz w:val="13"/>
                <w:szCs w:val="13"/>
                <w:color w:val="auto"/>
              </w:rPr>
            </w:pPr>
          </w:p>
        </w:tc>
        <w:tc>
          <w:tcPr>
            <w:tcW w:w="8980" w:type="dxa"/>
            <w:vAlign w:val="bottom"/>
          </w:tcPr>
          <w:p>
            <w:pPr>
              <w:spacing w:after="0"/>
              <w:rPr>
                <w:sz w:val="13"/>
                <w:szCs w:val="13"/>
                <w:color w:val="auto"/>
              </w:rPr>
            </w:pPr>
          </w:p>
        </w:tc>
      </w:tr>
      <w:tr>
        <w:trPr>
          <w:trHeight w:val="385"/>
        </w:trPr>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98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
        </w:trPr>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r>
        <w:trPr>
          <w:trHeight w:val="175"/>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Second Amended and Restated Bylaws of ADMA Biologics, Inc. (incorporated by reference to Exhibit 3.1 to the Company’s Current</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9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8-K filed on June 28, 2024).</w:t>
            </w:r>
          </w:p>
        </w:tc>
      </w:tr>
      <w:tr>
        <w:trPr>
          <w:trHeight w:val="176"/>
        </w:trPr>
        <w:tc>
          <w:tcPr>
            <w:tcW w:w="32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w w:val="95"/>
              </w:rPr>
            </w:pPr>
            <w:hyperlink r:id="rId8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Employment Agreement, dated April 1, 2024, by and between ADMA Biologics, Inc. and Kaitlin Kestenberg (incorporated by</w:t>
            </w:r>
          </w:p>
        </w:tc>
      </w:tr>
      <w:tr>
        <w:trPr>
          <w:trHeight w:val="236"/>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April 2, 2024).</w:t>
            </w:r>
          </w:p>
        </w:tc>
      </w:tr>
      <w:tr>
        <w:trPr>
          <w:trHeight w:val="176"/>
        </w:trPr>
        <w:tc>
          <w:tcPr>
            <w:tcW w:w="5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as adopted pursuant to Section 302 of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9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75"/>
        </w:trPr>
        <w:tc>
          <w:tcPr>
            <w:tcW w:w="5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as adopted pursuant to Section 302 of the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76"/>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240" w:type="dxa"/>
            <w:vAlign w:val="bottom"/>
            <w:shd w:val="clear" w:color="auto" w:fill="CCEEFF"/>
          </w:tcPr>
          <w:p>
            <w:pPr>
              <w:spacing w:after="0"/>
              <w:rPr>
                <w:sz w:val="15"/>
                <w:szCs w:val="15"/>
                <w:color w:val="auto"/>
              </w:rPr>
            </w:pPr>
          </w:p>
        </w:tc>
        <w:tc>
          <w:tcPr>
            <w:tcW w:w="98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9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240" w:type="dxa"/>
            <w:vAlign w:val="bottom"/>
          </w:tcPr>
          <w:p>
            <w:pPr>
              <w:spacing w:after="0"/>
              <w:rPr>
                <w:sz w:val="15"/>
                <w:szCs w:val="15"/>
                <w:color w:val="auto"/>
              </w:rPr>
            </w:pPr>
          </w:p>
        </w:tc>
        <w:tc>
          <w:tcPr>
            <w:tcW w:w="98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98"/>
        </w:trPr>
        <w:tc>
          <w:tcPr>
            <w:tcW w:w="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following materials from ADMA Biologics, Inc.’s Form 10-Q for the quarter ended June 30, 2024, formatted in Extensible</w:t>
            </w: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Reporting Language (XBRL): (i) Condensed Consolidated Balance Sheets as of June 30, 2024 (Unaudited) and December 31,</w:t>
            </w: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(ii) Condensed Consolidated Statements of Operations (Unaudited) for the three and six months ended June 30, 2024 and 2023,</w:t>
            </w: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(iii) Condensed Consolidated Statements of Changes in Stockholders' Equity (Unaudited) for the three and six months ended June 30,</w:t>
            </w: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and 2023, (iv) Condensed Consolidated Statements of Cash Flows (Unaudited) for the six months ended June 30, 2024 and 2023,</w:t>
            </w: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(v) Notes to (Unaudited) Condensed Consolidated Financial Statements.</w:t>
            </w:r>
          </w:p>
        </w:tc>
      </w:tr>
      <w:tr>
        <w:trPr>
          <w:trHeight w:val="23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2303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accordance with SEC Release 33-8238, Exhibits 32.1 and 32.2 are being furnished and not filed.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 Grossman,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ADMA Biologics,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 Grossman</w:t>
            </w:r>
          </w:p>
        </w:tc>
      </w:tr>
      <w:tr>
        <w:trPr>
          <w:trHeight w:val="198"/>
        </w:trPr>
        <w:tc>
          <w:tcPr>
            <w:tcW w:w="3600" w:type="dxa"/>
            <w:vAlign w:val="bottom"/>
          </w:tcPr>
          <w:p>
            <w:pPr>
              <w:spacing w:after="0"/>
              <w:rPr>
                <w:sz w:val="17"/>
                <w:szCs w:val="17"/>
                <w:color w:val="auto"/>
              </w:rPr>
            </w:pPr>
          </w:p>
        </w:tc>
        <w:tc>
          <w:tcPr>
            <w:tcW w:w="2600" w:type="dxa"/>
            <w:vAlign w:val="bottom"/>
          </w:tcPr>
          <w:p>
            <w:pPr>
              <w:ind w:left="20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Adam S. Grossman</w:t>
            </w:r>
          </w:p>
        </w:tc>
      </w:tr>
      <w:tr>
        <w:trPr>
          <w:trHeight w:val="216"/>
        </w:trPr>
        <w:tc>
          <w:tcPr>
            <w:tcW w:w="360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0"/>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Tade, certify that:</w:t>
      </w:r>
    </w:p>
    <w:p>
      <w:pPr>
        <w:spacing w:after="0" w:line="22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ADMA Biologics,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60" w:hanging="242"/>
        <w:spacing w:after="0" w:line="266" w:lineRule="auto"/>
        <w:tabs>
          <w:tab w:leader="none" w:pos="10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Tade</w:t>
            </w:r>
          </w:p>
        </w:tc>
      </w:tr>
      <w:tr>
        <w:trPr>
          <w:trHeight w:val="198"/>
        </w:trPr>
        <w:tc>
          <w:tcPr>
            <w:tcW w:w="3600" w:type="dxa"/>
            <w:vAlign w:val="bottom"/>
          </w:tcPr>
          <w:p>
            <w:pPr>
              <w:spacing w:after="0"/>
              <w:rPr>
                <w:sz w:val="17"/>
                <w:szCs w:val="17"/>
                <w:color w:val="auto"/>
              </w:rPr>
            </w:pPr>
          </w:p>
        </w:tc>
        <w:tc>
          <w:tcPr>
            <w:tcW w:w="2600" w:type="dxa"/>
            <w:vAlign w:val="bottom"/>
          </w:tcPr>
          <w:p>
            <w:pPr>
              <w:ind w:left="20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Brad Tade</w:t>
            </w:r>
          </w:p>
        </w:tc>
      </w:tr>
      <w:tr>
        <w:trPr>
          <w:trHeight w:val="216"/>
        </w:trPr>
        <w:tc>
          <w:tcPr>
            <w:tcW w:w="360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20"/>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ADMA Biologics, Inc., a Delaware corporation (the “Company”), on Form 10-Q for the quarter ended June 30, 2024,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 Grossman</w:t>
            </w:r>
          </w:p>
        </w:tc>
      </w:tr>
      <w:tr>
        <w:trPr>
          <w:trHeight w:val="198"/>
        </w:trPr>
        <w:tc>
          <w:tcPr>
            <w:tcW w:w="3600" w:type="dxa"/>
            <w:vAlign w:val="bottom"/>
          </w:tcPr>
          <w:p>
            <w:pPr>
              <w:spacing w:after="0"/>
              <w:rPr>
                <w:sz w:val="17"/>
                <w:szCs w:val="17"/>
                <w:color w:val="auto"/>
              </w:rPr>
            </w:pPr>
          </w:p>
        </w:tc>
        <w:tc>
          <w:tcPr>
            <w:tcW w:w="2600" w:type="dxa"/>
            <w:vAlign w:val="bottom"/>
          </w:tcPr>
          <w:p>
            <w:pPr>
              <w:ind w:left="20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Adam S. Grossman</w:t>
            </w:r>
          </w:p>
        </w:tc>
      </w:tr>
      <w:tr>
        <w:trPr>
          <w:trHeight w:val="216"/>
        </w:trPr>
        <w:tc>
          <w:tcPr>
            <w:tcW w:w="360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0"/>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ADMA Biologics, Inc., a Delaware corporation (the “Company”), on Form 10-Q for the quarter ended June 30, 2024, as filed with the Securities and Exchange Commission on the date hereof (the “Report”), I, Brad Tade, Chief Financial Officer of the Company, hereby certify, pursuant to 18 U.S.C. §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Tade</w:t>
            </w:r>
          </w:p>
        </w:tc>
      </w:tr>
      <w:tr>
        <w:trPr>
          <w:trHeight w:val="198"/>
        </w:trPr>
        <w:tc>
          <w:tcPr>
            <w:tcW w:w="3600" w:type="dxa"/>
            <w:vAlign w:val="bottom"/>
          </w:tcPr>
          <w:p>
            <w:pPr>
              <w:spacing w:after="0"/>
              <w:rPr>
                <w:sz w:val="17"/>
                <w:szCs w:val="17"/>
                <w:color w:val="auto"/>
              </w:rPr>
            </w:pPr>
          </w:p>
        </w:tc>
        <w:tc>
          <w:tcPr>
            <w:tcW w:w="2600" w:type="dxa"/>
            <w:vAlign w:val="bottom"/>
          </w:tcPr>
          <w:p>
            <w:pPr>
              <w:ind w:left="20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Brad Tade</w:t>
            </w:r>
          </w:p>
        </w:tc>
      </w:tr>
      <w:tr>
        <w:trPr>
          <w:trHeight w:val="216"/>
        </w:trPr>
        <w:tc>
          <w:tcPr>
            <w:tcW w:w="3600" w:type="dxa"/>
            <w:vAlign w:val="bottom"/>
          </w:tcPr>
          <w:p>
            <w:pPr>
              <w:spacing w:after="0"/>
              <w:rPr>
                <w:sz w:val="18"/>
                <w:szCs w:val="18"/>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20"/>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2"/>
    </w:lvl>
  </w:abstractNum>
  <w:abstractNum w:abstractNumId="6">
    <w:nsid w:val="333AB105"/>
    <w:multiLevelType w:val="hybridMultilevel"/>
    <w:lvl w:ilvl="0">
      <w:lvlJc w:val="left"/>
      <w:lvlText w:val="%1."/>
      <w:numFmt w:val="decimal"/>
      <w:start w:val="4"/>
    </w:lvl>
  </w:abstractNum>
  <w:abstractNum w:abstractNumId="7">
    <w:nsid w:val="721DA317"/>
    <w:multiLevelType w:val="hybridMultilevel"/>
    <w:lvl w:ilvl="0">
      <w:lvlJc w:val="left"/>
      <w:lvlText w:val="%1."/>
      <w:numFmt w:val="decimal"/>
      <w:start w:val="6"/>
    </w:lvl>
  </w:abstractNum>
  <w:abstractNum w:abstractNumId="8">
    <w:nsid w:val="2443A858"/>
    <w:multiLevelType w:val="hybridMultilevel"/>
    <w:lvl w:ilvl="0">
      <w:lvlJc w:val="left"/>
      <w:lvlText w:val="%1."/>
      <w:numFmt w:val="decimal"/>
      <w:start w:val="8"/>
    </w:lvl>
  </w:abstractNum>
  <w:abstractNum w:abstractNumId="9">
    <w:nsid w:val="2D1D5AE9"/>
    <w:multiLevelType w:val="hybridMultilevel"/>
    <w:lvl w:ilvl="0">
      <w:lvlJc w:val="left"/>
      <w:lvlText w:val="%1."/>
      <w:numFmt w:val="decimal"/>
      <w:start w:val="10"/>
    </w:lvl>
  </w:abstractNum>
  <w:abstractNum w:abstractNumId="10">
    <w:nsid w:val="6763845E"/>
    <w:multiLevelType w:val="hybridMultilevel"/>
    <w:lvl w:ilvl="0">
      <w:lvlJc w:val="left"/>
      <w:lvlText w:val="%1."/>
      <w:numFmt w:val="decimal"/>
      <w:start w:val="11"/>
    </w:lvl>
  </w:abstractNum>
  <w:abstractNum w:abstractNumId="11">
    <w:nsid w:val="75A2A8D4"/>
    <w:multiLevelType w:val="hybridMultilevel"/>
    <w:lvl w:ilvl="0">
      <w:lvlJc w:val="left"/>
      <w:lvlText w:val="%1."/>
      <w:numFmt w:val="decimal"/>
      <w:start w:val="13"/>
    </w:lvl>
  </w:abstractNum>
  <w:abstractNum w:abstractNumId="12">
    <w:nsid w:val="8EDBDAB"/>
    <w:multiLevelType w:val="hybridMultilevel"/>
    <w:lvl w:ilvl="0">
      <w:lvlJc w:val="left"/>
      <w:lvlText w:val="%1."/>
      <w:numFmt w:val="decimal"/>
      <w:start w:val="14"/>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lowerRoman"/>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0" Type="http://schemas.openxmlformats.org/officeDocument/2006/relationships/hyperlink" Target="https://www.sec.gov/Archives/edgar/data/1368514/000114036124031778/ef20031848_ex3-1.htm" TargetMode="External"/><Relationship Id="rId81" Type="http://schemas.openxmlformats.org/officeDocument/2006/relationships/hyperlink" Target="https://www.sec.gov/Archives/edgar/data/1368514/000114036124017331/ef2002561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2024-08-08T16:35:14Z</dcterms:created>
  <dcterms:modified xsi:type="dcterms:W3CDTF">2024-08-08T16:35:14Z</dcterms:modified>
</cp:coreProperties>
</file>