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right="420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right="41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ADMA BIOLOGICS,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40" w:type="dxa"/>
            <w:vAlign w:val="bottom"/>
            <w:gridSpan w:val="3"/>
          </w:tcPr>
          <w:p>
            <w:pPr>
              <w:jc w:val="center"/>
              <w:ind w:right="1960"/>
              <w:spacing w:after="0"/>
              <w:rPr>
                <w:sz w:val="20"/>
                <w:szCs w:val="20"/>
                <w:color w:val="auto"/>
              </w:rPr>
            </w:pPr>
            <w:r>
              <w:rPr>
                <w:rFonts w:ascii="Arial" w:cs="Arial" w:eastAsia="Arial" w:hAnsi="Arial"/>
                <w:sz w:val="18"/>
                <w:szCs w:val="18"/>
                <w:color w:val="auto"/>
                <w:w w:val="89"/>
              </w:rPr>
              <w:t>Delaware</w:t>
            </w:r>
          </w:p>
        </w:tc>
        <w:tc>
          <w:tcPr>
            <w:tcW w:w="4720" w:type="dxa"/>
            <w:vAlign w:val="bottom"/>
            <w:gridSpan w:val="6"/>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5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20"/>
                <w:szCs w:val="20"/>
                <w:color w:val="auto"/>
              </w:rPr>
            </w:pPr>
          </w:p>
        </w:tc>
        <w:tc>
          <w:tcPr>
            <w:tcW w:w="3600" w:type="dxa"/>
            <w:vAlign w:val="bottom"/>
            <w:gridSpan w:val="5"/>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20" w:type="dxa"/>
            <w:vAlign w:val="bottom"/>
          </w:tcPr>
          <w:p>
            <w:pPr>
              <w:spacing w:after="0"/>
              <w:rPr>
                <w:sz w:val="24"/>
                <w:szCs w:val="24"/>
                <w:color w:val="auto"/>
              </w:rPr>
            </w:pPr>
          </w:p>
        </w:tc>
        <w:tc>
          <w:tcPr>
            <w:tcW w:w="3780" w:type="dxa"/>
            <w:vAlign w:val="bottom"/>
            <w:gridSpan w:val="4"/>
          </w:tcPr>
          <w:p>
            <w:pPr>
              <w:jc w:val="center"/>
              <w:ind w:right="820"/>
              <w:spacing w:after="0"/>
              <w:rPr>
                <w:sz w:val="20"/>
                <w:szCs w:val="20"/>
                <w:color w:val="auto"/>
              </w:rPr>
            </w:pPr>
            <w:r>
              <w:rPr>
                <w:rFonts w:ascii="Arial" w:cs="Arial" w:eastAsia="Arial" w:hAnsi="Arial"/>
                <w:sz w:val="18"/>
                <w:szCs w:val="18"/>
                <w:color w:val="auto"/>
                <w:w w:val="88"/>
              </w:rPr>
              <w:t>465 State Route 17, Ramsey, New Jersey</w:t>
            </w:r>
          </w:p>
        </w:tc>
        <w:tc>
          <w:tcPr>
            <w:tcW w:w="3840" w:type="dxa"/>
            <w:vAlign w:val="bottom"/>
            <w:gridSpan w:val="5"/>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392"/>
        </w:trPr>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 478-5552</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27"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31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4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0" w:type="dxa"/>
            <w:vAlign w:val="bottom"/>
          </w:tcPr>
          <w:p>
            <w:pPr>
              <w:spacing w:after="0"/>
              <w:rPr>
                <w:sz w:val="18"/>
                <w:szCs w:val="18"/>
                <w:color w:val="auto"/>
              </w:rPr>
            </w:pPr>
          </w:p>
        </w:tc>
      </w:tr>
      <w:tr>
        <w:trPr>
          <w:trHeight w:val="249"/>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31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460"/>
              <w:spacing w:after="0"/>
              <w:rPr>
                <w:sz w:val="20"/>
                <w:szCs w:val="20"/>
                <w:color w:val="auto"/>
              </w:rPr>
            </w:pPr>
            <w:r>
              <w:rPr>
                <w:rFonts w:ascii="Arial" w:cs="Arial" w:eastAsia="Arial" w:hAnsi="Arial"/>
                <w:sz w:val="18"/>
                <w:szCs w:val="18"/>
                <w:color w:val="auto"/>
                <w:w w:val="94"/>
              </w:rPr>
              <w:t>Smaller reporting company</w:t>
            </w:r>
          </w:p>
        </w:tc>
        <w:tc>
          <w:tcPr>
            <w:tcW w:w="180" w:type="dxa"/>
            <w:vAlign w:val="bottom"/>
          </w:tcPr>
          <w:p>
            <w:pPr>
              <w:ind w:left="100"/>
              <w:spacing w:after="0"/>
              <w:rPr>
                <w:sz w:val="20"/>
                <w:szCs w:val="20"/>
                <w:color w:val="auto"/>
              </w:rPr>
            </w:pPr>
            <w:r>
              <w:rPr>
                <w:rFonts w:ascii="Arial" w:cs="Arial" w:eastAsia="Arial" w:hAnsi="Arial"/>
                <w:sz w:val="17"/>
                <w:szCs w:val="17"/>
                <w:color w:val="auto"/>
                <w:w w:val="70"/>
              </w:rPr>
              <w:t>ý</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520" w:type="dxa"/>
            <w:vAlign w:val="bottom"/>
          </w:tcPr>
          <w:p>
            <w:pPr>
              <w:ind w:left="1460"/>
              <w:spacing w:after="0"/>
              <w:rPr>
                <w:sz w:val="20"/>
                <w:szCs w:val="20"/>
                <w:color w:val="auto"/>
              </w:rPr>
            </w:pPr>
            <w:r>
              <w:rPr>
                <w:rFonts w:ascii="Arial" w:cs="Arial" w:eastAsia="Arial" w:hAnsi="Arial"/>
                <w:sz w:val="18"/>
                <w:szCs w:val="18"/>
                <w:color w:val="auto"/>
                <w:w w:val="95"/>
              </w:rPr>
              <w:t>Emerging growth company</w:t>
            </w:r>
          </w:p>
        </w:tc>
        <w:tc>
          <w:tcPr>
            <w:tcW w:w="180" w:type="dxa"/>
            <w:vAlign w:val="bottom"/>
          </w:tcPr>
          <w:p>
            <w:pPr>
              <w:ind w:left="100"/>
              <w:spacing w:after="0"/>
              <w:rPr>
                <w:sz w:val="20"/>
                <w:szCs w:val="20"/>
                <w:color w:val="auto"/>
              </w:rPr>
            </w:pPr>
            <w:r>
              <w:rPr>
                <w:rFonts w:ascii="Arial" w:cs="Arial" w:eastAsia="Arial" w:hAnsi="Arial"/>
                <w:sz w:val="17"/>
                <w:szCs w:val="17"/>
                <w:color w:val="auto"/>
                <w:w w:val="70"/>
              </w:rPr>
              <w:t>ý</w:t>
            </w:r>
          </w:p>
        </w:tc>
      </w:tr>
    </w:tbl>
    <w:p>
      <w:pPr>
        <w:spacing w:after="0" w:line="20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ý</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14, 2018, there were 36,726,084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0" w:type="dxa"/>
            <w:vAlign w:val="bottom"/>
            <w:gridSpan w:val="7"/>
          </w:tcPr>
          <w:p>
            <w:pPr>
              <w:jc w:val="center"/>
              <w:ind w:right="2700"/>
              <w:spacing w:after="0"/>
              <w:rPr>
                <w:sz w:val="20"/>
                <w:szCs w:val="20"/>
                <w:color w:val="auto"/>
              </w:rPr>
            </w:pPr>
            <w:r>
              <w:rPr>
                <w:rFonts w:ascii="Arial" w:cs="Arial" w:eastAsia="Arial" w:hAnsi="Arial"/>
                <w:sz w:val="18"/>
                <w:szCs w:val="18"/>
                <w:b w:val="1"/>
                <w:bCs w:val="1"/>
                <w:color w:val="auto"/>
              </w:rPr>
              <w:t>ADMA BIOLOGICS, INC. AND SUBSIDIARIES</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0" w:type="dxa"/>
            <w:vAlign w:val="bottom"/>
            <w:gridSpan w:val="7"/>
          </w:tcPr>
          <w:p>
            <w:pPr>
              <w:jc w:val="center"/>
              <w:ind w:right="270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4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0000EE"/>
            </w:tcBorders>
            <w:gridSpan w:val="2"/>
          </w:tcPr>
          <w:p>
            <w:pPr>
              <w:ind w:left="160"/>
              <w:spacing w:after="0" w:line="176" w:lineRule="exact"/>
              <w:rPr>
                <w:sz w:val="20"/>
                <w:szCs w:val="20"/>
                <w:color w:val="auto"/>
              </w:rPr>
            </w:pPr>
            <w:r>
              <w:rPr>
                <w:rFonts w:ascii="Arial" w:cs="Arial" w:eastAsia="Arial" w:hAnsi="Arial"/>
                <w:sz w:val="18"/>
                <w:szCs w:val="18"/>
                <w:color w:val="auto"/>
              </w:rPr>
              <w:t>Item 1.</w:t>
            </w:r>
          </w:p>
        </w:tc>
        <w:tc>
          <w:tcPr>
            <w:tcW w:w="1640" w:type="dxa"/>
            <w:vAlign w:val="bottom"/>
            <w:tcBorders>
              <w:top w:val="single" w:sz="8" w:color="0000EE"/>
            </w:tcBorders>
            <w:gridSpan w:val="7"/>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Financial Statements</w:t>
              </w:r>
            </w:hyperlink>
          </w:p>
        </w:tc>
        <w:tc>
          <w:tcPr>
            <w:tcW w:w="7720" w:type="dxa"/>
            <w:vAlign w:val="bottom"/>
            <w:tcBorders>
              <w:top w:val="single" w:sz="8" w:color="CCEEFF"/>
            </w:tcBorders>
            <w:gridSpan w:val="9"/>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2018 (Unaudited) and December 31, 2017</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60" w:type="dxa"/>
            <w:vAlign w:val="bottom"/>
            <w:gridSpan w:val="16"/>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Operations (Unaudited) for the Three Months Ended March 31, 2018 and 2017</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Changes in Stockholders’ Equity (Unaudited) for the Three Months Ended March 31, 2018</w:t>
              </w:r>
            </w:hyperlink>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360" w:type="dxa"/>
            <w:vAlign w:val="bottom"/>
            <w:tcBorders>
              <w:top w:val="single" w:sz="8" w:color="CCEEFF"/>
            </w:tcBorders>
            <w:gridSpan w:val="16"/>
          </w:tcPr>
          <w:p>
            <w:pPr>
              <w:spacing w:after="0" w:line="17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Condensed Consolidated Statements of Cash Flows (Unaudited) for the Three Months Ended March 31, 2018 and 2017</w:t>
              </w:r>
            </w:hyperlink>
          </w:p>
        </w:tc>
        <w:tc>
          <w:tcPr>
            <w:tcW w:w="8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Item 4.</w:t>
            </w:r>
          </w:p>
        </w:tc>
        <w:tc>
          <w:tcPr>
            <w:tcW w:w="44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960" w:type="dxa"/>
            <w:vAlign w:val="bottom"/>
            <w:tcBorders>
              <w:top w:val="single" w:sz="8" w:color="CCEEFF"/>
            </w:tcBorders>
            <w:gridSpan w:val="6"/>
          </w:tcPr>
          <w:p>
            <w:pPr>
              <w:spacing w:after="0"/>
              <w:rPr>
                <w:sz w:val="15"/>
                <w:szCs w:val="15"/>
                <w:color w:val="auto"/>
              </w:rPr>
            </w:pPr>
          </w:p>
        </w:tc>
        <w:tc>
          <w:tcPr>
            <w:tcW w:w="8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PART II OTHER INFORMATION</w:t>
              </w:r>
            </w:hyperlink>
          </w:p>
        </w:tc>
        <w:tc>
          <w:tcPr>
            <w:tcW w:w="8020" w:type="dxa"/>
            <w:vAlign w:val="bottom"/>
            <w:tcBorders>
              <w:bottom w:val="single" w:sz="8" w:color="CCEEFF"/>
            </w:tcBorders>
            <w:gridSpan w:val="13"/>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6"/>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6"/>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6"/>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Item 4.</w:t>
            </w:r>
          </w:p>
        </w:tc>
        <w:tc>
          <w:tcPr>
            <w:tcW w:w="23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7000" w:type="dxa"/>
            <w:vAlign w:val="bottom"/>
            <w:tcBorders>
              <w:top w:val="single" w:sz="8" w:color="CCEEFF"/>
            </w:tcBorders>
            <w:gridSpan w:val="7"/>
          </w:tcPr>
          <w:p>
            <w:pPr>
              <w:spacing w:after="0"/>
              <w:rPr>
                <w:sz w:val="15"/>
                <w:szCs w:val="15"/>
                <w:color w:val="auto"/>
              </w:rPr>
            </w:pPr>
          </w:p>
        </w:tc>
        <w:tc>
          <w:tcPr>
            <w:tcW w:w="8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Other Information.</w:t>
              </w:r>
            </w:hyperlink>
          </w:p>
        </w:tc>
        <w:tc>
          <w:tcPr>
            <w:tcW w:w="8000" w:type="dxa"/>
            <w:vAlign w:val="bottom"/>
            <w:tcBorders>
              <w:bottom w:val="single" w:sz="8" w:color="CCEEFF"/>
            </w:tcBorders>
            <w:gridSpan w:val="1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16"/>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2"/>
            <w:shd w:val="clear" w:color="auto" w:fill="CCEEFF"/>
          </w:tcPr>
          <w:p>
            <w:pPr>
              <w:spacing w:after="0" w:line="176"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SIGNATURES</w:t>
              </w:r>
            </w:hyperlink>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This Quarterly Report on Form 10-Q includes our trademarks, trade names and service marks, such as “Nabi-HB®” and “Bivigam®” which are protected under applicable intellectual property laws and are the property of ADMA Biologics, Inc., or its subsidiaries. Solely for convenience, trademarks, trade names and service marks referred to in this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the federal securities laws. These statements include, among others, statements about:</w:t>
      </w:r>
    </w:p>
    <w:p>
      <w:pPr>
        <w:spacing w:after="0" w:line="170" w:lineRule="exact"/>
        <w:rPr>
          <w:sz w:val="20"/>
          <w:szCs w:val="20"/>
          <w:color w:val="auto"/>
        </w:rPr>
      </w:pPr>
    </w:p>
    <w:p>
      <w:pPr>
        <w:ind w:left="660" w:right="1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leverage the anticipated benefits and synergies from our June 6, 2017 acquisition of certain assets of Biotest Pharmaceuticals Corporation (the “Biotest Transaction”), including optimization of the combined businesses, operations and products and services, as well as the nature, strategy and focus of the combined company and the management and governance structure of the combined company;</w:t>
      </w:r>
    </w:p>
    <w:p>
      <w:pPr>
        <w:spacing w:after="0" w:line="173" w:lineRule="exact"/>
        <w:rPr>
          <w:rFonts w:ascii="Arial" w:cs="Arial" w:eastAsia="Arial" w:hAnsi="Arial"/>
          <w:sz w:val="16"/>
          <w:szCs w:val="16"/>
          <w:color w:val="auto"/>
        </w:rPr>
      </w:pPr>
    </w:p>
    <w:p>
      <w:pPr>
        <w:ind w:left="660" w:right="1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resume the manufacturing and commercialization of Bivigam once the deficiencies identified in a November 2014 warning letter (the “Warning Letter”) with respect to the outstanding issues at the plasma fractionation facility in Boca Raton, FL acquired in the Biotest Transaction have been resolved by us to the satisfaction of the U.S. Food and Drug Administration (the “FDA”), as well as a positive review of the optimized manufacturing process under a Prior Approval Supplement by the FDA;</w:t>
      </w:r>
    </w:p>
    <w:p>
      <w:pPr>
        <w:spacing w:after="0" w:line="213"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resubmit to the FDA our Biologics License Application (the “BLA”) for our lead pipeline product candidate, RI-002 (“RI-002”), once the deficiencies identified in the Complete Response Letter we received in July 2016 reaffirming the issues set forth in the Warning Letter have been resolved by us and/or our third-party vendors to the satisfaction of the FDA, and other requests for information included therein have been provided by us;</w:t>
      </w:r>
    </w:p>
    <w:p>
      <w:pPr>
        <w:spacing w:after="0" w:line="21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own commercial infrastructure and commercialize our current and future products and the success of such efforts;</w:t>
      </w:r>
    </w:p>
    <w:p>
      <w:pPr>
        <w:spacing w:after="0" w:line="197" w:lineRule="exact"/>
        <w:rPr>
          <w:rFonts w:ascii="Arial" w:cs="Arial" w:eastAsia="Arial" w:hAnsi="Arial"/>
          <w:sz w:val="18"/>
          <w:szCs w:val="18"/>
          <w:color w:val="auto"/>
        </w:rPr>
      </w:pPr>
    </w:p>
    <w:p>
      <w:pPr>
        <w:ind w:left="660" w:right="3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including the timeframe within which we may receive approval from the FDA, if at all, of our BLA resubmission for RI-002 and the labeling or nature of any such approvals;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and related-party customers and vendors and their compliance with regulatory bodies;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plasma;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RI-002, for any purpose by physicians, patients or payers;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and the satisfaction by us of its guidance;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immune globulin products to other comparably run Intravenous Immune Globulin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of RI-002 and Bivigam to provide meaningful clinical improvement for patients living with Primary Immune Deficiency Disease;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and to generate meaningful revenues from this product;</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RI-002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strategy;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relating to manufacturing, supply and other collaborative agreements;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the need for additional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 and, if any, if and when RI-002 is approved for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regarding market size, projected growth and sales of our existing products as well as our expectations of market acceptance of RI-002;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These statements may be found under the “Risk Factors“ and “Management’s Discussion and Analysis of Financial Condition and Results of Operations” sections of this Quarterly Report on Form 10-Q. Forward-looking statements typically are identified by the use of terms such as “anticipates,” “believes,” “can,” “continue,” “could,” “estimates,” “expects,” “intends,” “may,” “plans,” “potential,” “predicts,” “should,” or “will” or the negative thereof or other variations thereof or comparable terminology. You should be aware that our actual results could differ materially from those contained in the forward-looking statements due to the factors referenced above. Any forward-looking statement included or incorporated by reference in this Quarterly Report on Form 10-Q reflects our current views with respect to future events and is subject to these and other risks, uncertainties and assumptions related to our operations, results of operations, industry and future growth. Given these uncertainties, you should not place undue reliance on these forward-looking statements. These forward-looking statements speak only as of the dates such statements are made.</w:t>
      </w:r>
    </w:p>
    <w:p>
      <w:pPr>
        <w:spacing w:after="0" w:line="17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In addition to the foregoing, you should also consider carefully the statements under the section entitled “Risk Factors” and other sections of this Quarterly Report on Form 10-Q, which address additional factors that could cause our actual results to differ from those set forth in the forward-looking statements. Any forward-looking statements that we make in this Quarterly Report on Form 10-Q speak only as of the date of such statements and we undertake no obligation to publicly update any forward-looking statements or to publicly announce revisions to any of the forward-looking statements, whether as a result of new information, future events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ind w:left="300"/>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00" w:type="dxa"/>
            <w:vAlign w:val="bottom"/>
          </w:tcPr>
          <w:p>
            <w:pPr>
              <w:jc w:val="center"/>
              <w:ind w:left="2030"/>
              <w:spacing w:after="0"/>
              <w:rPr>
                <w:sz w:val="20"/>
                <w:szCs w:val="20"/>
                <w:color w:val="auto"/>
              </w:rPr>
            </w:pPr>
            <w:r>
              <w:rPr>
                <w:rFonts w:ascii="Arial" w:cs="Arial" w:eastAsia="Arial" w:hAnsi="Arial"/>
                <w:sz w:val="18"/>
                <w:szCs w:val="18"/>
                <w:b w:val="1"/>
                <w:bCs w:val="1"/>
                <w:color w:val="auto"/>
                <w:w w:val="98"/>
              </w:rPr>
              <w:t>PART I</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700" w:type="dxa"/>
            <w:vAlign w:val="bottom"/>
          </w:tcPr>
          <w:p>
            <w:pPr>
              <w:jc w:val="center"/>
              <w:ind w:left="2030"/>
              <w:spacing w:after="0"/>
              <w:rPr>
                <w:sz w:val="20"/>
                <w:szCs w:val="20"/>
                <w:color w:val="auto"/>
              </w:rPr>
            </w:pPr>
            <w:r>
              <w:rPr>
                <w:rFonts w:ascii="Arial" w:cs="Arial" w:eastAsia="Arial" w:hAnsi="Arial"/>
                <w:sz w:val="18"/>
                <w:szCs w:val="18"/>
                <w:b w:val="1"/>
                <w:bCs w:val="1"/>
                <w:color w:val="auto"/>
              </w:rPr>
              <w:t>FINANCIAL INFORMATION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70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00" w:type="dxa"/>
            <w:vAlign w:val="bottom"/>
          </w:tcPr>
          <w:p>
            <w:pPr>
              <w:jc w:val="center"/>
              <w:ind w:left="2050"/>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70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67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(Unaudited)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(Note 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Current assets:</w:t>
            </w:r>
          </w:p>
        </w:tc>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26,119,837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43,107,574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3,657,602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3,880,154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12,438,802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12,628,181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2,703,214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2,050,740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Restricted cash</w:t>
            </w:r>
          </w:p>
        </w:tc>
        <w:tc>
          <w:tcPr>
            <w:tcW w:w="6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46,419,455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63,166,649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30,615,530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30,466,858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4,638,115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4,849,350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3,529,509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3,529,509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Assets to be transferred under purchase agreement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1,395,444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1,496,410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Deposits and other assets</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539,572</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510,057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91,137,625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108,018,833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5,718,121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5,920,873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3,581,882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3,318,478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57,998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9,442,837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9,440,183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Notes payable, net of discount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25,616,653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25,368,458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 of term liability, notes payable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2,511,491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2,547,199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 - related party, net of discount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14,850,048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14,842,396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12,621,844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12,621,844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309,353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68,112,226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67,686,076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$0.0001 par value, 10,000,000 shares authorized,</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 shares issued and outstanding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Common Stock - voting, $0.0001 par value, 75,000,000 shares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authorized, 36,726,084 and 36,725,499 shares issued and outstanding</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3,673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3,673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 non-voting, $0.0001 par value, 8,591,160 shares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authorized, 8,591,160 shares issued and outstanding</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191,536,802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191,022,018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(168,515,935)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(150,693,793)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23,025,399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40,332,757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91,137,625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108,018,833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ADMA BIOLOGICS, INC.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4,006,298</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2,593,163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and 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4,042,006</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2,628,871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12,242,748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1,616,287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1,281,706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1,192,727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Plasma centers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1,833,774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1,479,476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5,005,046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4,277,384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20,574,509</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8,565,874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(16,532,503)</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(5,937,003)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26,546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(1,323,152)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(1,289,639)</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(599,960)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(17,822,142)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(6,536,963)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60"/>
              <w:spacing w:after="0"/>
              <w:rPr>
                <w:sz w:val="20"/>
                <w:szCs w:val="20"/>
                <w:color w:val="auto"/>
              </w:rPr>
            </w:pPr>
            <w:r>
              <w:rPr>
                <w:rFonts w:ascii="Arial" w:cs="Arial" w:eastAsia="Arial" w:hAnsi="Arial"/>
                <w:sz w:val="18"/>
                <w:szCs w:val="18"/>
                <w:b w:val="1"/>
                <w:bCs w:val="1"/>
                <w:color w:val="auto"/>
              </w:rPr>
              <w:t>Basic and Diluted</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45,317,042</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12,886,741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Balance - January 1, 2018 Stock-based compensation Stock options exercised Net loss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Balance - March 31, 2018</w:t>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CONDENSED CONSOLIDATED STATEMENT OF CHANGES IN</w:t>
      </w:r>
    </w:p>
    <w:p>
      <w:pPr>
        <w:spacing w:after="0" w:line="9"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Additional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5"/>
        </w:trPr>
        <w:tc>
          <w:tcPr>
            <w:tcW w:w="156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Voting</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right"/>
              <w:ind w:right="730"/>
              <w:spacing w:after="0" w:line="205" w:lineRule="exact"/>
              <w:rPr>
                <w:sz w:val="20"/>
                <w:szCs w:val="20"/>
                <w:color w:val="auto"/>
              </w:rPr>
            </w:pPr>
            <w:r>
              <w:rPr>
                <w:rFonts w:ascii="Arial" w:cs="Arial" w:eastAsia="Arial" w:hAnsi="Arial"/>
                <w:sz w:val="18"/>
                <w:szCs w:val="18"/>
                <w:b w:val="1"/>
                <w:bCs w:val="1"/>
                <w:color w:val="auto"/>
              </w:rPr>
              <w:t>Non-Voting</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70"/>
              <w:spacing w:after="0" w:line="205"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411"/>
        </w:trPr>
        <w:tc>
          <w:tcPr>
            <w:tcW w:w="1200" w:type="dxa"/>
            <w:vAlign w:val="bottom"/>
          </w:tcPr>
          <w:p>
            <w:pPr>
              <w:jc w:val="right"/>
              <w:spacing w:after="0"/>
              <w:rPr>
                <w:sz w:val="20"/>
                <w:szCs w:val="20"/>
                <w:color w:val="auto"/>
              </w:rPr>
            </w:pPr>
            <w:r>
              <w:rPr>
                <w:rFonts w:ascii="Arial" w:cs="Arial" w:eastAsia="Arial" w:hAnsi="Arial"/>
                <w:sz w:val="18"/>
                <w:szCs w:val="18"/>
                <w:color w:val="auto"/>
              </w:rPr>
              <w:t>36,725,499</w:t>
            </w:r>
          </w:p>
        </w:tc>
        <w:tc>
          <w:tcPr>
            <w:tcW w:w="16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3,673</w:t>
            </w: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8,591,160</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191,022,018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(150,693,793)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40,332,757</w:t>
            </w:r>
          </w:p>
        </w:tc>
      </w:tr>
      <w:tr>
        <w:trPr>
          <w:trHeight w:val="216"/>
        </w:trPr>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514,784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514,784</w:t>
            </w:r>
          </w:p>
        </w:tc>
      </w:tr>
      <w:tr>
        <w:trPr>
          <w:trHeight w:val="230"/>
        </w:trPr>
        <w:tc>
          <w:tcPr>
            <w:tcW w:w="120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(17,822,142)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(17,822,142)</w:t>
            </w:r>
          </w:p>
        </w:tc>
      </w:tr>
      <w:tr>
        <w:trPr>
          <w:trHeight w:val="223"/>
        </w:trPr>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36,726,084</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3,673</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8,591,160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191,536,802</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(168,515,935)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23,025,399</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-736600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1940" w:space="140"/>
            <w:col w:w="9340"/>
          </w:cols>
          <w:pgMar w:left="240" w:top="22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r>
      <w:tr>
        <w:trPr>
          <w:trHeight w:val="515"/>
        </w:trPr>
        <w:tc>
          <w:tcPr>
            <w:tcW w:w="8240" w:type="dxa"/>
            <w:vAlign w:val="bottom"/>
          </w:tcPr>
          <w:p>
            <w:pPr>
              <w:jc w:val="center"/>
              <w:ind w:left="3110"/>
              <w:spacing w:after="0"/>
              <w:rPr>
                <w:sz w:val="20"/>
                <w:szCs w:val="20"/>
                <w:color w:val="auto"/>
              </w:rPr>
            </w:pPr>
            <w:r>
              <w:rPr>
                <w:rFonts w:ascii="Arial" w:cs="Arial" w:eastAsia="Arial" w:hAnsi="Arial"/>
                <w:sz w:val="18"/>
                <w:szCs w:val="18"/>
                <w:b w:val="1"/>
                <w:bCs w:val="1"/>
                <w:color w:val="auto"/>
              </w:rPr>
              <w:t>ADMA BIOLOGICS, INC.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r>
      <w:tr>
        <w:trPr>
          <w:trHeight w:val="216"/>
        </w:trPr>
        <w:tc>
          <w:tcPr>
            <w:tcW w:w="850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240" w:type="dxa"/>
            <w:vAlign w:val="bottom"/>
          </w:tcPr>
          <w:p>
            <w:pPr>
              <w:jc w:val="center"/>
              <w:ind w:left="309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6"/>
        </w:trPr>
        <w:tc>
          <w:tcPr>
            <w:tcW w:w="8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(17,822,142)</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(6,536,963)</w:t>
            </w: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829,541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118,062</w:t>
            </w: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4,155</w:t>
            </w: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514,784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235,877</w:t>
            </w: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Amortization of debt discount</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255,847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190,253</w:t>
            </w: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license revenue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(35,708)</w:t>
            </w: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acquisition:</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222,552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178,089</w:t>
            </w: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189,379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(288,346)</w:t>
            </w: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(432,932)</w:t>
            </w: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1,339,764</w:t>
            </w: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88,640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(160,637)</w:t>
            </w:r>
          </w:p>
        </w:tc>
      </w:tr>
      <w:tr>
        <w:trPr>
          <w:trHeight w:val="230"/>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207,736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(7,640)</w:t>
            </w:r>
          </w:p>
        </w:tc>
      </w:tr>
      <w:tr>
        <w:trPr>
          <w:trHeight w:val="210"/>
        </w:trPr>
        <w:tc>
          <w:tcPr>
            <w:tcW w:w="8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(16,434,114)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(5,398,426)</w:t>
            </w:r>
          </w:p>
        </w:tc>
      </w:tr>
      <w:tr>
        <w:trPr>
          <w:trHeight w:val="210"/>
        </w:trPr>
        <w:tc>
          <w:tcPr>
            <w:tcW w:w="8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Sales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Purchase of property and equipment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payments on notes payable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Payments of leasehold improvement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cash and cash equivalents</w:t>
      </w:r>
    </w:p>
    <w:p>
      <w:pPr>
        <w:spacing w:after="0" w:line="27" w:lineRule="exact"/>
        <w:rPr>
          <w:sz w:val="20"/>
          <w:szCs w:val="20"/>
          <w:color w:val="auto"/>
        </w:rPr>
      </w:pPr>
    </w:p>
    <w:p>
      <w:pPr>
        <w:ind w:right="1860"/>
        <w:spacing w:after="0" w:line="380" w:lineRule="auto"/>
        <w:rPr>
          <w:sz w:val="20"/>
          <w:szCs w:val="20"/>
          <w:color w:val="auto"/>
        </w:rPr>
      </w:pPr>
      <w:r>
        <w:rPr>
          <w:rFonts w:ascii="Arial" w:cs="Arial" w:eastAsia="Arial" w:hAnsi="Arial"/>
          <w:sz w:val="15"/>
          <w:szCs w:val="15"/>
          <w:b w:val="1"/>
          <w:bCs w:val="1"/>
          <w:color w:val="auto"/>
        </w:rPr>
        <w:t>Cash and cash equivalents, including restricted cash - beginning of period Cash and cash equivalents, including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5,145,184</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(549,246)</w:t>
      </w:r>
      <w:r>
        <w:rPr>
          <w:rFonts w:ascii="Arial" w:cs="Arial" w:eastAsia="Arial" w:hAnsi="Arial"/>
          <w:sz w:val="17"/>
          <w:szCs w:val="17"/>
          <w:color w:val="auto"/>
        </w:rPr>
        <w:t>(3,584)</w:t>
      </w:r>
    </w:p>
    <w:p>
      <w:pPr>
        <w:spacing w:after="0" w:line="23" w:lineRule="exact"/>
        <w:rPr>
          <w:sz w:val="20"/>
          <w:szCs w:val="20"/>
          <w:color w:val="auto"/>
        </w:rPr>
      </w:pPr>
    </w:p>
    <w:p>
      <w:pPr>
        <w:ind w:left="720"/>
        <w:spacing w:after="0"/>
        <w:tabs>
          <w:tab w:leader="none" w:pos="2340" w:val="left"/>
        </w:tabs>
        <w:rPr>
          <w:sz w:val="20"/>
          <w:szCs w:val="20"/>
          <w:color w:val="auto"/>
        </w:rPr>
      </w:pPr>
      <w:r>
        <w:rPr>
          <w:rFonts w:ascii="Arial" w:cs="Arial" w:eastAsia="Arial" w:hAnsi="Arial"/>
          <w:sz w:val="18"/>
          <w:szCs w:val="18"/>
          <w:color w:val="auto"/>
        </w:rPr>
        <w:t>(549,246)</w:t>
      </w:r>
      <w:r>
        <w:rPr>
          <w:sz w:val="20"/>
          <w:szCs w:val="20"/>
          <w:color w:val="auto"/>
        </w:rPr>
        <w:tab/>
      </w:r>
      <w:r>
        <w:rPr>
          <w:rFonts w:ascii="Arial" w:cs="Arial" w:eastAsia="Arial" w:hAnsi="Arial"/>
          <w:sz w:val="18"/>
          <w:szCs w:val="18"/>
          <w:color w:val="auto"/>
        </w:rPr>
        <w:t>5,141,600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(1,111,111)</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w:t>
            </w:r>
          </w:p>
        </w:tc>
      </w:tr>
      <w:tr>
        <w:trPr>
          <w:trHeight w:val="210"/>
        </w:trPr>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(1,115,113)</w:t>
            </w:r>
          </w:p>
        </w:tc>
      </w:tr>
      <w:tr>
        <w:trPr>
          <w:trHeight w:val="425"/>
        </w:trPr>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(16,987,737)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(1,371,939)</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48,607,574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9,914,867</w:t>
            </w:r>
          </w:p>
        </w:tc>
      </w:tr>
      <w:tr>
        <w:trPr>
          <w:trHeight w:val="223"/>
        </w:trPr>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31,619,837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8,542,928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520" w:space="720"/>
            <w:col w:w="3180"/>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8" w:name="page9"/>
    <w:bookmarkEnd w:id="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rFonts w:ascii="Arial" w:cs="Arial" w:eastAsia="Arial" w:hAnsi="Arial"/>
          <w:sz w:val="18"/>
          <w:szCs w:val="18"/>
          <w:b w:val="1"/>
          <w:bCs w:val="1"/>
          <w:color w:val="auto"/>
        </w:rPr>
      </w:pPr>
    </w:p>
    <w:p>
      <w:pPr>
        <w:ind w:left="340"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ADMA Biologics, Inc. (“ADMA” or the “Company”) is a vertically integrated commercial biopharmaceutical company that manufactures, markets and develops specialty plasma-derived biologics for the treatment of Primary Immune Deficiency Disease (“PIDD”) and the prevention and treatment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BioCenters”). ADMA BioManufacturing was formed in January 2017 to facilitate the acquisition of the Biotest Therapy Business Unit (“BTBU”) of Biotest Pharmaceuticals Corporation (“BPC” and, together with Biotest AG, “Biotest”) as more fully described below. ADMA BioCenters is the Company’s source plasma collection business, with facilities located in Norcross, GA, Marietta, GA and Kennesaw, GA. Both the Norcross and Marietta, GA facilities have approved licenses with the U.S. Food and Drug Administration (the “FDA”) and certifications from the German Health Authority (the “GHA”) and the Korean Ministry of Food and Drug Safety, and the Company filed a Biologics License Application (“BLA”) with the FDA for its Kennesaw, GA facility in December 2017 and, pending FDA approval, this facility is expected to be approved during the second half of 2018. ADMA BioCenters supplies ADMA with a portion of its raw material plasma for the manufacture of RI-002, ADMA’s lead pipeline product candidate, which the Company is currently developing for the treatment of PIDD.</w:t>
      </w:r>
    </w:p>
    <w:p>
      <w:pPr>
        <w:spacing w:after="0" w:line="187" w:lineRule="exact"/>
        <w:rPr>
          <w:rFonts w:ascii="Arial" w:cs="Arial" w:eastAsia="Arial" w:hAnsi="Arial"/>
          <w:sz w:val="18"/>
          <w:szCs w:val="18"/>
          <w:b w:val="1"/>
          <w:bCs w:val="1"/>
          <w:color w:val="auto"/>
        </w:rPr>
      </w:pPr>
    </w:p>
    <w:p>
      <w:pPr>
        <w:jc w:val="both"/>
        <w:ind w:left="34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discussed in Note 3, on June 6, 2017, ADMA completed the acquisition of certain assets (the “Biotest Assets”) of BTBU, which include two FDA-licensed products, Nabi-HB (Hepatitis B Immune Globulin, Human) and Bivigam (Immune Globulin Intravenous, Human), and a plasma fractionation facility located in Boca Raton, FL (the “Boca Facility”) (the “Biotest Transaction”). In addition to Nabi-HB and Bivigam, BTBU also provides contract manufacturing services for certain clients, including the sale of intermediate by-products. The Boca Facility is FDA-licensed and certified by the GHA. Immediately following the closing of the Biotest Transaction, the Biotest Assets were contributed into ADMA BioManufacturing.</w:t>
      </w:r>
    </w:p>
    <w:p>
      <w:pPr>
        <w:spacing w:after="0" w:line="158" w:lineRule="exact"/>
        <w:rPr>
          <w:rFonts w:ascii="Arial" w:cs="Arial" w:eastAsia="Arial" w:hAnsi="Arial"/>
          <w:sz w:val="18"/>
          <w:szCs w:val="18"/>
          <w:b w:val="1"/>
          <w:bCs w:val="1"/>
          <w:color w:val="auto"/>
        </w:rPr>
      </w:pPr>
    </w:p>
    <w:p>
      <w:pPr>
        <w:ind w:left="34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Nabi-HB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Under ADMA’s leadership, the production of Nabi-HB resumed during the third quarter of 2017, with subsequent commercial sales.</w:t>
      </w:r>
    </w:p>
    <w:p>
      <w:pPr>
        <w:spacing w:after="0" w:line="171"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Bivigam is indicated for the treatment of primary humoral immunodeficiency. FDA approval for Bivigam was received on December 19, 2012, and sales commenced in the first quarter of 2013. In December 2016, Biotest temporarily suspended the commercial production of Bivigam in order to focus on the completion of planned improvements to the manufacturing process. ADMA resumed production of Bivigam during the fourth quarter of 2017. The Bivigam inventory currently being produced will be used in conjunction with a Prior Approval Supplement (the “PAS”), which is expected to be filed with the FDA during the first half of 2018. Upon approval of the PAS by the FDA, the Company intends to relaunch Bivigam. This relaunch is expected to take place no earlier than the second half of 2018.</w:t>
      </w:r>
    </w:p>
    <w:p>
      <w:pPr>
        <w:spacing w:after="0" w:line="193" w:lineRule="exact"/>
        <w:rPr>
          <w:rFonts w:ascii="Arial" w:cs="Arial" w:eastAsia="Arial" w:hAnsi="Arial"/>
          <w:sz w:val="18"/>
          <w:szCs w:val="18"/>
          <w:b w:val="1"/>
          <w:bCs w:val="1"/>
          <w:color w:val="auto"/>
        </w:rPr>
      </w:pPr>
    </w:p>
    <w:p>
      <w:pPr>
        <w:ind w:left="34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Prior to the closing of the Biotest Transaction, BTBU was the Company’s third-party manufacturer for RI-002. In the third quarter of 2015, the FDA accepted for review the Company’s BLA for RI-002 (the “RI-002 BLA”) for the treatment of PIDD. In July 2016, the FDA issued a Complete Response Letter (the “CRL”) to the Company for the RI-002 BLA. Although the CRL did not cite any concerns with the clinical safety or efficacy data for RI-002 submitted in the RI-002 BLA, nor did the FDA request any additional clinical studies be completed prior to FDA approval of RI-002, the CRL reaffirmed the issues set forth in the November 2014 warning letter (the “Warning Letter”) that had been issued by the FDA to Biotest related to certain compliance issues identified at the Boca Facility, and also identified certain outstanding inspection issues and deficiencies at the Boca Facility and certain of the Company’s third-party vendors, and requested documentation of corrections for a number of these issues. The FDA indicated in the CRL that it cannot grant final approval of the BLA until, among other things, these deficiencies are resolved. Upon the completion of the Biotest Transaction, ADMA gained control over the regulatory, quality, general operations and drug substance manufacturing process at the Boca Facility, and the Company’s highest priority has been the remediation of the outstanding compliance issues that were identified at the Boca Facility in the Warning Letter. The Company has been working with a consulting firm consisting of quality management systems and biologics production subject matter experts in order to improve the FDA inspection classification relative to the Warning Letter compliance issues as indicated in the CRL. The Company anticipates that it will be in a position to refile the RI-002 BLA in the second half of 2018 and, pending FDA approval, ADMA anticipates initial commercial sales of RI-002 to occur no earlier than the first half of 2019.</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of March 31, 2018, the Company had working capital of $37.0 million, including $26.1 million of cash and cash equivalents. Based upon the Company’s current projected revenue and expenditures for 2018, including capital expenditures and regulatory and consulting fees for the remediation of the Warning Letter and ongoing discussions with the FDA, as well as continuing implementation of the Company’s commercialization and expansion activities and certain other assumptions, the Company’s management currently believes that its cash, cash equivalents, projected revenue and accounts receivable, along with the $10.0 million it expects to be able to access under its senior credit facility, will be sufficient to fund ADMA’s operations, as currently conducted, into the fourth quarter of 2018. In order to have sufficient cash to fund its operations thereafter and to continue as a going concern, the Company will need to raise capital prior to the end of 2018. These estimates may change based upon how quickly the Company is able to execute on its quality management systems’ remediation plans for the ADMA BioManufacturing operations, timing of receipt of communications, determinations and feedback from the FDA regarding inspectional outcomes and remediation activities undertaken to date, commercial manufacturing ramp-up activities and the various financing options available to the Company. The Company currently has no firm commitments for additional financing, and there can be no assurances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Due to numerous risks and uncertainties associated with ongoing remediation efforts, the research and development and potential future commercialization of its products and product candidates, the Company is unable to estimate with certainty the amounts of increased capital outlays and operating expenditures associated with its development activities. The Company’s current estimates may be subject to change as circumstances regarding its business requirements evolve. The Company may decide to raise capital through public or private equity offerings or debt financings, or obtain a bank credit facility or corporate collaboration and licensing arrangements. The sale of additional equity or debt securities, if convertible, could result in dilution to the Company’s stockholders and, in such event, the value and potential future market price of its common stock may decline. The incurrence of indebtedness would result in increased fixed obligations and could also result in covenants that would restrict the Company’s operations or other financing alternatives.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losses since inception in June 2004 through March 31, 2018 of $168.5 million. Management believes that the Company will continue to incur net losses and negative net cash flows from operating activities to fund its research and development, commercial programs and meet its obligations on a timely basis through the foreseeable future. As such, these factors raise substantial doubt about the Company’s ability to continue as a going concern. The accompanying condensed consolidated financial statements do not include any adjustments related to the recoverability and classification of asset carrying amounts and the classification of liabilities that might be necessary from the outcome of this uncertainty.</w:t>
      </w:r>
    </w:p>
    <w:p>
      <w:pPr>
        <w:spacing w:after="0" w:line="16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There can be no assurance that the Company’s research and development will be successfully completed or that any product will be approved or commercially viable. The Company is subject to risks common to companies in the biotechnology industry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27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5" w:lineRule="exact"/>
        <w:rPr>
          <w:sz w:val="20"/>
          <w:szCs w:val="20"/>
          <w:color w:val="auto"/>
        </w:rPr>
      </w:pPr>
    </w:p>
    <w:p>
      <w:pPr>
        <w:ind w:left="340" w:right="6400" w:hanging="332"/>
        <w:spacing w:after="0" w:line="503"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u w:val="single" w:color="auto"/>
          <w:color w:val="auto"/>
        </w:rPr>
        <w:t>Basis of presentation</w:t>
      </w:r>
    </w:p>
    <w:p>
      <w:pPr>
        <w:ind w:left="3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6" w:lineRule="exact"/>
        <w:rPr>
          <w:rFonts w:ascii="Arial" w:cs="Arial" w:eastAsia="Arial" w:hAnsi="Arial"/>
          <w:sz w:val="18"/>
          <w:szCs w:val="18"/>
          <w:b w:val="1"/>
          <w:bCs w:val="1"/>
          <w:color w:val="auto"/>
        </w:rPr>
      </w:pPr>
    </w:p>
    <w:p>
      <w:pPr>
        <w:ind w:left="340" w:right="1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should be read in conjunction with the annual audited consolidated financial statements and related notes thereto as of and for the year ended December 31, 2017 included in the Company’s Annual Report on Form 10-K filed with the U.S. Securities and Exchange Commission (the “SEC”) on March 29, 2018. These condensed consolidated interim financial statements have been prepared in accordance with the instructions to Form 10-Q and Article 8 of Regulation S-X, and therefore omit or condense certain footnotes and other information normally included in consolidated interim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March 31, 2018 and its results of operations for the three and ended March 31, 2018 and 2017 and cash flows for the three months ended March 31, 2018 and 2017.</w:t>
      </w:r>
    </w:p>
    <w:p>
      <w:pPr>
        <w:spacing w:after="0" w:line="166" w:lineRule="exact"/>
        <w:rPr>
          <w:rFonts w:ascii="Arial" w:cs="Arial" w:eastAsia="Arial" w:hAnsi="Arial"/>
          <w:sz w:val="18"/>
          <w:szCs w:val="18"/>
          <w:b w:val="1"/>
          <w:bCs w:val="1"/>
          <w:color w:val="auto"/>
        </w:rPr>
      </w:pPr>
    </w:p>
    <w:p>
      <w:pPr>
        <w:ind w:left="340" w:right="1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During the three months ended March 31, 2018 and 2017, comprehensive loss was equal to the net loss amounts presented for the respective periods in the accompanying condensed consolidated interim statements of operations. In addition, certain prior year balances have been reclassified to conform to the current presentation. Specifically, the change in the Company’s deferred rent liability in the accompanying statement of cash flows for the three months ended March 31, 2017 has been reclassified to changes in other current and non-current liabilities. Operating results for the three months ended March 31, 2018 are not necessarily indicative of the results that may be expected for the full year ending December 31, 2018.</w:t>
      </w:r>
    </w:p>
    <w:p>
      <w:pPr>
        <w:spacing w:after="0" w:line="1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Use of estimates</w:t>
      </w:r>
    </w:p>
    <w:p>
      <w:pPr>
        <w:spacing w:after="0" w:line="225" w:lineRule="exact"/>
        <w:rPr>
          <w:rFonts w:ascii="Arial" w:cs="Arial" w:eastAsia="Arial" w:hAnsi="Arial"/>
          <w:sz w:val="18"/>
          <w:szCs w:val="18"/>
          <w:b w:val="1"/>
          <w:bCs w:val="1"/>
          <w:color w:val="auto"/>
        </w:rPr>
      </w:pPr>
    </w:p>
    <w:p>
      <w:pPr>
        <w:ind w:left="34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fair value of assets acquired and liabilities assumed in a business combination, the valuation of inventory and assumptions used in the fair value determination of stock-based compensation and the allowance for the valuation of future tax benefits.</w:t>
      </w:r>
    </w:p>
    <w:p>
      <w:pPr>
        <w:spacing w:after="0" w:line="18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34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accounts for business combinations using the acquisition method of accounting in accordance with FASB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Identifiable assets acquired, liabilities assumed, and contingent consideration are recorded at their acquisition date fair values. Any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fair value of the acquisition-related contingent consideration subsequent to the acquisition date, including changes from events after the acquisition date, will be recognized in the period of the estimated fair value change. Goodwill represents the excess of the purchase price over the fair value of identifiable assets acquired and liabilities assumed as a result of the business combination. Identifiable assets with finite lives are amortized over their useful lives. Acquisition related costs are expensed as incurred.</w:t>
      </w:r>
    </w:p>
    <w:p>
      <w:pPr>
        <w:spacing w:after="0" w:line="17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rFonts w:ascii="Arial" w:cs="Arial" w:eastAsia="Arial" w:hAnsi="Arial"/>
          <w:sz w:val="18"/>
          <w:szCs w:val="18"/>
          <w:b w:val="1"/>
          <w:bCs w:val="1"/>
          <w:color w:val="auto"/>
        </w:rPr>
      </w:pPr>
    </w:p>
    <w:p>
      <w:pPr>
        <w:ind w:left="3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carrying amounts of certain of the Company’s financial instruments, including cash and cash equivalents and accounts payable, are shown at cost which approximates fair value due to the short-term nature of these instruments. The debt outstanding under the Company’s senior secured term loan (see Note 4) approximates fair value due to the variable interest rate on this debt. With respect to the related party note payable in the amount of $15.0 million as of March 31, 2018 (see Note 4), which is held by a principal stockholder of the Company and was issued concurrent with an acquisition transaction with such stockholder, the Company has concluded that an estimation of fair value for this note is not practicable.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Accounts receivable are reported at realizable value, net of allowances for contractual credits and doubtful accounts, which are recognized in the period the related revenue is recorded. At March 31, 2018, three customers accounted for approximately 84% of the Company’s total accounts receivable, and at December 31, 2017, two customers accounted for approximately 79% of the Company’s total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research and development and future anticipated commercialization activities, are carried at the lower of cost or net realizable value determined by the first-in, first-out method. Research and development plasma used in clinical trials is processed to a finished product and subsequently expensed to research and development.</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Although the Company expects that the Bivigam inventory produced during 2017 and 2018 will ultimately be available for commercial sale, due to uncertainties surrounding the timing and outcome of any FDA determinations concerning the Warning Letter and the PAS related to improvements in the manufacturing process that must be filed with and approved by the FDA prior to this inventory being available for commercial sale, all costs related to the production of Bivigam during the three months ended March 31, 2018 in the amount of $1.1 million have been charged to cost of product revenue in the accompanying consolidated statement of operations. In addition, the costs related to the manufacture of conformance lots of RI-002 during the three months ended March 31, 2018 in the amount of $2.5 million were also charged to cost of product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March 31, 2018 and December 31, 2017 was $3.5 million. All of the Company’s goodwill is attributable to its ADMA BioManufacturing business segment.</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however the impairment loss recognized would not exceed the total amount of goodwill allocated to that reporting unit. The Company performs its annual goodwill impairment test as of October 1 of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three months ended March 31, 2018 and 2017, the Company determined that there was no impairment of its long-lived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 For sales of intermediates, title typically transfers when the product is delivered to a third party warehouse. With all other contract manufacturing, the title transfers to the customer when they take possession of the product from the Boca Facility. As the Company maintains a significant risk of loss throughout the contract manufacturing process, contract manufacturing revenue is not recognized until the product is released and title transfers to the customer.</w:t>
      </w: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left="8" w:right="200"/>
        <w:spacing w:after="0" w:line="277"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of transfer of title and risk of loss to the customer, which generally occurs at the time of delivery.</w:t>
      </w:r>
    </w:p>
    <w:p>
      <w:pPr>
        <w:spacing w:after="0" w:line="170" w:lineRule="exact"/>
        <w:rPr>
          <w:sz w:val="20"/>
          <w:szCs w:val="20"/>
          <w:color w:val="auto"/>
        </w:rPr>
      </w:pPr>
    </w:p>
    <w:p>
      <w:pPr>
        <w:ind w:left="8" w:right="100"/>
        <w:spacing w:after="0" w:line="257" w:lineRule="auto"/>
        <w:rPr>
          <w:sz w:val="20"/>
          <w:szCs w:val="20"/>
          <w:color w:val="auto"/>
        </w:rPr>
      </w:pPr>
      <w:r>
        <w:rPr>
          <w:rFonts w:ascii="Arial" w:cs="Arial" w:eastAsia="Arial" w:hAnsi="Arial"/>
          <w:sz w:val="18"/>
          <w:szCs w:val="18"/>
          <w:color w:val="auto"/>
        </w:rPr>
        <w:t>License and other revenues are primarily attributable to the out-licensing of RI-002 to Biotest to market and sell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20 years, the term of the Biotest license agreement.</w:t>
      </w:r>
    </w:p>
    <w:p>
      <w:pPr>
        <w:spacing w:after="0" w:line="188" w:lineRule="exact"/>
        <w:rPr>
          <w:sz w:val="20"/>
          <w:szCs w:val="20"/>
          <w:color w:val="auto"/>
        </w:rPr>
      </w:pPr>
    </w:p>
    <w:p>
      <w:pPr>
        <w:ind w:left="8" w:right="40"/>
        <w:spacing w:after="0" w:line="259" w:lineRule="auto"/>
        <w:rPr>
          <w:sz w:val="20"/>
          <w:szCs w:val="20"/>
          <w:color w:val="auto"/>
        </w:rPr>
      </w:pPr>
      <w:r>
        <w:rPr>
          <w:rFonts w:ascii="Arial" w:cs="Arial" w:eastAsia="Arial" w:hAnsi="Arial"/>
          <w:sz w:val="18"/>
          <w:szCs w:val="18"/>
          <w:color w:val="auto"/>
        </w:rPr>
        <w:t>For the three months ended March 31, 2018, three customers represented 90% of the Company’s consolidated revenues, with BPC representing 58% of the Company’s consolidated revenues and the other two customers representing 32% of the Company’s consolidated revenues. For the three months ended March 31, 2017, sales to BPC represented 81% of the Company’s consolidated revenues, and another customer represented 17% of the Company’s consolidated revenues.</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left="8" w:right="140"/>
        <w:spacing w:after="0" w:line="273" w:lineRule="auto"/>
        <w:rPr>
          <w:sz w:val="20"/>
          <w:szCs w:val="20"/>
          <w:color w:val="auto"/>
        </w:rPr>
      </w:pPr>
      <w:r>
        <w:rPr>
          <w:rFonts w:ascii="Arial" w:cs="Arial" w:eastAsia="Arial" w:hAnsi="Arial"/>
          <w:sz w:val="17"/>
          <w:szCs w:val="17"/>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three months ended March 31, 2018 in the approximate amount of $0.7 million are expensed as incurred and are reflected in cost of product revenue in the accompanying consolidated statements of operations. In addition, for the three months ended March 31, 2018, all operating expenses associated with the Boca Facility, other than the Nabi-HB production that was capitalized into inventory, have been expensed as incurred.</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left="8" w:right="140"/>
        <w:spacing w:after="0" w:line="291" w:lineRule="auto"/>
        <w:rPr>
          <w:sz w:val="20"/>
          <w:szCs w:val="20"/>
          <w:color w:val="auto"/>
        </w:rPr>
      </w:pPr>
      <w:r>
        <w:rPr>
          <w:rFonts w:ascii="Arial" w:cs="Arial" w:eastAsia="Arial" w:hAnsi="Arial"/>
          <w:sz w:val="16"/>
          <w:szCs w:val="16"/>
          <w:color w:val="auto"/>
        </w:rPr>
        <w:t>Basic net loss per share is computed by dividing net loss attributable to common stockholders by the weighted average number of shares of common stock outstanding during the period. For purposes of computing basic and diluted loss per share, the non-voting class of common stock (see Notes 3 and</w:t>
      </w:r>
    </w:p>
    <w:p>
      <w:pPr>
        <w:ind w:left="8" w:right="320" w:hanging="8"/>
        <w:spacing w:after="0" w:line="261" w:lineRule="auto"/>
        <w:tabs>
          <w:tab w:leader="none" w:pos="2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included in the common stock outstanding as the characteristics of the non-voting class are substantially the same as the voting class of common stock.</w:t>
      </w:r>
    </w:p>
    <w:p>
      <w:pPr>
        <w:spacing w:after="0" w:line="184" w:lineRule="exact"/>
        <w:rPr>
          <w:sz w:val="20"/>
          <w:szCs w:val="20"/>
          <w:color w:val="auto"/>
        </w:rPr>
      </w:pPr>
    </w:p>
    <w:p>
      <w:pPr>
        <w:ind w:left="8" w:right="100"/>
        <w:spacing w:after="0" w:line="272" w:lineRule="auto"/>
        <w:rPr>
          <w:sz w:val="20"/>
          <w:szCs w:val="20"/>
          <w:color w:val="auto"/>
        </w:rPr>
      </w:pPr>
      <w:r>
        <w:rPr>
          <w:rFonts w:ascii="Arial" w:cs="Arial" w:eastAsia="Arial" w:hAnsi="Arial"/>
          <w:sz w:val="17"/>
          <w:szCs w:val="17"/>
          <w:color w:val="auto"/>
        </w:rPr>
        <w:t>Diluted net loss per share is calculated by dividing net loss attributable to common stockholders as adjusted for the effect of dilutive securities, if any, by the weighted average number of shares of common stock, including the non-voting class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three months ended March 31, 2018 and 2017, the following securities were excluded from the calculation of diluted loss per common share because of their anti-dilutive effects:</w:t>
      </w:r>
    </w:p>
    <w:p>
      <w:pPr>
        <w:spacing w:after="0" w:line="27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22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tcPr>
          <w:p>
            <w:pPr>
              <w:ind w:left="660"/>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340"/>
        </w:trPr>
        <w:tc>
          <w:tcPr>
            <w:tcW w:w="1380" w:type="dxa"/>
            <w:vAlign w:val="bottom"/>
          </w:tcPr>
          <w:p>
            <w:pPr>
              <w:spacing w:after="0"/>
              <w:rPr>
                <w:sz w:val="24"/>
                <w:szCs w:val="24"/>
                <w:color w:val="auto"/>
              </w:rPr>
            </w:pPr>
          </w:p>
        </w:tc>
        <w:tc>
          <w:tcPr>
            <w:tcW w:w="80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ADMA BIOLOGICS, INC. AND SUBSIDIARIES</w:t>
            </w:r>
          </w:p>
        </w:tc>
        <w:tc>
          <w:tcPr>
            <w:tcW w:w="6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80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54"/>
        </w:trPr>
        <w:tc>
          <w:tcPr>
            <w:tcW w:w="13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300" w:type="dxa"/>
            <w:vAlign w:val="bottom"/>
            <w:gridSpan w:val="5"/>
          </w:tcPr>
          <w:p>
            <w:pPr>
              <w:spacing w:after="0"/>
              <w:rPr>
                <w:sz w:val="20"/>
                <w:szCs w:val="20"/>
                <w:color w:val="auto"/>
              </w:rPr>
            </w:pPr>
            <w:r>
              <w:rPr>
                <w:rFonts w:ascii="Arial" w:cs="Arial" w:eastAsia="Arial" w:hAnsi="Arial"/>
                <w:sz w:val="18"/>
                <w:szCs w:val="18"/>
                <w:b w:val="1"/>
                <w:bCs w:val="1"/>
                <w:color w:val="auto"/>
                <w:w w:val="98"/>
              </w:rPr>
              <w:t>For the Three Months Ended March 31,</w:t>
            </w:r>
          </w:p>
        </w:tc>
      </w:tr>
      <w:tr>
        <w:trPr>
          <w:trHeight w:val="223"/>
        </w:trPr>
        <w:tc>
          <w:tcPr>
            <w:tcW w:w="138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r>
      <w:tr>
        <w:trPr>
          <w:trHeight w:val="210"/>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4,127,950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1,691,123</w:t>
            </w:r>
          </w:p>
        </w:tc>
        <w:tc>
          <w:tcPr>
            <w:tcW w:w="2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Warrants</w:t>
            </w:r>
          </w:p>
        </w:tc>
        <w:tc>
          <w:tcPr>
            <w:tcW w:w="7800" w:type="dxa"/>
            <w:vAlign w:val="bottom"/>
            <w:gridSpan w:val="2"/>
          </w:tcPr>
          <w:p>
            <w:pPr>
              <w:jc w:val="right"/>
              <w:ind w:right="10"/>
              <w:spacing w:after="0"/>
              <w:rPr>
                <w:sz w:val="20"/>
                <w:szCs w:val="20"/>
                <w:color w:val="auto"/>
              </w:rPr>
            </w:pPr>
            <w:r>
              <w:rPr>
                <w:rFonts w:ascii="Arial" w:cs="Arial" w:eastAsia="Arial" w:hAnsi="Arial"/>
                <w:sz w:val="18"/>
                <w:szCs w:val="18"/>
                <w:color w:val="auto"/>
              </w:rPr>
              <w:t>528,160</w:t>
            </w:r>
          </w:p>
        </w:tc>
        <w:tc>
          <w:tcPr>
            <w:tcW w:w="2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188,859</w:t>
            </w:r>
          </w:p>
        </w:tc>
        <w:tc>
          <w:tcPr>
            <w:tcW w:w="260" w:type="dxa"/>
            <w:vAlign w:val="bottom"/>
          </w:tcPr>
          <w:p>
            <w:pPr>
              <w:spacing w:after="0"/>
              <w:rPr>
                <w:sz w:val="19"/>
                <w:szCs w:val="19"/>
                <w:color w:val="auto"/>
              </w:rPr>
            </w:pPr>
          </w:p>
        </w:tc>
      </w:tr>
      <w:tr>
        <w:trPr>
          <w:trHeight w:val="223"/>
        </w:trPr>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64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4,656,110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1,879,982</w:t>
            </w:r>
          </w:p>
        </w:tc>
        <w:tc>
          <w:tcPr>
            <w:tcW w:w="2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follows recognized accounting guidance which requires all equity-based payments, including grants of stock options, to be recognized in the statements of operations as compensation expense based on their fair values at the date of grant. The Company uses the Black-Scholes option pricing model to determine the fair value of options granted. Compensation expense related to awards to employees and directors with service-based vesting conditions is recognized on a straight-line basis based on the grant date fair value over the associated service period of the award, which is generally the vesting term (see Note 5).</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months ended March 31, 2018 and 2017, the Company granted stock options to purchase 848,700 and 182,000 shares of common stock, respectively, to its directors and employees, and during the three months ended March 31, 2018, the Company granted stock options to purchase 20,000 shares of common stock to a third party service provider.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Modification Accounting for Share-Based Payment Arrangements</w:t>
      </w:r>
      <w:r>
        <w:rPr>
          <w:rFonts w:ascii="Arial" w:cs="Arial" w:eastAsia="Arial" w:hAnsi="Arial"/>
          <w:sz w:val="18"/>
          <w:szCs w:val="18"/>
          <w:color w:val="auto"/>
        </w:rPr>
        <w:t>,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Early adoption is permitted, including adoption in any interim period. Adoption of this new guidance in 2018 did not have a material impact on the Company’s condensed consolidated financial statements.</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The Company is currently evaluating the impact the standard may have on its condensed consolidated financial statements and related disclosures.</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April 2016 and December 2016, the FASB issued ASU No. 2016-08, </w:t>
      </w:r>
      <w:r>
        <w:rPr>
          <w:rFonts w:ascii="Arial" w:cs="Arial" w:eastAsia="Arial" w:hAnsi="Arial"/>
          <w:sz w:val="17"/>
          <w:szCs w:val="17"/>
          <w:i w:val="1"/>
          <w:iCs w:val="1"/>
          <w:color w:val="auto"/>
        </w:rPr>
        <w:t>Revenue From Contracts with Customers (ASC 606): 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Versus Agent Considerations</w:t>
      </w:r>
      <w:r>
        <w:rPr>
          <w:rFonts w:ascii="Arial" w:cs="Arial" w:eastAsia="Arial" w:hAnsi="Arial"/>
          <w:sz w:val="17"/>
          <w:szCs w:val="17"/>
          <w:color w:val="auto"/>
        </w:rPr>
        <w:t>, ASU No. 2016-10,</w:t>
      </w:r>
      <w:r>
        <w:rPr>
          <w:rFonts w:ascii="Arial" w:cs="Arial" w:eastAsia="Arial" w:hAnsi="Arial"/>
          <w:sz w:val="17"/>
          <w:szCs w:val="17"/>
          <w:i w:val="1"/>
          <w:iCs w:val="1"/>
          <w:color w:val="auto"/>
        </w:rPr>
        <w:t xml:space="preserve"> Revenue From Contracts with Customers (ASC 606): Identifying Performance Obligations and Licensing</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 Revenue From Contracts with Customers</w:t>
      </w:r>
      <w:r>
        <w:rPr>
          <w:rFonts w:ascii="Arial" w:cs="Arial" w:eastAsia="Arial" w:hAnsi="Arial"/>
          <w:sz w:val="17"/>
          <w:szCs w:val="17"/>
          <w:color w:val="auto"/>
        </w:rPr>
        <w:t>, respectively,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further clarify the implementation guidance on principal versus agent considerations contained in ASU No. 2014-09. In May 2016, the FASB issued ASU 2016-12,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narrow-scope improvements and practical expedients which provides clarification on assessing the collectability criterion, presentation of sales taxes, measurement date for non-cash consideration and completed contracts at transition. These standards became effective for the Company beginning in the first quarter of 2018.</w:t>
      </w:r>
    </w:p>
    <w:p>
      <w:pPr>
        <w:spacing w:after="0" w:line="27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2" w:right="239" w:bottom="1440" w:gutter="0" w:footer="0" w:header="0"/>
        </w:sectPr>
      </w:pPr>
    </w:p>
    <w:bookmarkStart w:id="14" w:name="page15"/>
    <w:bookmarkEnd w:id="1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ADMA adopted the new standard and related updates effective January 1, 2018, using the modified retrospective method of adoption. Adoption of the new revenue recognition guidance did not have a material impact on the Company’s consolidated financial statements.</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229" w:lineRule="exact"/>
        <w:rPr>
          <w:rFonts w:ascii="Arial" w:cs="Arial" w:eastAsia="Arial" w:hAnsi="Arial"/>
          <w:sz w:val="18"/>
          <w:szCs w:val="18"/>
          <w:b w:val="1"/>
          <w:bCs w:val="1"/>
          <w:color w:val="auto"/>
        </w:rPr>
      </w:pPr>
    </w:p>
    <w:p>
      <w:pPr>
        <w:ind w:left="34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June 6, 2017, ADMA completed the acquisition of the Biotest Assets from BPC. As a result of this transaction, the Company acquired Nabi-HB, Bivigam, the Boca Facility and certain other assets of BTBU. The acquisition of the Biotest Assets expands the Company’s product offering with two FDA-approved products and provides direct control over the manufacturing and regulatory processes impacting the Company’s RI-002 product candidate, including remediation of the Warning Letter as well as certain other remediation items affecting the Boca Facility. Pursuant to the acquisition, the Company issued to Biotest 4,295,580 voting shares of its common stock and 8,591,160 non-voting shares of common stock. The Company will also transfer ownership of two of its plasma centers to Biotest on January 1, 2019 as additional consideration, which are reflected as non-current assets in the accompanying consolidated balance sheets at March 31, 2018 and December 31, 2017 in the amount of $1.4 million and $1.5 million, respectively.</w:t>
      </w:r>
    </w:p>
    <w:p>
      <w:pPr>
        <w:spacing w:after="0" w:line="167" w:lineRule="exact"/>
        <w:rPr>
          <w:rFonts w:ascii="Arial" w:cs="Arial" w:eastAsia="Arial" w:hAnsi="Arial"/>
          <w:sz w:val="18"/>
          <w:szCs w:val="18"/>
          <w:b w:val="1"/>
          <w:bCs w:val="1"/>
          <w:color w:val="auto"/>
        </w:rPr>
      </w:pPr>
    </w:p>
    <w:p>
      <w:pPr>
        <w:ind w:left="340" w:right="6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a result of the foregoing transaction, BPC became a principal stockholder and Biotest became a related party of the Company. Therefore, all transactions with Biotest subsequent to June 6, 2017, including product and license revenues attributable to Biotest (see Note 2), are related party transactions. The results from BTBU’s operations are included in the Company’s consolidated financial statements from the date of acquisition.</w:t>
      </w:r>
    </w:p>
    <w:p>
      <w:pPr>
        <w:spacing w:after="0" w:line="146" w:lineRule="exact"/>
        <w:rPr>
          <w:rFonts w:ascii="Arial" w:cs="Arial" w:eastAsia="Arial" w:hAnsi="Arial"/>
          <w:sz w:val="18"/>
          <w:szCs w:val="18"/>
          <w:b w:val="1"/>
          <w:bCs w:val="1"/>
          <w:color w:val="auto"/>
        </w:rPr>
      </w:pPr>
    </w:p>
    <w:p>
      <w:pPr>
        <w:jc w:val="both"/>
        <w:ind w:left="3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unaudited pro forma summary presents consolidated information of the Company as if the business combination had occurred on January 1, 2017. The pro forma information is presented for informational purposes only and is not necessarily indicative of the results of operations that would have been achieved had the acquisition been consummated as of that time or that may result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2,628,871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13,722,649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(6,536,963)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Senior Notes Payable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outstanding senior notes payable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(4,383,347)</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Senior notes payable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25,616,653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25,368,458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October 10, 2017 (the “Marathon Closing Date”), the Company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evidenced by a secured promissory note (the “Tranche One Note”), and (ii) an additional term loan evidenced by a secured promissory note to be made in the maximum principal amount not to exceed $10.0 million (the “Tranche Two Note” and, together with the Tranche One Note, the “Notes”), which Tranche Two Note availability is subject to the satisfaction of certain conditions, including, but not limited to, those described below. The Notes each have a maturity date of April 10, 2022 (the “Maturity Date”), subject to acceleration pursuant to the Credit Agreement, including upon an Event of Default (as defined in the Credit Agreement).</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Borrowings under the Credit Agreement bear interest at a rate per annum equal to LIBOR plus 9.50% with a 1% LIBOR floor; provided, however, that in the event that the Company achieves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 During the three months ended March 31, 2018, the interest rate on the Tranche One Note ranged from 10.99% to 11.51%.</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pay Marathon a facility fee in an amount equal to 9.20% of the amount of the Tranche One Note, payment of which is deferred until the Maturity Date pursuant to the terms of the Credit Agreement. Commencing on October 10, 2020, and on the first business day of each month, the Company is required to make principal payments on the Tranche One Note (and Tranche Two Note in the event it shall have been funded) in equal monthly installments over 18 months, subject to certain conditions in the Credit Agreement. The outstanding principal amount of the Notes, together with all accrued interest thereon, is due on the Maturity Date.</w:t>
      </w:r>
    </w:p>
    <w:p>
      <w:pPr>
        <w:spacing w:after="0" w:line="18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Credit Agreement contains market representations and warranties, affirmative covenants, negative covenants, financial covenants, and conditions that are customarily required for similar financings. The affirmative covenants, among other things, require the Company to undertake various reporting requirements. The negative covenants restrict or limit the ability of the Company and its subsidiaries to, among other things, incur new indebtedness; create liens on assets; engage in certain fundamental corporate changes or changes to the Company’s business activities; sell or otherwise dispose of assets; repurchase stock, pay dividends; repay certain other indebtedness; engage in certain affiliate transactions; or enter into any other agreements that restrict the Company’s ability to make loan repayments. In addition, the Company is required to maintain a minimum liquidity, defined in the Credit Agreement as cash held in the debt service reserve account and any other deposit account subject to a control agreement with the Administrative Agent, of not less than $5.5 million at all times. The Credit Agreement also required the establishment of the debt service reserve account. The Company is currently required to maintain a minimum balance in this account of $5.5 million, and this amount is reflected as restricted cash in the accompanying consolidated balance sheets as of March 31, 2018 and December 31, 2017. Upon the satisfaction of certain conditions related to some of the Company’s leased properties, the minimum required balance in the debt service reserve account, as well as the minimum liquidity requirement, will be reduced to $4.0 million. At March 31, 2018 and December 31, 2017, the Company was in compliance with all of the covenants contained in its senior lending agreements.</w:t>
      </w:r>
    </w:p>
    <w:p>
      <w:pPr>
        <w:spacing w:after="0" w:line="28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6" w:name="page17"/>
    <w:bookmarkEnd w:id="1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sz w:val="20"/>
                <w:szCs w:val="20"/>
                <w:color w:val="auto"/>
              </w:rPr>
            </w:pPr>
            <w:r>
              <w:rPr>
                <w:rFonts w:ascii="Arial" w:cs="Arial" w:eastAsia="Arial" w:hAnsi="Arial"/>
                <w:sz w:val="18"/>
                <w:szCs w:val="18"/>
                <w:i w:val="1"/>
                <w:iCs w:val="1"/>
                <w:color w:val="auto"/>
              </w:rPr>
              <w:t>Related Party Note Payable</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A summary of the outstanding related party note payable is as follows: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2017</w:t>
            </w:r>
          </w:p>
        </w:tc>
      </w:tr>
      <w:tr>
        <w:trPr>
          <w:trHeight w:val="210"/>
        </w:trPr>
        <w:tc>
          <w:tcPr>
            <w:tcW w:w="8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Biotest - Gross proceeds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(149,952)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(157,604)</w:t>
            </w:r>
          </w:p>
        </w:tc>
      </w:tr>
      <w:tr>
        <w:trPr>
          <w:trHeight w:val="223"/>
        </w:trPr>
        <w:tc>
          <w:tcPr>
            <w:tcW w:w="8240" w:type="dxa"/>
            <w:vAlign w:val="bottom"/>
            <w:gridSpan w:val="3"/>
          </w:tcPr>
          <w:p>
            <w:pPr>
              <w:spacing w:after="0"/>
              <w:rPr>
                <w:sz w:val="20"/>
                <w:szCs w:val="20"/>
                <w:color w:val="auto"/>
              </w:rPr>
            </w:pPr>
            <w:r>
              <w:rPr>
                <w:rFonts w:ascii="Arial" w:cs="Arial" w:eastAsia="Arial" w:hAnsi="Arial"/>
                <w:sz w:val="18"/>
                <w:szCs w:val="18"/>
                <w:color w:val="auto"/>
              </w:rPr>
              <w:t>Note payable - related party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14,850,048</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14,842,396</w:t>
            </w:r>
          </w:p>
        </w:tc>
      </w:tr>
      <w:tr>
        <w:trPr>
          <w:trHeight w:val="20"/>
        </w:trPr>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In connection with the acquisition of the Biotest Assets (see Note 3), ADMA BioManufacturing issued a subordinated note payable to BPC and in connection therewith received cash proceeds of $15.0 million. The note bears interest at a rate of 6.0% per annum and matures on June 6, 2022. The Company is obligated to make semi-annual interest payments, with all principal and unpaid interest due at maturity. The note is subordinate to all amounts outstanding under the Credit Agreement. In the event of default, all principal and unpaid interest is due on demand. The subordinated note also contains several non-financial covenants with which the Company was in compliance as of March 31, 2018. The Company incurred $0.2 million of debt issuance costs in connection with the issuance of this note, which were recorded as a debt discount. The debt discount is being amortized as interest expense over the term of the note.</w:t>
      </w:r>
    </w:p>
    <w:p>
      <w:pPr>
        <w:spacing w:after="0" w:line="185" w:lineRule="exact"/>
        <w:rPr>
          <w:sz w:val="20"/>
          <w:szCs w:val="20"/>
          <w:color w:val="auto"/>
        </w:rPr>
      </w:pPr>
    </w:p>
    <w:p>
      <w:pPr>
        <w:ind w:left="340" w:right="8760" w:hanging="332"/>
        <w:spacing w:after="0" w:line="503"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STOCKHOLDERS’ EQUITY </w:t>
      </w:r>
      <w:r>
        <w:rPr>
          <w:rFonts w:ascii="Arial" w:cs="Arial" w:eastAsia="Arial" w:hAnsi="Arial"/>
          <w:sz w:val="18"/>
          <w:szCs w:val="18"/>
          <w:i w:val="1"/>
          <w:iCs w:val="1"/>
          <w:u w:val="single" w:color="auto"/>
          <w:color w:val="auto"/>
        </w:rPr>
        <w:t>Preferred Stock</w:t>
      </w:r>
    </w:p>
    <w:p>
      <w:pPr>
        <w:ind w:left="3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March 31, 2018 and December 31, 2017.</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w:t>
      </w:r>
    </w:p>
    <w:p>
      <w:pPr>
        <w:spacing w:after="0" w:line="225" w:lineRule="exact"/>
        <w:rPr>
          <w:rFonts w:ascii="Arial" w:cs="Arial" w:eastAsia="Arial" w:hAnsi="Arial"/>
          <w:sz w:val="18"/>
          <w:szCs w:val="18"/>
          <w:b w:val="1"/>
          <w:bCs w:val="1"/>
          <w:color w:val="auto"/>
        </w:rPr>
      </w:pPr>
    </w:p>
    <w:p>
      <w:pPr>
        <w:ind w:left="34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of March 31, 2018 and December 31, 2017, the Company was authorized to issue 75,000,000 shares of its common stock, and 36,726,084 and 36,725,499 shares of common stock, respectively, were outstanding. After giving effect to shares reserved for the issuance of warrants and stock options, 33,617,806 shares of common stock were available for issuance as of March 31, 2018. As of March 31, 2018 and December 31, 2017, 8,591,160 shares of the Company’s non-voting common stock were authorized, issued and outstanding.</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Equity Incentive Plan</w:t>
      </w:r>
    </w:p>
    <w:p>
      <w:pPr>
        <w:spacing w:after="0" w:line="225" w:lineRule="exact"/>
        <w:rPr>
          <w:rFonts w:ascii="Arial" w:cs="Arial" w:eastAsia="Arial" w:hAnsi="Arial"/>
          <w:sz w:val="18"/>
          <w:szCs w:val="18"/>
          <w:b w:val="1"/>
          <w:bCs w:val="1"/>
          <w:color w:val="auto"/>
        </w:rPr>
      </w:pPr>
    </w:p>
    <w:p>
      <w:pPr>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2018 and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ind w:left="1040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8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6.3 years</w:t>
            </w: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5.8 - 6.3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Volatility</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57%</w:t>
            </w:r>
          </w:p>
        </w:tc>
        <w:tc>
          <w:tcPr>
            <w:tcW w:w="2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2.59%</w:t>
            </w:r>
          </w:p>
        </w:tc>
        <w:tc>
          <w:tcPr>
            <w:tcW w:w="2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2.29%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The weighted average remaining contractual life of stock options outstanding and expected to vest at March 31, 2018 is 8.1 years. The weighted average remaining contractual life of stock options exercisable at March 31, 2018 is 5.8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1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3,276,043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868,700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end of period and expected to vest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4,127,950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1,452,273</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During the three months ended March 31, 2018, an aggregate of 1,959 option shares were exercised in cashless exercise transactions resulting in the issuance of an aggregate of 585 shares of common stock. Stock-based compensation expense for the three months ended March 31, 2018 and 2017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78,305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Plasma centers</w:t>
            </w:r>
          </w:p>
        </w:tc>
        <w:tc>
          <w:tcPr>
            <w:tcW w:w="3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7,086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394,858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34,535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514,784</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As of March 31, 2018, the Company had $5.3 million of unrecognized compensation expense related to options granted under the Company’s equity incentive plans, which is expected to be recognized over a weighted-average period of 3.0 years.</w:t>
      </w:r>
    </w:p>
    <w:p>
      <w:pPr>
        <w:sectPr>
          <w:pgSz w:w="11900" w:h="16838" w:orient="portrait"/>
          <w:cols w:equalWidth="0" w:num="1">
            <w:col w:w="11420"/>
          </w:cols>
          <w:pgMar w:left="240" w:top="229" w:right="239" w:bottom="1440" w:gutter="0" w:footer="0" w:header="0"/>
        </w:sectPr>
      </w:pP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provides the components of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Work-in-progress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411"/>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8,962,207</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10,395,433</w:t>
            </w:r>
          </w:p>
        </w:tc>
      </w:tr>
      <w:tr>
        <w:trPr>
          <w:trHeight w:val="230"/>
        </w:trPr>
        <w:tc>
          <w:tcPr>
            <w:tcW w:w="2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1,265,586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1,265,339</w:t>
            </w:r>
          </w:p>
        </w:tc>
      </w:tr>
      <w:tr>
        <w:trPr>
          <w:trHeight w:val="230"/>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2,211,009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967,409</w:t>
            </w:r>
          </w:p>
        </w:tc>
      </w:tr>
      <w:tr>
        <w:trPr>
          <w:trHeight w:val="223"/>
        </w:trPr>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12,438,802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12,628,181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180"/>
          </w:cols>
          <w:pgMar w:left="240" w:top="229" w:right="239" w:bottom="1440" w:gutter="0" w:footer="0" w:header="0"/>
          <w:type w:val="continuous"/>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8" w:name="page19"/>
    <w:bookmarkEnd w:id="1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color w:val="auto"/>
        </w:rPr>
        <w:t>Inventories are stated at the lower of cost or net realizable value with cost being determined on the first-in, first-out method. Finished goods inventories as of March 31, 2018 is comprised of Nabi-HB, a portion of which is recorded at fair value as part of the purchase price allocation of the Biotest Assets acquired. Raw materials includes materials expected to be used in the production of Nabi-HB, Bivigam and RI-002. All other activities and materials associated with the production of inventories used in research and development activities are expensed as incurred.</w:t>
      </w:r>
    </w:p>
    <w:p>
      <w:pPr>
        <w:spacing w:after="0" w:line="16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March 31, 2018 and December 31, 2017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3"/>
              </w:rPr>
              <w:t>March 31, 2018</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5"/>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Amortization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Net</w:t>
            </w:r>
          </w:p>
        </w:tc>
      </w:tr>
      <w:tr>
        <w:trPr>
          <w:trHeight w:val="182"/>
        </w:trPr>
        <w:tc>
          <w:tcPr>
            <w:tcW w:w="2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Trademark and other intangible</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rights related to Nabi-HB</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4,100,046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488,101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3,611,945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4,100,046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341,670</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3,758,376</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108,026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799,395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75,618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831,803</w:t>
            </w: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849,782</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226,775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817,386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259,171</w:t>
            </w:r>
          </w:p>
        </w:tc>
      </w:tr>
      <w:tr>
        <w:trPr>
          <w:trHeight w:val="223"/>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1,445,909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4,638,115</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1,234,674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4,849,350</w:t>
            </w: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for the three months ended March 31, 2018 was $0.2 million. Estimated aggregate future aggregate amortization expense for the next five years is expected to be as follows: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4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633,704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2019</w:t>
            </w:r>
          </w:p>
        </w:tc>
        <w:tc>
          <w:tcPr>
            <w:tcW w:w="4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2021</w:t>
            </w:r>
          </w:p>
        </w:tc>
        <w:tc>
          <w:tcPr>
            <w:tcW w:w="4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and related accumulated depreciation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2017</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7,148,405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7,148,405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Office equipment and computer software</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1,660,926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1,086,756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843,123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1,136,623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1,116,309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738,093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1,650,029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1,642,903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4,339,441</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15,660,559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15,660,559</w:t>
            </w:r>
          </w:p>
        </w:tc>
      </w:tr>
      <w:tr>
        <w:trPr>
          <w:trHeight w:val="210"/>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32,418,792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31,752,780</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(1,803,262)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(1,285,922)</w:t>
            </w:r>
          </w:p>
        </w:tc>
      </w:tr>
      <w:tr>
        <w:trPr>
          <w:trHeight w:val="223"/>
        </w:trPr>
        <w:tc>
          <w:tcPr>
            <w:tcW w:w="8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30,615,530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30,466,858</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left="340" w:right="240"/>
        <w:spacing w:after="0" w:line="312"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3 to 10 years. Leasehold improvements are amortized over the lesser of the lease term or their estimated useful lives.</w:t>
      </w:r>
    </w:p>
    <w:p>
      <w:pPr>
        <w:spacing w:after="0" w:line="147" w:lineRule="exact"/>
        <w:rPr>
          <w:sz w:val="20"/>
          <w:szCs w:val="20"/>
          <w:color w:val="auto"/>
        </w:rPr>
      </w:pPr>
    </w:p>
    <w:p>
      <w:pPr>
        <w:ind w:left="340" w:right="380"/>
        <w:spacing w:after="0" w:line="308" w:lineRule="auto"/>
        <w:rPr>
          <w:sz w:val="20"/>
          <w:szCs w:val="20"/>
          <w:color w:val="auto"/>
        </w:rPr>
      </w:pPr>
      <w:r>
        <w:rPr>
          <w:rFonts w:ascii="Arial" w:cs="Arial" w:eastAsia="Arial" w:hAnsi="Arial"/>
          <w:sz w:val="17"/>
          <w:szCs w:val="17"/>
          <w:color w:val="auto"/>
        </w:rPr>
        <w:t>The Company recorded depreciation expense on property and equipment of $0.6 million, which includes $0.1 million of depreciation expense on the plasma assets to be transferred (see Note 3), and $0.1 million for the three months ended March 31, 2018 and 2017, respectively.</w:t>
      </w:r>
    </w:p>
    <w:p>
      <w:pPr>
        <w:spacing w:after="0" w:line="14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34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leases an office building and equipment from Areth, LLC (“Areth”) pursuant to a shared services agreement on a month-to-month basis of which terms had been amended by the Company’s Board of Directors in June 2016. Effective October 1, 2017, monthly rent on this facility was reduced to $10,000. Rent expense amounted to $30,000 and $48,000 for the three months ended March 31, 2018 and 2017, respectively. Areth is a company controlled by Dr. Jerrold B. Grossman, the Company’s Vice Chairman, and Adam S. Grossman, the Company’s President and Chief Executive Officer. The Company pays Areth monthly fees for the use of such office space and for other information technology, general warehousing and administrative services. The Company also reimburses Areth for office and building related (common area) expenses, equipment and certain other operational expenses, which were not material to the consolidated financial statements for the three months ended March 31, 2018 and 2017.</w:t>
      </w:r>
    </w:p>
    <w:p>
      <w:pPr>
        <w:spacing w:after="0" w:line="167" w:lineRule="exact"/>
        <w:rPr>
          <w:rFonts w:ascii="Arial" w:cs="Arial" w:eastAsia="Arial" w:hAnsi="Arial"/>
          <w:sz w:val="18"/>
          <w:szCs w:val="18"/>
          <w:b w:val="1"/>
          <w:bCs w:val="1"/>
          <w:color w:val="auto"/>
        </w:rPr>
      </w:pPr>
    </w:p>
    <w:p>
      <w:pPr>
        <w:ind w:left="3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part of the Biotest Transaction, the Company issued a $15.0 million subordinated note payable to BPC (see Note 4), and recognized interest expense on this note for the three months ended March 31, 2018 in the amount of $0.2 million.</w:t>
      </w:r>
    </w:p>
    <w:p>
      <w:pPr>
        <w:spacing w:after="0" w:line="170" w:lineRule="exact"/>
        <w:rPr>
          <w:rFonts w:ascii="Arial" w:cs="Arial" w:eastAsia="Arial" w:hAnsi="Arial"/>
          <w:sz w:val="18"/>
          <w:szCs w:val="18"/>
          <w:b w:val="1"/>
          <w:bCs w:val="1"/>
          <w:color w:val="auto"/>
        </w:rPr>
      </w:pPr>
    </w:p>
    <w:p>
      <w:pPr>
        <w:ind w:left="340" w:right="10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March 31, 2018 and 2017, the Company recognized revenues under its out-licensing agreement with Biotest of approximately $36,000. Deferred revenue of $2.7 million as of March 31, 2018 and December 31, 2017 is related to this agreement.</w:t>
      </w:r>
    </w:p>
    <w:p>
      <w:pPr>
        <w:spacing w:after="0" w:line="123" w:lineRule="exact"/>
        <w:rPr>
          <w:rFonts w:ascii="Arial" w:cs="Arial" w:eastAsia="Arial" w:hAnsi="Arial"/>
          <w:sz w:val="18"/>
          <w:szCs w:val="18"/>
          <w:b w:val="1"/>
          <w:bCs w:val="1"/>
          <w:color w:val="auto"/>
        </w:rPr>
      </w:pPr>
    </w:p>
    <w:p>
      <w:pPr>
        <w:ind w:left="34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Biotest is the Company’s largest customer for the sale of normal source plasma. Plasma sales to Biotest for the three months ended March 31, 2018 and 2017 were $2.3 million and $2.1 million, respectively. Accounts receivable includes $0.7 million and $1.2 million due from Biotest as of March 31, 2018 and December 31, 2017, respectively. Additionally, Biotest is a supplier of plasma to ADMA, with the Company purchasing $0.7 million and $0.2 million of plasma in the three months ended March 31, 2018 and 2017, respectively. Included in accounts payable is $0.1 million due to Biotest as of March 31, 2018 and December 31, 2017. The following table summarizes the related party balances with Biotest: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7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10"/>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 and purchase of plasma</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color w:val="auto"/>
              </w:rPr>
              <w:t>Product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2,328,291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2,092,215</w:t>
            </w:r>
          </w:p>
        </w:tc>
      </w:tr>
      <w:tr>
        <w:trPr>
          <w:trHeight w:val="21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195,018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182,386</w:t>
            </w:r>
          </w:p>
        </w:tc>
      </w:tr>
      <w:tr>
        <w:trPr>
          <w:trHeight w:val="216"/>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r>
      <w:tr>
        <w:trPr>
          <w:trHeight w:val="216"/>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27"/>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8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726,409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1,245,677</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133,356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139,939</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380,607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314,820</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Note payable, net of discount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14,850,048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14,842,396</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65,000</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2,654,325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2,690,033</w:t>
            </w:r>
          </w:p>
        </w:tc>
      </w:tr>
    </w:tbl>
    <w:p>
      <w:pPr>
        <w:spacing w:after="0" w:line="202"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In connection with the acquisition of the Biotest Assets, the Company entered into a Transition Services Agreement with BPC pursuant to which each of the Company and BPC agreed to provide transition services to the other party, including services related to finance, human resources, information technologies, leasing of equipment and clinical and regulatory services for a period of up to 24 months after the June 6, 2017 closing date, as well as agreements to lease certain laboratory space within the Boca Facility to BPC for a period of up to 24 months after the closing date of the acquisition transaction. As of March 31, 2018 and December 31, 2017, $0.4 million and $0.3 million, respectively, was payable by the Company to BPC for services rendered and expenses incurred on behalf of the Company related to these agreements. This amount is reflected in accrued expenses in the accompanying consolidated balance sheets.</w:t>
      </w:r>
    </w:p>
    <w:p>
      <w:pPr>
        <w:spacing w:after="0" w:line="189"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color w:val="auto"/>
        </w:rPr>
        <w:t>Under the terms of the acquisition of the Biotest Assets, the Company will transfer ownership of two plasma collection centers to BPC on January 1, 2019. The Company has estimated the fair value of these assets to be $12.6 million, and the obligation to transfer these assets to Biotest is reflected in non-current liabilities in the accompanying consolidated balance sheet as of March 31, 2018 and December 31, 2017. The services component of amounts billed to the Company by BPC for the three months ended March 31, 2018 was not material to the Company’s consolidated financial statements.</w:t>
      </w:r>
    </w:p>
    <w:p>
      <w:pPr>
        <w:spacing w:after="0" w:line="150" w:lineRule="exact"/>
        <w:rPr>
          <w:sz w:val="20"/>
          <w:szCs w:val="20"/>
          <w:color w:val="auto"/>
        </w:rPr>
      </w:pPr>
    </w:p>
    <w:p>
      <w:pPr>
        <w:ind w:left="340" w:right="7640" w:hanging="332"/>
        <w:spacing w:after="0" w:line="503"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i w:val="1"/>
          <w:iCs w:val="1"/>
          <w:u w:val="single" w:color="auto"/>
          <w:color w:val="auto"/>
        </w:rPr>
        <w:t>General Legal Matters</w:t>
      </w:r>
    </w:p>
    <w:p>
      <w:pPr>
        <w:ind w:left="3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Contract manufacturing agreement</w:t>
      </w:r>
    </w:p>
    <w:p>
      <w:pPr>
        <w:spacing w:after="0" w:line="225" w:lineRule="exact"/>
        <w:rPr>
          <w:rFonts w:ascii="Arial" w:cs="Arial" w:eastAsia="Arial" w:hAnsi="Arial"/>
          <w:sz w:val="18"/>
          <w:szCs w:val="18"/>
          <w:b w:val="1"/>
          <w:bCs w:val="1"/>
          <w:color w:val="auto"/>
        </w:rPr>
      </w:pPr>
    </w:p>
    <w:p>
      <w:pPr>
        <w:ind w:left="34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acquisition of the Biotest Assets, the Company acquired all of the rights and assumed all of the obligations under an existing agreement with a third party related to the fractionation of plasma provided by the third party. This contract, as amended from time to time, maintains minimum production requirements as well as a payment due to the counterparty to the contract of $1.5 million per year if the minimum volume is not manufactured in that year and no other breach or default under the contract has occurred.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left="340" w:right="80"/>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the end of 2021. However, the timing of the completion of these studies is dependent upon the availability of Bivigam and the completion of the planned manufacturing process improvements.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2018.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rFonts w:ascii="Arial" w:cs="Arial" w:eastAsia="Arial" w:hAnsi="Arial"/>
          <w:sz w:val="18"/>
          <w:szCs w:val="18"/>
          <w:b w:val="1"/>
          <w:bCs w:val="1"/>
          <w:color w:val="auto"/>
        </w:rPr>
      </w:pPr>
    </w:p>
    <w:p>
      <w:pPr>
        <w:ind w:left="340" w:right="1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is engaged in the manufacture, marketing and development of specialty plasma-derived biologics. The Company’s operating segments reflect the consummation of the Biotest Transaction on June 6, 2017 (see Notes 1 and 3), and the nature of its operations subsequent to the close of the transaction. The Company’s ADMA BioManufacturing segment reflects the Company’s immune globulin manufacturing and development operations in Florida, acquired on June 6, 2017 (see Note 3). The Plasma Collection Centers segment consists of two FDA-licensed source plasma collection facilities located in Georgia, with a third collection center which opened in December 2017 and for which an FDA license in pending.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Plasma Collection</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1,666,243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2,340,055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10,697,642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1,545,106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12,242,748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(12,724,718)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(12,964,772)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47,481,781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27,532,613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16,123,231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91,137,625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631,832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188,914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105,199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444,047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549,246</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Plasma Collection</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BioManufacturing</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2,593,163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2,628,871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1,616,287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2,286,500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15,308,418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17,594,918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103,640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for the three months ended March 31, 2018 and 2017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83"/>
        </w:trPr>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825,513</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424,470</w:t>
            </w: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8240" w:type="dxa"/>
            <w:vAlign w:val="bottom"/>
          </w:tcPr>
          <w:p>
            <w:pPr>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116,766</w:t>
            </w:r>
          </w:p>
        </w:tc>
        <w:tc>
          <w:tcPr>
            <w:tcW w:w="2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29" w:lineRule="exact"/>
        <w:rPr>
          <w:rFonts w:ascii="Arial" w:cs="Arial" w:eastAsia="Arial" w:hAnsi="Arial"/>
          <w:sz w:val="18"/>
          <w:szCs w:val="18"/>
          <w:b w:val="1"/>
          <w:bCs w:val="1"/>
          <w:color w:val="auto"/>
        </w:rPr>
      </w:pPr>
    </w:p>
    <w:p>
      <w:pPr>
        <w:ind w:left="34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On May 14, 2018, the Company, ADMA BioManufacturing and ADMA BioCenters entered into a Share Transfer, Amendment and Release Agreement with BPC, Biotest AG, Biotest US Corporation and The Biotest Divestiture Trust (the “Biotest Trust”) (the “Biotest Transfer Agreement”) whereby BPC transferred to the Company, for no cash consideration, 8,591,160 shares of the Company’s non-voting common stock previously issued to BPC in connection with the Biotest Transaction and representing 100% of the Company’s issued and outstanding non-voting common stock (the “NV Biotest Shares”). Immediately upon transfer of the NV Biotest Shares to the Company, the shares were retired and are no longer available for issuance. The retired NV Biotest Shares comprised approximately 19% of the total outstanding common stock of the Company as of May 14, 2018. In exchange for the transfer and retirement of the NV Biotest Shares, the Company has (i) granted Biotest and its successors and assigns a release from all potential past, present and future indemnity claims arising under the Master Purchase and Sale Agreement, dated as of January 21, 2017, and (ii) relinquished its rights to repurchase its two FDA-approved plasma collection centers required to be transferred to BPC on January 1, 2019 (see Note 3). In addition, pursuant to the Biotest Transfer Agreement, BPC waived and terminated its rights to name a director and an observer to the Company’s Board of Directors. As BPC has made public statements regarding the U.S. Government required divestiture of all of BPC’s U.S. assets in connection with the sale of Biotest AG to CREAT Group Corporation, pursuant to the Biotest Transfer Agreement BPC, subject to the receipt of required regulatory approvals, has agreed to transfer its remaining 10,109,534 shares of the Company’s common stock to the Biotest Trust upon the earlier of (i) receipt of consent from the necessary governmental authorities and (ii) July 1, 2018 (provided that Biotest and the Biotest Trust have received all required regulatory approvals for the Biotest Trust to own and hold the Company’s common stock) (the “Voting Share Closing Date”). Furthermore, pursuant to the Biotest Transfer Agreement, the Biotest Trust has agreed to be bound by all obligations of, and will have all of the remaining rights of, BPC under that certain (i) Stockholders Agreement, dated as of June 6, 2017, by and between the Company and BPC, as amended by the Biotest Transfer Agreement, and (ii) Registration Rights Agreement, dated as of June 6, 2017, by and between the Company and BPC. Furthermore, subject to the terms contained in the Biotest Transfer Agreement, for a 90-day period following the Voting Share Closing Date, the Biotest Trust has granted the Company a right of first negotiation for the purchase of the remaining shares of common stock then-held by the Biotest Trust.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i w:val="1"/>
          <w:iCs w:val="1"/>
          <w:color w:val="auto"/>
        </w:rPr>
        <w:t>The following discussion, which refers to our historical results, should be read in conjunction with the other sections of this Quarterly Report on Form 10-Q, including “Risk Factors” and the information contained in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2017, filed on March 29, 2018 (the “2017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ADMA Biologics, Inc. (the “Company”, “ADMA”, “we”, “us” or “our”) is a vertically integrated commercial biopharmaceutical company that manufactures, markets and develops specialty plasma-derived biologics for the treatment of Primary Immune Deficiency Disease (“PIDD”), and the prevention and treatment of certain infectious diseases. Our targeted patient populations include immune-compromised individuals who suffer from an underlying immune deficiency disorder or who may be immune-suppressed for medical reasons. We currently have two marketed products: Nabi-HB, indicated for the treatment of acute exposure to blood containing Hepatitis B surface antigen (“HBsAg”); and Bivigam, indicated for the treatment of primary humoral immunodeficiency. We are also developing a pipeline of plasma-derived therapeutics, including our lead pipeline product candidate, RI-002, for the treatment of PIDD. Our products and product candidates are intended to be used by physician specialists focused on caring for immune-compromised patients with or at risk for certain infectious diseases. Through our wholly-owned subsidiary, ADMA Bio Centers Georgia, Inc. (“ADMA BioCenters”), we operate two U.S. Food and Drug Administration (the “FDA”)-licensed, German Health Authority (“GHA”) and Korean Ministry of Food and Drug Safety (“KMFDS”) certified source plasma collection facilities located in the United States. We filed a Biologics License Application (“BLA”) with the FDA for our Kennesaw, GA facility in December 2017 and, pending FDA approval, this facility is anticipated to be approved during the second half of 2018. ADMA BioCenters supplies us with a portion of our blood plasma for the manufacture of our products and product candidates.</w:t>
      </w:r>
    </w:p>
    <w:p>
      <w:pPr>
        <w:spacing w:after="0" w:line="18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June 6, 2017, we completed the acquisition of certain assets (the “Biotest Assets”) of the Therapy Business Unit (the “BTBU”) of Biotest Pharmaceuticals Corporation (“BPC” and, together with Biotest AG, “Biotest”), which include two FDA-licensed products, Nabi-HB (Hepatitis B Immune Globulin, Human) and Bivigam (Immune Globulin Intravenous, Human), and a plasma fractionation facility located in Boca Raton, FL (the “Boca Facility”) (the “Biotest Transaction”). The Boca Facility is FDA-licensed and certified by the GHA. In addition to the manufacture and sale of Nabi-HB and Bivigam, we also provide contract manufacturing services for certain historical clients, including the sale of intermediate by-products. Immediately following the acquisition, the Biotest Assets were contributed into our subsidiary, ADMA BioManufacturing, LLC (“ADMA BioManufacturing”).</w:t>
      </w:r>
    </w:p>
    <w:p>
      <w:pPr>
        <w:spacing w:after="0" w:line="16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On May 14, 2018, we, ADMA BioManufacturing and ADMA BioCenters entered into a Share Transfer, Amendment and Release Agreement with BPC, Biotest AG, Biotest US Corporation (“Biotest US”) and The Biotest Divestiture Trust (the “Biotest Trust”) (the “Biotest Transfer Agreement”) whereby BPC transferred to us, for no cash consideration, 8,591,160 shares of our non-voting common stock previously issued to BPC in connection with the Biotest Transaction and representing 100% of our issued and outstanding non-voting common stock (the “NV Biotest Shares”). Immediately upon transfer of the NV Biotest Shares to us, the shares were retired and are no longer available for issuance. The retired NV Biotest Shares comprised approximately 19% of our total outstanding common stock as of May 14, 2018. In exchange for the transfer and retirement of the NV Biotest Shares, we have (i) granted Biotest and its successors and assigns a release from all potential past, present and future indemnity claims arising under that certain Master Purchase and Sale Agreement, dated as of January 21, 2017 (as amended, restated, supplemented or otherwise modified from time to time, the “Purchase Agreement”), with BPC, and for certain limited purposes set forth in the Purchase Agreement, Biotest AG and Biotest US (together with Biotest AG, the “Biotest Guarantors”), and (ii) relinquished our rights to repurchase our two FDA-approved plasma collection centers required to be transferred to BPC on January 1, 2019. In addition, pursuant to the Biotest Transfer Agreement, BPC waived and terminated its rights to name a director and an observer to our Board of Directors (the “Board”). As BPC has made public statements regarding the U.S. Government required divestiture of all of BPC’s U.S. assets in connection with the sale of Biotest AG to CREAT Group Corporation, pursuant to the Biotest Transfer Agreement BPC, subject to the receipt of required regulatory approvals, has agreed to transfer its remaining 10,109,534 shares of the Company’s common stock, $0.0001 par value per share (the “Common Stock”), to the Biotest Trust upon the earlier of</w:t>
      </w:r>
    </w:p>
    <w:p>
      <w:pPr>
        <w:spacing w:after="0" w:line="2" w:lineRule="exact"/>
        <w:rPr>
          <w:sz w:val="20"/>
          <w:szCs w:val="20"/>
          <w:color w:val="auto"/>
        </w:rPr>
      </w:pPr>
    </w:p>
    <w:p>
      <w:pPr>
        <w:ind w:right="160" w:firstLine="8"/>
        <w:spacing w:after="0" w:line="252"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 from the necessary governmental authorities and (ii) July 1, 2018 (provided that Biotest, BPC and the Biotest Trust have received all required regulatory approvals for the Biotest Trust to hold and own the Common Stock) (the “Voting Share Closing Date”). Furthermore, pursuant to the Biotest Transfer Agreement, the Biotest Trust has agreed to be bound by all obligations of, and will have all of the remaining rights of, BPC under that certain (i) Stockholders Agreement, dated as of June 6, 2017, by and between us and BPC, as amended by the Biotest Transfer Agreement, and (ii) Registration Rights Agreement, dated as of June 6, 2017, by and between us and BPC. Furthermore, subject to the terms contained in the Biotest Transfer Agreement, for a 90-day period following the Voting Share Closing Date, the Biotest Trust has granted us a right of first negotiation for the purchase of the remaining shares of Common Stock then-held by the Biotest Trust.</w:t>
      </w:r>
    </w:p>
    <w:p>
      <w:pPr>
        <w:sectPr>
          <w:pgSz w:w="11900" w:h="16838" w:orient="portrait"/>
          <w:cols w:equalWidth="0" w:num="1">
            <w:col w:w="11420"/>
          </w:cols>
          <w:pgMar w:left="240" w:top="229"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4" w:name="page25"/>
    <w:bookmarkEnd w:id="2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to infants born to HBsAg-positive mothers, sexual exposure to HBsAg-positive persons and household exposure to persons with acute Hepatitis B virus infection.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Under our leadership, production of Nabi-HB at the Boca Facility resumed during the third quarter of 2017. Subsequent to the end of 2017, we received authorization from the FDA for the release of our first commercial batch of Nabi-HB and also resumed commercial sales in the United States during the first quarter of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Bivigam is an intravenous immune globulin indicated for the treatment of primary humoral immunodeficiency. This includes, but is not limited to,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Immunoglobulin G (“IgG”) antibodies. Antibodies are proteins in the human immune system that work to defend against disease. FDA approval for Bivigam was received on December 19, 2012, and sales commenced in the first quarter of 2013. In December 2016, BPC temporarily suspended the commercial production of Bivigam in order to focus on the completion of planned improvements to the manufacturing process. We resumed production of Bivigam utilizing our optimized intravenous immunoglobulin (“IVIG”) manufacturing process with two conformance lots in the fourth quarter of 2017 and a third conformance lot in the first quarter of 2018. We expect to file a Prior Approval Supplement (the “PAS”) with the FDA during the first half of 2018 to include the ADMA optimization improvements for Bivigam and are seeking FDA clearance which would enable us to relaunch this product no earlier than the second half of 2018. Upon FDA approval of the PAS, we anticipate the Bivigam conformance lots currently in inventory will be available for commercial sale.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Pipeline Product Candidate – RI-002</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currently developing our lead pipeline product candidate, RI-002, for the treatment of PIDD, and have completed a pivotal Phase III clinical trial, which met the primary endpoint of no Serious Bacterial Infections reported. Secondary efficacy endpoints further demonstrated the benefits of RI-002 in the low incidence of infection, therapeutic antibiotic use, days missed from work/school/daycare, and unscheduled medical visits and hospitalizations. RI-002 is derived from human plasma blended from normal donors and from donors tested to have high levels of neutralizing titers to Respiratory Syncytial Virus (“RSV”). RI-002 is manufactured using a process known as fractionation, which purifies IgG from this blended plasma pool resulting in a final IVIG product enriched with naturally occurring polyclonal anti-pathogen antibodies, such as streptococcus pneumonia, H. influenza type B, Cytomegalovirus, measles and tetanus. We use our proprietary RSV microneutralization assay to test for standardized levels of neutralizing antibodies to RSV in the final drug product.</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the closing of the Biotest Transaction, BTBU was our third-party manufacturer for RI-002. In the third quarter of 2015, the FDA accepted for review our BLA for RI-002 (the “RI-002 BLA”) for the treatment of PIDD. In July 2016, the FDA issued a Complete Response Letter (the “CRL”), which reaffirmed the issues set forth in the November 2014 warning letter that had been issued by the FDA to Biotest related to certain issues identified at the Boca Facility (the “Warning Letter”), but did not cite any concerns with the clinical safety or efficacy data for RI-002 submitted in our RI-002 BLA, nor did the FDA request any additional clinical studies be completed prior to FDA approval of RI-002. The FDA identified in the CRL, among other things, certain outstanding inspection issues and deficiencies related to Chemistry, Manufacturing and Controls and Good Manufacturing Practices at the Boca Facility and at certain of our third-party vendors, and requested documentation of corrections for a number of these issues. The FDA indicated in the CRL that it cannot grant final approval of our RI-002 BLA until, among other things, these deficiencies are resolved. Upon the completion of the Biotest Transaction, we gained control over the regulatory, quality, general operations and drug substance manufacturing process and our highest priority has been to remediate the outstanding compliance issues that were identified at the Boca Facility in the Warning Letter. We have been working with a consulting firm consisting of quality management systems and biologics production subject matter experts in order to improve the FDA inspection classification relative to the Warning Letter compliance issues as indicated in the CRL. We anticipate that we will be in a position to refile the RI-002 BLA in the second half of 2018, assuming certain FDA determinations are made concerning the Warning Letter and PAS for Bivigam. During the first quarter of 2018, we produced three RI-002 conformance lots using the optimized IVIG manufacturing process. Upon FDA approval of the RI-002 BLA, we anticipate that the RI-002 conformance batches currently in inventory will be available for commercial sale no earlier than the first half of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Collection Facilities</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ADMA BioCenters operates three source plasma collection facilities located in the U.S., two of which are FDA-licensed, GHA and KMFDS-certified. ADMA BioCenters provides us with a portion of our blood plasma for the manufacture of our products and product candidates.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United States, and other locations where we are approved globally under supply agreements or in the open “spot” market.</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As part of the purchase price to acquire the Biotest Assets, we agreed to transfer ownership of two of our plasma collection facilities to BPC on January 1, 2019. We completed the construction of our third plasma collection facility, filed our BLA with the FDA and initiated collections for this facility in December 2017. We anticipate FDA approval of our third plasma collection facility to occur during the second half of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summarized accounting policies and their application are considered to be critical to understanding our business operations, financial condition and results of operations.</w:t>
      </w:r>
    </w:p>
    <w:p>
      <w:pPr>
        <w:ind w:right="280"/>
        <w:spacing w:after="0" w:line="261" w:lineRule="auto"/>
        <w:rPr>
          <w:sz w:val="20"/>
          <w:szCs w:val="20"/>
          <w:color w:val="auto"/>
        </w:rPr>
      </w:pPr>
      <w:r>
        <w:rPr>
          <w:rFonts w:ascii="Arial" w:cs="Arial" w:eastAsia="Arial" w:hAnsi="Arial"/>
          <w:sz w:val="18"/>
          <w:szCs w:val="18"/>
          <w:color w:val="auto"/>
        </w:rPr>
        <w:t>For a detailed discussion on the application of these and our other accounting policies, see Note 2 to the Consolidated Financial Statements included in the 2017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Revenues for the three months ended March 31, 2018 are comprised of (i) revenues from Nabi-HB, (ii) product revenues from the sale of human plasma collected from our plasma collection centers segment; and (iii) license and other revenues primarily attributable to the out-licensing of RI-002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Product revenues from the sale of human plasma collected at our plasma collection centers are recognized at the time of transfer of title and risk of loss to the customer, which generally occurs at the time of delivery.</w:t>
      </w:r>
    </w:p>
    <w:p>
      <w:pPr>
        <w:spacing w:after="0" w:line="17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For the three months ended March 31, 2018, three customers represented an aggregate of 90% of our consolidated revenues, with BPC, McKesson Corporation and AmerisourceBergen representing 58%, 17% and 15%, respectively, of our consolidated revenues. For the three months ended March 31, 2017, sales to BPC represented 81% of our consolidated revenues, and sales to SK Plasma Co., Ltd. represented 17% of our consolidated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Accounts receivable are reported at realizable value, net of allowances for contractual credits and doubtful accounts, which are recognized in the period the related revenue is recorded. At March 31, 2018, three customers represented an aggregate of 84% of our total accounts receivable, with Sanofi Pasteur S.A. (“Sanofi”), BPC and McKesson Corporation representing approximately 51%, 18% and 15%, respectively, of our consolidated accounts receivable. At December 31, 2017, Sanofi and BPC represented 48% and 30%, respectively, of our total accounts receivable.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three months ended March 31, 2018 of approximately $0.7 million are expensed as incurred and are reflected in cost of product revenue. In addition, for the three months March 31, 2018, all operating expenses associated with the Boca Facility, other than the limited Nabi-HB production that was capitalized into inventory, have been expensed as incurred since the date of the Biotest Transaction.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we use the Black-Scholes option pricing model. We granted options to purchase an aggregate of 848,700 and 182,000 shares of our Common Stock during the three months ended March 31, 2018 and 2017, respectively, and during the three months ended March 31, 2018, we granted options to purchase 20,000 shares of Common Stock to a third party service provider.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research and development (“R&amp;D”) costs are expensed as incurred, including costs associated with (i) planning and conducting clinical trials;</w:t>
      </w:r>
    </w:p>
    <w:p>
      <w:pPr>
        <w:spacing w:after="0" w:line="46" w:lineRule="exact"/>
        <w:rPr>
          <w:sz w:val="20"/>
          <w:szCs w:val="20"/>
          <w:color w:val="auto"/>
        </w:rPr>
      </w:pPr>
    </w:p>
    <w:p>
      <w:pPr>
        <w:ind w:right="200" w:firstLine="8"/>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drug product manufacturing for RI-002, including the cost of plasma, plasma storage and transportation costs; (iii) quality testing, validation, regulatory consulting and filing fees; and (iv) employees’ compensation expenses directly related to R&amp;D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three months ended March 31, 2018 and 2017, we determined that there was no impairment of our long-lived assets.</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its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three months ended March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April 5, 2012, the Jumpstart Our Business Startups Act (the “JOBS Act”), was signed into law. The JOBS Act contains provisions that, among other things, reduce certain reporting requirements for qualifying public companies. We could be an emerging growth company until December 31, 2018, which is the last day of the fiscal year following the fifth anniversary of the first sale of our common equity securities pursuant to an effective registration statement under the Securities Act of 1933, as amended (the “Securities Act”). However, if certain events occur prior to the end of such five-year period, including if we become a “large accelerated filer,” our total annual gross revenues exceed $1.07 billion or we issue more than $1.0 billion of non-convertible debt in any three-year period, we would cease to be an emerging growth company prior to the end of such five-year period. As an “emerging growth company,” we may, under Section 7(a)(2)(B) of the Securities Act, delay adoption of new or revised accounting standards applicable to public companies until such standards would otherwise apply to private companies. We may take advantage of this extended transition period until the first to occur of the date that we (i) are no longer an “emerging growth company” or (ii) affirmatively and irrevocably opt out of this extended transition period.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auditors provide an attestation report on our internal control over financial reporting.</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May 2017, the Financial Accounting Standards Board (the “FASB”) issued Accounting Standards Update (“ASU”) No. 2017-09, </w:t>
      </w:r>
      <w:r>
        <w:rPr>
          <w:rFonts w:ascii="Arial" w:cs="Arial" w:eastAsia="Arial" w:hAnsi="Arial"/>
          <w:sz w:val="18"/>
          <w:szCs w:val="18"/>
          <w:i w:val="1"/>
          <w:iCs w:val="1"/>
          <w:color w:val="auto"/>
        </w:rPr>
        <w:t>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Share-Based Payment Arrangements</w:t>
      </w:r>
      <w:r>
        <w:rPr>
          <w:rFonts w:ascii="Arial" w:cs="Arial" w:eastAsia="Arial" w:hAnsi="Arial"/>
          <w:sz w:val="18"/>
          <w:szCs w:val="18"/>
          <w:color w:val="auto"/>
        </w:rPr>
        <w:t>, which amends the scope of modification accounting for share-based payment arrangements.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Adoption of this new guidance did not have a material impact on our condensed consolidated financial statements.</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We are currently evaluating the impact that the standard may have on our consolidated financial statements and related disclosures.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May 2014, the FASB issued new guidance related to revenue recognition,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becomes effective in calendar year 2018 and early adoption in calendar year 2017 is permitted.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March 2016, April 2016 and December 2016, the FASB issued ASU No. 2016-08, </w:t>
      </w:r>
      <w:r>
        <w:rPr>
          <w:rFonts w:ascii="Arial" w:cs="Arial" w:eastAsia="Arial" w:hAnsi="Arial"/>
          <w:sz w:val="18"/>
          <w:szCs w:val="18"/>
          <w:i w:val="1"/>
          <w:iCs w:val="1"/>
          <w:color w:val="auto"/>
        </w:rPr>
        <w:t>Revenue From Contracts with Customers (ASC 606):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Versus Agent Considerations</w:t>
      </w:r>
      <w:r>
        <w:rPr>
          <w:rFonts w:ascii="Arial" w:cs="Arial" w:eastAsia="Arial" w:hAnsi="Arial"/>
          <w:sz w:val="18"/>
          <w:szCs w:val="18"/>
          <w:color w:val="auto"/>
        </w:rPr>
        <w:t>, ASU No. 2016-10,</w:t>
      </w:r>
      <w:r>
        <w:rPr>
          <w:rFonts w:ascii="Arial" w:cs="Arial" w:eastAsia="Arial" w:hAnsi="Arial"/>
          <w:sz w:val="18"/>
          <w:szCs w:val="18"/>
          <w:i w:val="1"/>
          <w:iCs w:val="1"/>
          <w:color w:val="auto"/>
        </w:rPr>
        <w:t xml:space="preserve"> Revenue From Contracts with Customers (ASC 606</w:t>
      </w:r>
      <w:r>
        <w:rPr>
          <w:rFonts w:ascii="Arial" w:cs="Arial" w:eastAsia="Arial" w:hAnsi="Arial"/>
          <w:sz w:val="18"/>
          <w:szCs w:val="18"/>
          <w:color w:val="auto"/>
        </w:rPr>
        <w:t>)</w:t>
      </w:r>
      <w:r>
        <w:rPr>
          <w:rFonts w:ascii="Arial" w:cs="Arial" w:eastAsia="Arial" w:hAnsi="Arial"/>
          <w:sz w:val="18"/>
          <w:szCs w:val="18"/>
          <w:i w:val="1"/>
          <w:iCs w:val="1"/>
          <w:color w:val="auto"/>
        </w:rPr>
        <w:t>: Identifying Performance Obligations and Licensing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ASU No. 2016-20,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xml:space="preserve">, respectively, which further clarify the implementation guidance on principal versus agent considerations contained in ASU No. 2014-09. In May 2016, the FASB issued ASU 2016-12,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narrow-scope improvements and practical expedients that provide clarification on assessing the collectability criterion,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sales taxes, measurement date for non-cash consideration and completed contracts at transition. These standards became effective for the Company in the first quarter of 2018.</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adopted the new standard and related updates effective January 1, 2018, using the modified retrospective method of adoption. Adoption of the new revenue recognition guidance did not have a material impact on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Biotest Transaction, our operating results include the results of BTBU effective as of June 6, 2017. Therefore, our results of operations for the three months ended March 31, 2018 are not comparable to the results of operations for the three months ended March 31, 2017. The following table presents a summary of the changes in our results of operations for the three months ended March 31, 2018 compared to the three months ended March 31, 2017: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Borders>
              <w:bottom w:val="single" w:sz="8" w:color="0000EE"/>
            </w:tcBorders>
          </w:tcPr>
          <w:p>
            <w:pPr>
              <w:jc w:val="right"/>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33"/>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Percentage</w:t>
            </w:r>
          </w:p>
        </w:tc>
      </w:tr>
      <w:tr>
        <w:trPr>
          <w:trHeight w:val="230"/>
        </w:trPr>
        <w:tc>
          <w:tcPr>
            <w:tcW w:w="6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7"/>
              </w:rPr>
              <w:t>Three Months Ended March 31,</w:t>
            </w:r>
          </w:p>
        </w:tc>
        <w:tc>
          <w:tcPr>
            <w:tcW w:w="20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Increase/</w:t>
            </w:r>
          </w:p>
        </w:tc>
      </w:tr>
      <w:tr>
        <w:trPr>
          <w:trHeight w:val="223"/>
        </w:trPr>
        <w:tc>
          <w:tcPr>
            <w:tcW w:w="6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(Decrease)</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4,042,006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2,628,871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12,242,748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1,616,287</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657%</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(8,200,742)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1,012,584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1,281,706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1,192,727</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1,833,774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1,479,476</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NM</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5,005,046</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4,277,384</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(16,532,503)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(5,937,003)</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(1,323,152)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(618,528)</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33,513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18,568</w:t>
            </w: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(17,822,142)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(6,536,963)</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recorded total revenues of $4.0 million during the three months ended March 31, 2018, as compared to $2.6 million during the three months ended March 31, 2017. Total revenues include: (i) sales of Nabi-HB in the amount of $1.7 million for 2018, with no comparable amount in 2017; (ii) product revenue of $2.3 million for the three months ended March 31, 2018 attributable to our ADMA BioCenters plasma collection centers segment from the sale of human source plasma, as compared to product revenue of $2.6 million for the three months ended March 31, 2017; and (iii) license and other revenue in the amount of approximately $36,000 for the three months ended March 31, 2018 and 2017, which pertains to services and financial payments provided by Biotest in accordance with our license agreement. The increase in total revenue of $1.4 million for the three months ended March 31, 2018 was attributable to sales of Nabi-HB, partially offset by the a decrease in plasma sales of $0.3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Cost of product revenue was $12.2 million for the three months ended March 31, 2018, as compared to $1.6 million for the three months ended March 31, 2017. The increase is mainly attributable to $5.2 million of unabsorbed manufacturing costs related to the Boca Facility, $2.5 million of costs related to the production of RI-002, $1.1 million of costs related to the production of Bivigam, $0.7 million of third-party consultant fees pertaining to the remediation efforts in response to the Warning Letter, cost of product revenue related to Nabi-HB in the amount of $0.7 million and $0.4 million of costs related to the production of intermediates.</w:t>
      </w:r>
    </w:p>
    <w:p>
      <w:pPr>
        <w:spacing w:after="0" w:line="18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Although we expect that our Bivigam, RI-002 and intermediates inventory will ultimately be available for commercial sale, we have not capitalized these costs into inventory due to uncertainties surrounding the Warning Letter, the PAS related to improvements in the manufacturing process and the RI-002 BLA that must be filed with and approved by the FDA prior to this inventory being available for commercial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R&amp;D expenses totaled $1.3 million for the three months ended March 31, 2018, as compared to $1.2 million for the three months ended March 31, 2017. We expect our R&amp;D costs to increase over the second half of 2018 as we seek to refile the RI-002 BLA.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Expenses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Plasma center expenses were $1.8 million for the three months ended March 31, 2018, as compared to $1.5 million for the three months ended March 31, 2017. Plasma center operating expenses consist of: general and administrative plasma center costs; overhead comprised of rent, maintenance, utilities, wages, stock-based compensation and benefits for center staff; plasma collection supplies, plasma transportation and storage (off-site); advertising and promotion expenses; and computer software fees related to donor collections. The increase in plasma center expenses is mainly attributable to the opening of our third plasma center in Kennesaw, GA in December 2017.</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Selling, general and administrative (“SG&amp;A”) expenses were $5.0 million for the three months ended March 31, 2018, an increase of $0.7 million from the three months ended March 31, 2017. The increase was primarily due to increased salaries, benefits and other employee related costs of approximately $1.6 million, primarily due increased headcount resulting from the Biotest Transaction, other expenses associated with the Boca Facility of $0.7 million, increased legal and professional fees of $0.6 million, increased marketing expenses of $0.2 million and an increase in insurance expense of approximately $0.2 million, partially offset by $2.6 million in costs associated with the Biotest Transaction in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operating loss was $16.5 million for the three months ended March 31, 2018, as compared to $5.9 million for the three months ended March 31, 2017. The increase in operating loss was mainly due to the $10.6 million increase in cost of product revenue associated with the Boca Facility, the increases in plasma center and SG&amp;A expenses and amortization expense on intangible assets, acquired in the Biotest Transaction, partially offset by the $1.4 million increase in total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Interest expense was $1.3 million for the three months ended March 31, 2018, as compared to $0.6 million for the three months ended March 31, 2017. The increase is due to higher outstanding debt in 2018 resulting from the refinancing of our senior debt in the fourth quarter of 2017 (see “Liquidity and Capital Resources”) and the $15 million note issued to BPC in June 2017, as well as the increase in the interest rate on our senior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Our net loss was $17.8 million for the three months ended March 31, 2018, as compared to $6.5 million for the three months ended March 31, 2017, an increase of $11.3 million, mainly due to the increase in operating loss and, to a lesser extent, the increase in interest expense.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March 31, 2018, we had working capital of $37.0 million, including cash and cash equivalents of $26.1 million, and stockholders’ equity of $23.0 million, as compared to working capital of $53.7 million, including cash and cash equivalents of $43.1 million, and stockholders’ equity of $40.3 million as of December 31, 2017. We have had limited revenue from operations and have incurred an accumulated deficit of $168.5 million since inception. For the three months ended March 31, 2018 and 2017, we had negative cash flows from operations of $16.4 million and $5.4 million, respectively, and for the years ended December 31, 2017 and 2016 we had negative cash flows from operations of $37.3 million and $18.3 million, respectively. We have funded our operations to date primarily from the sale of our equity and debt securities, acquisition proceeds from the Biotest Transaction and loans from our primary stockholders.</w:t>
      </w:r>
    </w:p>
    <w:p>
      <w:pPr>
        <w:spacing w:after="0" w:line="18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expect to continue to spend substantial amounts on product development, quality assurance, regulatory affairs, procurement of raw material plasma, manufacturing, marketing, sales and conducting clinical trials for our product candidates and purchasing clinical trial materials from our suppliers, some of which may be required by the FDA. We currently anticipate, based upon our projected revenue and expenditures, that our cash, cash equivalents, projected revenue and accounts receivable, along with the $10.0 million we expect to be able to access under the Credit Agreement (as defined below), will be sufficient to fund our operations, as currently conducted, into the fourth quarter of 2018. In order to have sufficient cash to fund our operations thereafter and to continue as a going concern, we will need to raise additional equity prior to the end of 2018. This time frame may change based upon how quickly we are able to execute on our quality management systems’ enhancement plans for the ADMA BioManufacturing operations, commercial manufacturing ramp-up activities and the various financing options available to us. We currently have no firm commitments for additional financing, and we cannot provide any assurance that we will be able to secure additional financing on terms that are acceptable to us, or at all. Failure to secure any necessary financing in a timely manner and on commercially reasonable terms could have a material adverse effect on our business plan and financial performance and we could be forced to delay or discontinue our product development, clinical trial or commercialization activities, delay or discontinue the approval efforts for any of our potential products, or potentially cease operations. In addition, we could also be forced to reduce or forgo sales and marketing efforts and forgo attractive business opportunities.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Furthermore, if the assumptions underlying our estimated expenses are incorrect, we may have to raise additional capital sooner than anticipated. Because of numerous risks and uncertainties associated with the research and development and potential future commercialization of our product candidates, we are unable to estimate with certainty the amounts of increased capital outlays and operating expenditures associated with our anticipated clinical trials and development activities. Our current estimates may be subject to change as circumstances regarding our business requirements evolve. We may decide to raise capital through public or private equity offerings and such financings may only be available on unattractive terms, resulting in significant dilution of stockholders’ interests and, in such event, the value and potential future market price of our Common Stock may decline. We may also decide to obtain additional debt financing or a bank credit facility, subject to the restrictions contained in the Credit Agreement, or to enter into corporate collaboration and licensing arrangements. The sale of additional equity or debt securities, if convertible, could result in dilution to our current stockholders. The incurrence of additional indebtedness would result in increased fixed obligations and could also result in covenants that would restrict our operations or other future financing alternatives.</w:t>
      </w:r>
    </w:p>
    <w:p>
      <w:pPr>
        <w:spacing w:after="0" w:line="178"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Our long-term liquidity depends upon our ability to raise additional capital, fund our research and development and commercial programs and achieve commercial status for our products and product candidates in order to generate sufficient revenues to cover our operating expenses and meet our obligations on a timely basis. We believe that we will continue to incur losses and negative cash flows from operating activities through the foreseeable future. As such, these conditions raise substantial doubt about our ability to continue as a going concern.</w:t>
      </w:r>
    </w:p>
    <w:p>
      <w:pPr>
        <w:spacing w:after="0" w:line="17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November 13, 2017, we completed an underwritten public offering of 19,523,255 shares of Common Stock for gross proceeds of $42.0 million. Net proceeds from this offering, after payment of underwriting discounts and offering expenses of $2.8 million, were $39.2 million. The proceeds from this offering have been or are being used for (i) the purchase of raw material inventory and the ramp-up of our manufacturing capabilities, (ii) continued remediation of the issues identified in the CRL and the Warning Letter and completion of our internal quality management systems overhaul, (iii) capital expenditures for the Boca Facility, (iv) product launch and medical education campaigns, (v) the build-out of our third plasma collection facility, (vi) research and development activities for our plasma collection programs and specialty plasma products, and (vii) working capital needs and general corporate purposes, including expenses associated with improving the FDA inspection classification relative to the Warning Letter, filing the PAS and obtaining marketing clearance for the relaunch of Bivigam and refiling the RI-002 BLA.</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October 10, 2017 (the “Marathon Closing Date”), we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(the “Tranche One Loan”), and (ii) an additional term loan to be made in the maximum principal amount not to exceed $10.0 million (the “Tranche Two Loan” and, together with the Tranche One Loan, the “Loans”), which Tranche Two Loan availability is subject to the satisfaction of certain conditions, including, but not limited to, those described below. The Loans each have a maturity date of April 10, 2022 (the “Maturity Date”), subject to acceleration pursuant to the Credit Agreement, including upon an Event of Default (as defined in the Credit Agreement).</w:t>
      </w:r>
    </w:p>
    <w:p>
      <w:pPr>
        <w:spacing w:after="0" w:line="17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the Marathon Closing Date, we used approximately $17.0 million of the Tranche One Loan to retire and pay in full our previously existing credit facility, as amended, with Oxford Finance, LLC (“Oxford”) and all of the obligations thereunder, including the end-of-term liability of $1.8 million and prepayment penalties of $0.2 million. We also (i) used $5.5 million of the Tranche One Loan to pre-fund a debt service reserve account in accordance with the terms of the Credit Agreement, and (ii) paid diligence fees, legal and other expenses associated with the Credit Facility in the amount of approximately $1.5 million, which fees exclude a deferred facility fee to Marathon equal to 9.20% of the Tranche One Loan payable at maturity. The remaining $6.0 million of proceeds was used for the continued remediation of the issues identified in the CRL and the Warning Letter and for general corporate purposes.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obligation of Marathon to make the Tranche Two Loan is subject to the satisfaction of certain conditions related to FDA approval for specified products and our financial condition, including, without limitation, the following: (a) (i) the FDA must validate the improved manufacturing process of Bivigam and (ii) not less than $0.5 million in net revenue must be generated in calendar year 2018 from the sale in the United States of Bivigam; or (b) (i) the FDA must approve the commercialization of RI-002 and (ii) not less than $0.5 million in net revenue must be generated in calendar year 2019 from the sale in the United States of RI-002.</w:t>
      </w:r>
    </w:p>
    <w:p>
      <w:pPr>
        <w:spacing w:after="0" w:line="18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the Marathon Closing Date, we issued a promissory note in favor of the Administrative Agent in the principal amount of $30.0 million (the “Tranche One Note”), evidencing our indebtedness resulting from the Tranche One Loan. Borrowings under the Credit Agreement bear interest at a rate per annum equal to LIBOR plus 9.50% with a 1% LIBOR floor; provided, however, that in the event that we achieve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 During the three months ended March 31, 2018, the interest rate on the Tranche One Note ranged from 10.99% to 11.51%.</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will pay Marathon a facility fee in an amount equal to 9.20% of the amount funded, payment of which is deferred until the Maturity Date pursuant to the terms of the Credit Agreement. Commencing on October 10, 2020, and on the first business day of each month, we are required to make principal payments on the Tranche One Loan (and Tranche Two Loan in the event it shall have been funded) in equal monthly installments over 18 months, subject to certain conditions in the Credit Agreement. The outstanding principal amount of the Loans, together with all accrued interest thereon, is due on the Maturity Date.</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obligations under the Credit Agreement are secured by a first-priority lien and security interest in substantially all of our assets, including a mortgage on the Boca Facility, and those of our subsidiaries as well as all of the equity interests in each subsidiary.</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Credit Agreement contains market representations and warranties, affirmative covenants, negative covenants, financial covenants, and conditions that are customarily required for similar financings. The affirmative covenants, among other things, require us to undertake various reporting requirements. The negative covenants restrict or limit our and our subsidiaries’ ability to, among other things, incur new indebtedness; create liens on assets; engage in certain fundamental corporate changes or changes to our business activities; sell or otherwise dispose of assets; repurchase stock, pay dividends; repay certain other indebtedness; engage in certain affiliate transactions; or enter into any other agreements that restrict our ability to make loan repayments. In addition, we may not permit our liquidity, defined in the Credit Agreement as cash held in the debt service reserve account and any other deposit account subject to a control agreement with the Administrative Agent, to be less than $5.5 million at any time. The Credit Agreement also required the establishment of the debt service reserve account. We are currently required to maintain a minimum balance in this account of $5.5 million. Upon the satisfaction of certain conditions related to some of our leased properties, the minimum required balance in the debt service reserve account will be reduced to $4.0 million.</w:t>
      </w:r>
    </w:p>
    <w:p>
      <w:pPr>
        <w:spacing w:after="0" w:line="16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w:t>
      </w:r>
    </w:p>
    <w:p>
      <w:pPr>
        <w:spacing w:after="0" w:line="17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June 2017, we received $27.5 million in connection with the Biotest Transaction, comprised of $12.5 million in cash from BPC and an unsecured subordinated 6% note payable to BPC in the amount of $15.0 million. Also in June 2017, BPC provided us with a firm equity commitment to invest up to an additional $12.5 million in future equity financings of the Company, and this equity commitment was satisfied in its entirety in the foregoing November 2017 public offering of Common Stock.</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2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March 31,</w:t>
      </w:r>
    </w:p>
    <w:p>
      <w:pPr>
        <w:sectPr>
          <w:pgSz w:w="11900" w:h="16838" w:orient="portrait"/>
          <w:cols w:equalWidth="0" w:num="1">
            <w:col w:w="11420"/>
          </w:cols>
          <w:pgMar w:left="240" w:top="229"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200"/>
        <w:spacing w:after="0" w:line="360" w:lineRule="auto"/>
        <w:rPr>
          <w:sz w:val="20"/>
          <w:szCs w:val="20"/>
          <w:color w:val="auto"/>
        </w:rPr>
      </w:pPr>
      <w:r>
        <w:rPr>
          <w:rFonts w:ascii="Arial" w:cs="Arial" w:eastAsia="Arial" w:hAnsi="Arial"/>
          <w:sz w:val="16"/>
          <w:szCs w:val="16"/>
          <w:color w:val="auto"/>
        </w:rPr>
        <w:t>Cash and cash equivalents, including restricted cash - beginning of period Cash and cash equivalents, including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195"/>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(16,434,114)</w:t>
            </w:r>
          </w:p>
        </w:tc>
        <w:tc>
          <w:tcPr>
            <w:tcW w:w="22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(5,398,426)</w:t>
            </w:r>
          </w:p>
        </w:tc>
      </w:tr>
      <w:tr>
        <w:trPr>
          <w:trHeight w:val="230"/>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(549,246)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5,141,600</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(1,115,113)</w:t>
            </w:r>
          </w:p>
        </w:tc>
      </w:tr>
      <w:tr>
        <w:trPr>
          <w:trHeight w:val="224"/>
        </w:trPr>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(16,987,737)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(1,371,939)</w:t>
            </w:r>
          </w:p>
        </w:tc>
      </w:tr>
      <w:tr>
        <w:trPr>
          <w:trHeight w:val="431"/>
        </w:trPr>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48,607,574</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9,914,867</w:t>
            </w:r>
          </w:p>
        </w:tc>
      </w:tr>
      <w:tr>
        <w:trPr>
          <w:trHeight w:val="223"/>
        </w:trPr>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31,619,837</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8,542,928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520" w:space="720"/>
            <w:col w:w="3180"/>
          </w:cols>
          <w:pgMar w:left="240" w:top="229" w:right="239" w:bottom="1440" w:gutter="0" w:footer="0" w:header="0"/>
          <w:type w:val="continuous"/>
        </w:sectPr>
      </w:pPr>
    </w:p>
    <w:p>
      <w:pPr>
        <w:spacing w:after="0" w:line="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Cash used in operations for the three months ended March 31, 2018 was $16.4 million, an increase of $11.0 million from the same period of a year ago, mainly due to the higher net loss in 2018. The following table illustrates the primary components of our cash flows from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(17,822,142)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(6,536,963)</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1,564,464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512,639</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222,552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178,089</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189,379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(288,346)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(652,474)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(432,932)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(114,114)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1,179,127</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178,221</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(16,434,114)</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(5,398,426)</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Net cash used in investing activities for the first three months of 2018 was $0.5 million, consisting of capital expenditures at the Boca Facility. Although we have no specific material commitments for capital expenditures as of March 31, 2018, we expect our total capital expenditures will be between $2.0 million and $3.0 million for the remainder of fiscal 2018.</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Net cash provided by investing activities was $5.1 million for the three months ended March 31, 2017, which was related to the liquidation of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de minimis net cash used in financing activities during the three months ended March 31, 2018.</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Net cash used in financing activities totaled $1.1 million for the three months ended March 31, 2017, consisting primarily of principal payments under our previously existing senior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in 2017, 2016 and 2015, or for the three months ended March 31, 2018.</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4" w:name="page35"/>
    <w:bookmarkEnd w:id="3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March 31, 2018. Based on this evaluation, our principal executive officer and our principal financial officer concluded that our disclosure controls and procedures as of March 31, 2018 are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disclosures.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As we continue with the integration of the business processes and information systems in effect prior to the closing of the Biotest Transaction with those of ADMA BioManufacturing, we are modifying our internal control over financial reporting to address the integrated operations. The integration plan and related internal control modifications are expected to continue through our current fiscal year. Other than these integration-related changes, there have been no changes in our internal control over financial reporting during the quarter ended March 31, 2018 that has materially affected, or is reasonably likely to materially affect, our internal control over financial reporting.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claims that would have a material adverse effect on our consolidated financial position, results of operations or cash flows.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There are numerous and varied risks that may prevent us from achieving our goals. We believe that the following are the material risks that we face. If any of the following risks actually occurs, our business, financial condition or results of operations may be materially adversely affected. In such case, the trading price of our Common Stock could decline and investors in our Common Stock could lose all or part of their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Unless and until we receive approval from the FDA and other regulatory authorities for our RI-002 product candidate and other products and product candidates in our pipeline, we do not expect to sell and generate revenue from the commercialization of RI-002 and other products and product candidates in our pipeline, and we will be required to raise additional funds through the sale of our equity and/or debt securities in order to establish a commercial sales force, develop our commercial infrastructure and recognize any significant revenues.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long-term liquidity will depend upon our ability to raise additional capital, fund our research and development and commercial programs, establish and build out a commercial sales force and commercial infrastructure and meet our ongoing obligations. If we are unable to successfully raise additional capital prior to the end of 2018,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Based upon our projected revenue and expenditures for fiscal 2018, including regulatory and consulting fees for the remediation of the Warning Letter and ongoing discussions with the FDA, continuing implementation of our commercialization and expansion activities and certain other assumptions, we currently believe that our cash, cash equivalents, projected revenue and accounts receivable, along with the additional $10.0 million we expect to be able to access through our existing senior credit facility will be sufficient to fund our operations, as currently conducted, into the fourth quarter of 2018. In order to have sufficient cash to fund our operations thereafter and to continue as a going concern, we will need to raise additional equity or debt financing by the end of 2018. This timeframe may change based upon how quickly we are able to execute on our quality management systems’ remediation plans for the ADMA BioManufacturing operations, commercial manufacturing ramp-up activities and the various financing options available to us. These estimates may also change based upon whether or when the FDA approves RI-002 or if any of our other assumptions change.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6" w:name="page37"/>
    <w:bookmarkEnd w:id="3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Failure to timely and effectively remediate the outstanding Warning Letter and other inspection issues and deficiencies at the Boca Facility will have a material adverse effect on our business. Failure of the FDA to adhere to its stated timelines in the Code of Federal Regulations, as well as any potential government shut-downs or unforeseen government office closings may affect our ability to resolve the Warning Letter and other inspection issues within the timelines provided.</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Prior to the closing of the Biotest Transaction, BTBU was our third-party manufacturer for RI-002. In response to our RI-002 BLA submission in 2015, in July 2016 the FDA issued the CRL. The CRL did not specify or request the need for any addition clinical trials or data; however, the CRL reaffirmed the issues set forth in the Warning Letter issued to Biotest relating to inspection issues identified at the Boca Facility. The FDA identified in the CRL, among other things, certain outstanding inspection issues and deficiencies related to Chemistry, Manufacturing and Controls (“CMC”) and Good Manufacturing Practices (“GMP”) at the Boca Facility and at certain of our third-party vendors, and requested documentation of corrections for a number of these issues. The FDA indicated in the CRL that it cannot grant final approval of our RI-002 BLA until, among other things, these deficiencies are resolved. Following the completion of the Biotest Transaction, we gained control over the regulatory, quality, general operations and drug substance manufacturing process at the Boca Facility, and our highest priority has been to remediate the outstanding compliance issues at the Boca Facility as indicated in the Warning Letter. We have been working with a consulting firm consisting of quality management systems and biologics production subject matter experts with extensive experience in remediating compliance and inspection issues related to quality management systems that manages a robust team of subject matter experts in plasma derived products and biologic drugs to assist us in addressing all identified CMC and current good manufacturing practice (“cGMP”) issues and deficiencies. We believe that we have been inspection-ready since the end of 2017 and expect to have the FDA inspection classification relative to the Warning Letter improved after the next inspection by the FDA, however there can be no assurances as to the timing by which the FDA may inspect the facility and/or make any determinations post-inspection concerning our compliance status. There can also be no assurances that our ongoing efforts to remediate the Warning Letter and other inspection issues and deficiencies at the Boca Facility will be effective or whether the FDA will accept these efforts. Failure to timely remediate the issues identified in the Warning Letter and other inspection issues and deficiencies and/or receive approval from the FDA, as well as passing an FDA inspection within this timeline, if at all, will have a material adverse effect on our business, prospects, financial condition and results of operations. Additionally, we are unable to control the timing of FDA inspections, responses, meeting requests, teleconference requests, requests for clarifications and similar regulatory communications as well as whether or not the FDA will change its requirements, guidance or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 for the foreseeable future, and we may never achieve or maintain profitability. For the years ended December 31, 2017 and 2016, we incurred net losses of $43.8 and $19.5 million, respectively, and for the three months ended March 31, 2018 and 2017, we incurred net losses of $17.8 million and $6.5 million, respectively. From our inception in 2004 through March 31, 2018, we have incurred an accumulated deficit of $168.5 million. Even if we succeed in developing and commercializing one or more of our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6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remediate the outstanding compliance deficiencies identified by the FDA in the CRL and Warning Letter at the Boca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7" w:name="page38"/>
    <w:bookmarkEnd w:id="3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integrate the Biotest Assets into our business.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Although our financial statements have been prepared on a going concern basis, we must raise additional capital by the end of 2018 to fund our operations in order to continue as a going concern.</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CohnReznick LLP, our independent registered public accounting firm, has included an explanatory paragraph in their opinion that accompanies our audited consolidated financial statements as of and for the year ended December 31, 2017,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consolidated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Our audited consolidated financial statements as of and for the year ended December 31, 2017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8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anticipate that our principal sources of liquidity will only be sufficient to fund our activities, as currently conducted, into the fourth quarter of 2018. In order to have sufficient cash to fund our operations thereafter and to continue as a going concern, we will need to raise additional equity or debt financing prior to the end of 2018. This time frame may change based upon how quickly we are able to execute on our quality management systems’ remediation plans for the ADMA BioManufacturing operations, commercial manufacturing ramp-up activities and the various financing options available to us.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fourth quarter of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have not demonstrated an ability to perform the functions necessary for the successful commercialization of RI-002. The successful development and commercialization of any product candidate will require us or our collaborators to perform a variety of functions, including:</w:t>
      </w:r>
    </w:p>
    <w:p>
      <w:pPr>
        <w:spacing w:after="0" w:line="1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undertaking product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conducting sales and marketing activities once product approval is received.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operations thus far provide a limited basis for you to assess our ability to commercialize our product candidates and the advisability of investing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ADMA BioCenters operates FDA-licensed, GHA and KMFDS-certified source plasma collection facilities located in the United States, which provide us with a portion of our blood plasma for the manufacture of our products and product candidates. Plasma collected from ADMA BioCenters' facilities that is not used to manufacture our products and product candidates is sold to third-party customers in the United States and other locations where we are approved globally under supply agreements or in the open "spot" market. Furthermore, we have completed the construction of our third plasma collection facility, and we filed our BLA with the FDA and initiated collections for this facility in December 2017. Nabi-HB and Bivigam are manufactured at the Boca Facility, an FDA-licensed facility certified by the GHA. A portion of our revenues are dependent upon the continued operation of these facilities. Our operations are vulnerable to interruption by fire, weather related events such as hurricanes, wind and rain, other acts of God, electric power loss, telecommunications failure, equipment failure and breakdown, human error, employee issues and events beyond our control. We do not have detailed disaster recovery plans for our facilities nor do we have a backup manufacturing facility, other than our other facilities, or contractual arrangements with any other manufacturers in the event of a casualty to or destruction of any facility or if any facility ceases to be available to us for any other reason. If we are required to rebuild or relocate any of our facilities, a substantial investment in improvements and equipment would be necessary. We carry only a limited amount of business interruption insurance, which may not sufficiently compensate us for losses that may occur.</w:t>
      </w:r>
    </w:p>
    <w:p>
      <w:pPr>
        <w:spacing w:after="0" w:line="18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Our lead pipeline product candidate, RI-002, requires extensive clinical data analysis and regulatory review and may require additional testing. Clinical trials and data analysis can be very expensive, time-consuming and difficult to design and implement. If we are unsuccessful in obtaining regulatory approval for RI-002, or any of our product candidates do not provide positive results, we may be required to delay or abandon development of such product, which would have a material adverse impact on our business.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While we have met the primary endpoint for our pivotal Phase III trial for RI-002, we cannot provide any assurance or certainty regarding when we might receive regulatory approval of our RI-002 BLA. Furthermore, failure can occur at any stage of the process, and we could encounter problems that cause us to abandon our RI-002 BLA or repeat clinical trials. The commencement and completion of clinical trials for any current or future development product candidate may be delayed by several factors, including:</w:t>
      </w:r>
    </w:p>
    <w:p>
      <w:pPr>
        <w:spacing w:after="0" w:line="19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Investigational New Drug (“IND”) submissions or the conduct of these trials. Therefore, we cannot provide any assurance or predict with certainty the schedule for future clinical trials. In the event we do not ultimately receive regulatory approval for RI-002, we may be required to terminate development of our only product candidate. Unless we acquire or develop other product candidates that are saleable, our business will be limited to plasma collection and sales, as well as sales of Nabi-HB and Bivigam.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Even though our clinical trials for RI-002 have been completed as planned, we cannot be certain that their results will support our product candidate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the clinical trial and product testing for RI-002 were performed outside of the United States, and therefore, may not have been performed in accordance with standards normally required by the FDA and other regulatory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the necessary U.S. or worldwide regulatory approvals to commercialize RI-002, we will not be able to sell RI-002.</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we cannot obtain regulatory approval for RI-002, we will not be able to generate revenue from this product candidate. As a result,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RI-002 or any other product candidate we may acquire or develop in the future. In order to obtain FDA approval of RI-002 or any other product candidate requiring FDA approval, our clinical development must demonstrate that the product candidate is safe for humans and effective for its intended use, and we must successfully complete an FDA BLA review. Obtaining FDA approval of any other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RI-002 BLA. In addition, the FDA could determine that we must test additional subjects and/or require that we conduct further studies with more subjects. We may never obtain regulatory approval for RI-002, or any other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United States.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United States.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approval from the FDA to market RI-002, our ability to market RI-002 for alternative applications could be limited.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We have sought approval from the FDA to market RI-002 for the treatment of PIDD and, even if approved, we cannot be sure whether we will be able to obtain FDA approval for any desired future indications for RI-002.</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third-party researchers, developers and vendors to develop RI-002, and such parties are, to some extent, outside of our control.</w:t>
      </w:r>
    </w:p>
    <w:p>
      <w:pPr>
        <w:spacing w:after="0" w:line="24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depend on independent investigators and collaborators, such as universities and medical institutions, contract laboratories, clinical research organizations, contract manufacturers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Historically a single customer has accounted for a significant amount of our total revenue and, together with a second customer, represented 78% of our total revenue for the year ended December 31, 2017 and, collectively with two other customers, represented 90% of our total revenue for the three months ended March 31, 2018, and therefore the loss of such single customer could have a material adverse effect on our business, results of operations and financial condition.</w:t>
      </w:r>
    </w:p>
    <w:p>
      <w:pPr>
        <w:spacing w:after="0" w:line="18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Historically, a significant amount of our total revenue is attributable to a single customer, BPC. For the year ended December 31, 2017, BPC and Sanofi represented 78% of our total revenue, with BPC representing 47% of our total revenue and Sanofi representing 31% of our total revenue. For the three months ended March 31, 2018, three customers represented an aggregate of 90% of our consolidated revenues, with BPC, McKesson Corporation and AmerisourceBergen representing 58%, 17% and 15%, respectively, of our consolidated revenues. For the three months ended March 31, 2017, sales to BPC represented 81% of our consolidated revenues, and sales to SK Plasma Co., Ltd. represented 17% of our consolidated revenues.</w:t>
      </w:r>
    </w:p>
    <w:p>
      <w:pPr>
        <w:spacing w:after="0" w:line="158"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Although we expect this concentration to continue to decrease during 2018 as additional sales of Nabi-HB, revenues from our contract manufacturing services and sale of intermediate by-products are reflected in our consolidated financial statements, BPC is still expected to account for a significant portion of our total revenue in fiscal 2018.</w:t>
      </w:r>
    </w:p>
    <w:p>
      <w:pPr>
        <w:spacing w:after="0" w:line="18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loss of BPC as a customer or a material change in the revenue generated by BPC could have a material adverse effect on our business, results of operations and financial condition. Factors that could influence our relationships with our customers include, among other things:</w:t>
      </w:r>
    </w:p>
    <w:p>
      <w:pPr>
        <w:spacing w:after="0" w:line="14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jc w:val="center"/>
        <w:ind w:right="1020" w:firstLine="332"/>
        <w:spacing w:after="0" w:line="581"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produce and deliver a sufficient quantity of our products in a timely manner to meet our customers’ requirements. Additionally, an adverse change in the financial condition of BPC could have a material adverse effect on our business and results of operations.</w:t>
      </w:r>
    </w:p>
    <w:p>
      <w:pPr>
        <w:spacing w:after="0" w:line="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Issues with product quality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Even if the FDA approves a product made by us, physicians and patients may not accept and use it. Acceptance and use of our products will depend on a number of factors including: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Industry and other market data used in our periodic reports filed with the SEC and certain other materials, including those undertaken by us or our engaged consultants, may not prove to be representative of current and future market conditions or future results.</w:t>
      </w:r>
    </w:p>
    <w:p>
      <w:pPr>
        <w:spacing w:after="0" w:line="147"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Our periodic reports filed with the SEC and certain other materials include statistical and other industry and market data that we obtained from industry publications and research, surveys and studies conducted by third parties and surveys and studies we commissioned regarding the market potential for our current products as well as RI-002.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any such report or other materials. Readers should not place undue reliance on this information.</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long-term success may depend on our ability to supplement our existing product portfolio through new product development or the in-license or acquisition of other new products and product candidates, and if our business development efforts are not successful, our ability to achieve profitability may be adversely impacted.</w:t>
      </w:r>
    </w:p>
    <w:p>
      <w:pPr>
        <w:spacing w:after="0" w:line="18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current product development portfolio consists primarily of RI-002 and label expansion activities for Nabi-HB and Bivigam.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development and commercialization of, RI-002, as well as the revenue we may generate from the sale of Nabi-HB, Bivigam, contract manufacturing, and intermediates and plasma attributable to the operations of ADMA BioCenters, to support our operations.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ADMA BioCenters facilities collect information from donors in the United States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Consumer privacy is highly protected by federal and state law. The Health Insurance Portability and Accountability Act of 1996 (“HIPAA”), as amended by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We could be subject to enforcement action and litigation exposure if we fail to adhere to these data privacy and security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strategic and financial benefits currently anticipated from the Biotest Transaction.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may not realize all of the strategic and financial benefits currently anticipated from the Biotest Transaction. For example, we may not realize the anticipated benefits of acquiring control of all aspects of RI-002 drug manufacturing, regulatory affairs and business operations. In addition, we may not be able to resolve the outstanding issues at the Boca Facility that resulted in the Warning Letter.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If we are unable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we will not be able to apply for the PAS related to the manufacturing of Bivigam or reapply for FDA approval to market and sell RI-002, which could have a material adverse effect on us. Failure to resolve any outstanding issues or any administrative actions taken or changes made by the FDA toward our contract manufacturers, vendors or us could impact our ability to receive approval for RI-002, including the timing thereof, disrupt our business operations and the timing of our commercialization efforts and may have a material adverse effect on our financial condition and operating results.</w:t>
      </w:r>
    </w:p>
    <w:p>
      <w:pPr>
        <w:spacing w:after="0" w:line="18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Through the Biotest Transaction,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4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There is also uncertainty as to whether the combined business will be able to operate at a profitable level in the future given the relatively small size of the Biotest Assets and the competitive environment in which we operate. Furthermore, there is no assurance and no definitive timeline as to when or if the Warning Letter will be resolved by the FDA, and we have no assurances as to the timing by which the FDA may inspect the Boca Facility and/or make any determinations post-inspection concerning our compliance status. These factors could have a material adverse effect 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the Biotest Assets into our business.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completing the Biotest Transaction, we agreed to transfer assets that have historically generated substantially all of our revenue.</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part of the purchase price to acquire the Biotest Assets, we have agreed to transfer to BPC ownership of our two licensed plasma collection facilities in the United States and certain related assets and liabilities. These plasma collection facilities to be transferred have historically been the source of substantially all of our revenue. Although we have completed construction of a new plasma collection facility, there can be no assurances that we will generate similar revenues as historically reported from the plasma collection facilities we will transfer to BPC on January 1, 2019.</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part of the consideration for the Biotest Transaction, we agreed to assume certain liabilities of BPC related to BTBU. Because we agreed to assume liabilities related to the Biotest Assets, we are exposed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Purchase Agreement contains indemnification undertakings by the parties thereto for certain losses, including, among other things, indemnification for any losses arising from breaches of its representations, warranties, covenants and agreements in the Purchase Agreement. In connection with the Biotest Transfer Agreement, we granted a full release to Biotest from any and all past, present or future indemnification claims arising under or in connection with the Purchase Agreement. Significant indemnification claims by BPC or its affiliates or breaches by BPC or its affiliates of any indemnity obligations which would have been owed to us under the Purchase Agreement prior to the release granted in the Biotest Transfer Agreement could have a material adverse effect on our business, financial condition, results of operations and stock price.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while the Purchase Agreement contains certain non-compete clauses, such clauses do not prohibit either the Biotest Guarantors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was inadequate, then it could result in a material adverse effect on our business.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1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credit agreement (the “Credit Agreement”) with Marathon Healthcare Finance Fund, L.P. (“Marathon”) is subject to acceleration in specified circumstances, which may result in Marathon taking possession and disposing of any collateral.</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October 10, 2017, we entered into the Credit Agreement with Marathon which provides for a senior secured term loan facility in an aggregate amount of up to $40.0 million (collectively, the “Credit Facility”), comprised of (i) a term loan in the principal amount of $30.0 million (the “Tranche One Loan”), (ii) an additional term loan to be made in the maximum principal amount not to exceed $10.0 million (the “Tranche Two Loan;” and, together with the Tranche One Loan, the “Loans”), which Tranche Two Loan availability is subject to the satisfaction of certain conditions. The Loans each have a maturity date of April 10, 2022 (the “Maturity Date”), subject to acceleration pursuant to the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5% per annum, the occurrence of an Event of Default could result in, among other things, the termination of commitments under the Credit Facility, the declaration that all outstanding Loans are immediately due and payable in whole or in part, and Marathon taking immediate possession of, and selling, any collateral securing the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RI-002 (if we obtain regulatory approval)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we move forward in clinical development we are also uncovering novel aspects of our product and are drafting patents to cover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inventions. We rely on a combination of patent rights, trade secrets and nondisclosure and non-competition agreements to protect our proprietary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we will continue to do so. There can be no assurance that our patent, trade secret policies and practices or other agreements will adequately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intellectual property. Our issued patents may be challenged, found to be over-broad or otherwise invalidated in subsequent proceedings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courts or the United States Patent and Trademark Office. Even if enforceable, we cannot provide any assurances that they will provide significant protection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competition. The processes, systems, and/or security measures we use to preserve the integrity and confidentiality of our data and trade secrets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breached, and we may not have adequate remedies as a result of any such breaches. In addition, our trade secrets may otherwise become known or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independently discovered by competitors. There can be no assurance that the confidentiality, nondisclosure and non-competition agreements with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consultants and other parties with access to our proprietary information to protect our trade secrets, proprietary technology, processes and other proprietary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or any other security measures relating to such trade secrets, proprietary technology, processes and proprietary rights, will be adequate, will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breached, that we will have adequate remedies for any breach, that others will not independently develop substantially equivalent proprietary information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third parties will not otherwise gain access to our trade secrets or proprietary knowledge. To the extent that our consultants, contractors or collaborators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intellectual property owned by others in their work for us, disputes may arise as to the rights in related or resulting know-how and inventions.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United States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Patent rights covering RI-002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and no assurance can be given that we will</w:t>
      </w:r>
    </w:p>
    <w:p>
      <w:pPr>
        <w:ind w:right="60"/>
        <w:spacing w:after="0" w:line="261" w:lineRule="auto"/>
        <w:rPr>
          <w:sz w:val="20"/>
          <w:szCs w:val="20"/>
          <w:color w:val="auto"/>
        </w:rPr>
      </w:pPr>
      <w:r>
        <w:rPr>
          <w:rFonts w:ascii="Arial" w:cs="Arial" w:eastAsia="Arial" w:hAnsi="Arial"/>
          <w:sz w:val="18"/>
          <w:szCs w:val="18"/>
          <w:color w:val="auto"/>
        </w:rPr>
        <w:t>prevail. There is no assurance that RI-002, or any other of our products for which we are issued a patent, will enjoy market exclusivity for the full time period of the respective patent.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 Notwithstanding the foregoing, in the event Mr. Grossman is terminated for cause or resigns other than for good reason, then the standstill provisions contained in the Stockholders Agreement, which prohibits BPC or its transferee from, among other things, acquiring more than (i) 50%, less one share, of our issued and outstanding shares of capital stock on an as-converted basis, or (ii) 30% of the issued and outstanding shares of Common Stock, will terminate and be of no further force and effect. Such event could result in BPC or its transferee acquiring additional shares of our Common Stock or taking other actions with the goal of acquiring additional shares of our Common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Cyberattacks and other security breaches could compromise our proprietary and confidential information which could harm our business and reputation.</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may be harmed.</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and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17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currently collect human blood plasma at our ADMA BioCenters facilities, and if we cannot maintain FDA approval for these facilities we may be adversely affected and may not be able to sell or use this human blood plasma for future commercial purposes.</w:t>
      </w:r>
    </w:p>
    <w:p>
      <w:pPr>
        <w:spacing w:after="0" w:line="1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intend to maintain FDA and other governmental and regulatory approvals of our ADMA BioCenters collection facilities for the collection of human blood plasma. These facilities are subject to FDA and other governmental and regulatory inspections and extensive regulation, including compliance with current cGMP, FDA and other government approvals. Failure to comply with applicable governmental regulations or to receive applicable approvals for our future facilities, including our third facility,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9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cannot maintain appropriate FDA status for these facilities, we may be adversely affected, and may not be able to sell, manufacture or commercialize these products.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currently operate under the Warning Letter due to issues identified by the FDA in their prior inspections while the Boca Facility was under Biotest’s ownership and operational control. We engaged a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believe that we have been inspection-ready since the end of 2017 and expect to have the FDA inspection classification relative to the Warning Letter improved after the next inspection by the FDA, however there can be no assurances as to the timing by which the FDA may make such a determination after any inspection.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do not receive FDA approval for additional plasma collection centers, including our third center for which construction was completed in late 2017, before January 1, 2019, then we may be required to seek a waiver and extension from Biotest for the contractually required transfer of two of our facilities.</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recently completed construction our third plasma center and plan to leverage our existing plasma center license in order to seek approval for this new facility with the FDA. The BLA for this facility was filed with the FDA in December 2017. If we do not receive FDA approval for this third plasma center on or before January 1, 2019, then we will be required to seek a waiver and extension from Biotest for our contractual obligation to transfer the two facilities under the Purchase Agreement. However, there can be no assurances that Biotest will waive or extend its rights with respect to such transfer. In the event Biotest refuses to waive and extend such right, we will be obligated to transfer the two facilities under the Purchase Agreement and risk not having an FDA-approved plasma center in the event of a delay or refusal to issue our future license for the new plasma center by the FDA. Any such delay or refusal to issue the license by the FDA could have a material adverse effect on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2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laws governing our conduct in the United States are enforceable on the federal and state levels by criminal, civil and administrative penalties. Violations of laws such as the Federal Food, Drug, and Cosmetic Act, the Social Security Act (including the Anti-Kickback Law),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For example, under the Anti-Kickback Law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and the companion Health Care and Education Reconciliation Act, which together are referred to as the “Healthcare Reform Law”, such payments by pharmaceutical manufacturers to U.S. healthcare practitioners and academic medical centers must be publicly disclosed.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Law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Law and various other laws, rules and regulations.</w:t>
      </w:r>
    </w:p>
    <w:p>
      <w:pPr>
        <w:spacing w:after="0" w:line="18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United States or the European Union, we could be adversely affected.</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In the future, we may need to adopt healthcare compliance and ethics programs that would incorporate the OIG's recommendations, and train our applicable employees in such compliance. Such a program may be expensive and may not assure that we will avoid compliance issues.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manufacturing processes for plasma-based biologics are complex and involve biological intermediates that are susceptible to contamination.</w:t>
      </w:r>
    </w:p>
    <w:p>
      <w:pPr>
        <w:spacing w:after="0" w:line="24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and manufacturing processes against transmittable diseases.</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centers. This strategy is dependent upon our ability to maintain a cGMP compliant environment in both plasma centers and to expand production and attract donors to both centers. There is no assurance that the FDA will inspect and license our unlicensed plasma collection centers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centers to more efficient production levels may be affected by changes in the economic environment and population in selected regions where ADMA BioCenters operates its current or future plasma centers,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centers.</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 As the FDA BLA review process is ongoing, we are subject to information requests and communications from the FDA on a routine basis and may not have clarity on any or all specific aspects of the approval timing, language, name, claims and any other future requirements that may be imposed by the FDA or other governmental agencies for marketing, authorization and ultimately financial reimbursement for patient utilization.</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the healthcare reform may make it easier for competitors to market biosimilar products.</w:t>
      </w:r>
    </w:p>
    <w:p>
      <w:pPr>
        <w:spacing w:after="0" w:line="23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approved three biosimilar products in 2016. As a result of the biosimilar pathway in the United States, we expect in the future to face greater competition from biosimilar products, including a possible increase in patent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United States may adversely affect our business.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There have been repeated attempts by Congress to repeal or change the Healthcare Reform Law. At this time, it remains unclear whether there will be any changes made to or any repeal or replacement of the Healthcare Reform Law, with respect to certain of its provisions or in its entirety.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worldwide economy may adversely impact our business.</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The difficult economic environment may adversely affect demand for our products. RI-002, our current product candidate, is expected to be sold to hospitals, specialty pharmacies and clinicians in the United States. As a result of loss of jobs, patients may lose medical insurance and be unable to purchase our products or may be unable to pay their share of deductibles or co-payments. Hospitals adversely affected by the economy may steer patients to less costly therapies, resulting in a reduction in demand, or demand may shift to public health hospitals, which may purchase at a lower government price.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Our operations have consumed substantial amounts of cash since inception. For the three months ended March 31, 2018 and 2017, we had negative cash flows from operations of $16.4 million and $5.4 million, respectively, and for the years ended December 31, 2017 and 2016, we had negative cash flows from operations of approximately $37.3 million and $18.3 million, respectively. We expect to continue to spend substantial amounts on product development, including commercialization activities, procuring raw material plasma, manufacturing, conducting potential future clinical trials for our product candidates and purchasing clinical trial materials from our suppliers. We currently anticipate, based upon our projected revenue and expenditures, as well as the additional $10.0 million we expect to be able to access under the Credit Agreement, that our current cash, cash equivalents and accounts receivable will be sufficient to fund our operations, as currently conducted, into the fourth quarter of 2018. In order to have sufficient cash to fund our operations thereafter and to continue as a going concern, we will need to raise additional equity or debt financing prior to the end of 2018. This time frame may change based upon how quickly we are able to execute on our operational initiatives and the various financing options available to us.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product development activities, including conducting clinical trials for our product candidates and purchasing clinical trial materials from our suppliers, as well as future commercialization efforts.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cash, cash equivalents and short-term investments could be adversely affected if the financial institutions in which we hold our cash, cash equivalents and short-term investments fail.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1" w:lineRule="exact"/>
        <w:rPr>
          <w:sz w:val="20"/>
          <w:szCs w:val="20"/>
          <w:color w:val="auto"/>
        </w:rPr>
      </w:pPr>
    </w:p>
    <w:p>
      <w:pPr>
        <w:ind w:right="440" w:firstLine="648"/>
        <w:spacing w:after="0" w:line="273" w:lineRule="auto"/>
        <w:rPr>
          <w:sz w:val="20"/>
          <w:szCs w:val="20"/>
          <w:color w:val="auto"/>
        </w:rPr>
      </w:pPr>
      <w:r>
        <w:rPr>
          <w:rFonts w:ascii="Arial" w:cs="Arial" w:eastAsia="Arial" w:hAnsi="Arial"/>
          <w:sz w:val="17"/>
          <w:szCs w:val="17"/>
          <w:color w:val="auto"/>
        </w:rPr>
        <w:t>Pursuant to Section 404 of the Sarbanes-Oxley Act of 2002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have incurred substantial losses during our history. As of December 31, 2017, we had federal and state NOLs of $125.3 million and $201.5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imposes limitations on a company’s ability to use NOLs upon certain changes in such ownership. If we are limited in our ability to use our NOLs in future years in which we have taxable income, we will pay more taxes than if we were able to fully utilize our NOLs. We may experience ownership changes in the future as a result of subsequent shifts in our stock ownership that we cannot predict or control that could result in further limitations being placed on our ability to utilize our federal NOLs.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Tax Cuts and Jobs Act (the “TCJA”) could adversely affect our business and financial condition.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FDA approval for RI-002;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RI-002;</w:t>
      </w:r>
    </w:p>
    <w:p>
      <w:pPr>
        <w:spacing w:after="0" w:line="25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once the deficiencies identified in the CRL have been resolved by us to the satisfaction of the FDA;</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extremely speculative and there can be no assurance of any return on any such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investment in our Common Stock is extremely speculative and there is no assurance that investors will obtain any return on their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be subject to substantial risks involved in an investment in us, including the risk of losing their entire investment.</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As of May 14, 2018 most of our 36,726,084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(“Rule 144”) or under effective registration statements. The 4,295,580 shares of Common Stock and the 8,591,160 NV Biotest Shares acquired by BPC in the Biotest Transaction were subject to a lock-up for six months after closing of the Biotest Transaction, which lock-up expired on December 6, 2017. For three years after the end of such six-month period, subject to certain limited exceptions, under the Stockholders Agreement, sales by BPC, or its transferee of our equity interests may not exceed 15% of the issued and outstanding Common Stock in any twelve-month period; provided, however, that if our market capitalization increases to double our market capitalization immediately following the closing of the Biotest Transaction, then BPC or its transferee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BPC or its transferee holding less than a 25% economic interest in us, then BPC or its transferee may sell its equity interests in us at any time (subject to applicable securities laws). On May 14, 2018, we, ADMA BioManufacturing and ADMA BioCenters entered into the Biotest Transfer Agreement with BPC, Biotest AG, Biotest US and the Biotest Trust whereby BPC transferred to us, for no cash consideration, the 8,591,160 NV Biotest Shares, representing 100% of our then-issued and outstanding non-voting common stock. Immediately upon transfer of the NV Biotest Shares to us, the shares were retired and are no longer available for issuance. At the closing of the Biotest Transaction, we entered into the Registration Rights Agreement with BPC, pursuant to which BPC or its transferee has, among other things, certain registration rights under the Securities Act with respect to its shares of our Common Stock, subject to certain transfer restrictions. Sales of a substantial number of shares of our Common Stock, or the perception that such sales may occur, may adversely impact the market price of our Common Stock.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Amended and Restated Certificate of Incorporation (the “A&amp;R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Provisions of our A&amp;R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As of March 31, 2018, BPC, our directors and executive officers and their affiliates beneficially owned in excess of 55% of the outstanding shares of our common stock. In addition, these provisions may limit the ability of stockholders to approve transactions that they may deem to be in their best interests. These provisions include:</w:t>
      </w:r>
    </w:p>
    <w:p>
      <w:pPr>
        <w:spacing w:after="0" w:line="18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to institute a stockholder rights plan, also known as a poison pill, that would work to dilute our stock;</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Section 203 of the Delaware General Corporation Law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As a result, capital appreciation, if any, of our common stock will be your sole source of gain for the foreseeable future.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Capital Market (“Nasdaq”), we may be subject to delisting. As a result, our stock price may decline and our Common Stock may be delisted. If our stock were no longer listed on Nasdaq, the liquidity of our securities likely would be impaired.</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currently trades on Nasdaq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Because the price of our Common Stock has historically traded below $5.00 per share, our Common Stock may be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an “emerging growth company,” as defined by the Jumpstart Our Business Startups Act (the “JOBS Act”). The JOBS Act contains provisions that, among other things, reduce certain reporting requirements for qualifying public companies. As an “emerging growth company,” we may, under Section 7(a)(2)(B) of the Securities Act, delay adoption of new or revised accounting standards applicable to public companies until such standards would otherwise apply to private companies. We may continue to take advantage of this extended transition period until the first to occur of the date that we (i) are no longer an “emerging growth company” or (ii) affirmatively and irrevocably opt out of this extended transition period.</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could be an emerging growth company until December 31, 2018, which is the last day of the fiscal year following the fifth anniversary of the first sale of our common equity securities pursuant to an effective registration statement under the Securities Act. However, if certain events occur prior to the end of such five-year period, including if we become a “large accelerated filer,” our total annual gross revenues exceed $1.07 billion or we issue more than $1.0 billion of non-convertible debt in any three-year period, we would cease to be an emerging growth company prior to the end of such five-year period.</w:t>
      </w:r>
    </w:p>
    <w:p>
      <w:pPr>
        <w:spacing w:after="0" w:line="15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registered public accounting firm provide an attestation report on our internal control over financial reporting.</w:t>
      </w:r>
    </w:p>
    <w:p>
      <w:pPr>
        <w:spacing w:after="0" w:line="18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our stock price may be more volatile and our stock price may decline dramatically.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A&amp;R Certificate of Incorporation authorizes the issuance of up to 10,000,000 shares of “blank check” preferred stock, with such designation rights and preferences as may be determined from time to time by the Board. Currently, our A&amp;R Certificate of Incorporation authorizes the issuance of up to 75,000,000 shares of Common Stock, of which 33,617,806 shares remain available for issuance and may be issued by us without stockholder approval, and up to 8,591,160 shares of non-voting common stock, all of which were reacquired by us in May 2018 pursuant to the Biotest Transfer Agreement and were subsequently retired and no longer available for issuance.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20"/>
              <w:spacing w:after="0"/>
              <w:rPr>
                <w:sz w:val="20"/>
                <w:szCs w:val="20"/>
                <w:color w:val="auto"/>
              </w:rPr>
            </w:pPr>
            <w:r>
              <w:rPr>
                <w:rFonts w:ascii="Arial" w:cs="Arial" w:eastAsia="Arial" w:hAnsi="Arial"/>
                <w:sz w:val="18"/>
                <w:szCs w:val="18"/>
                <w:b w:val="1"/>
                <w:bCs w:val="1"/>
                <w:color w:val="auto"/>
              </w:rPr>
              <w:t>ADMA Biologics, Inc.</w:t>
            </w: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Adam S. Grossman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864"/>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Brian Lenz</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 and Chief Financial Officer</w:t>
            </w:r>
          </w:p>
        </w:tc>
      </w:tr>
    </w:tbl>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20" w:type="dxa"/>
            <w:vAlign w:val="bottom"/>
            <w:tcBorders>
              <w:bottom w:val="single" w:sz="8" w:color="0000EE"/>
            </w:tcBorders>
            <w:gridSpan w:val="5"/>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61"/>
        </w:trPr>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gridSpan w:val="6"/>
          </w:tcPr>
          <w:p>
            <w:pPr>
              <w:ind w:left="15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54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00" w:type="dxa"/>
            <w:vAlign w:val="bottom"/>
            <w:gridSpan w:val="9"/>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Certification of Principal Executive Officer pursuant to Rules 13a-14(a) and 15d-14(a), as adopted pursuant to Section 302 of the</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Sarbanes-Oxley Act of 2002.</w:t>
              </w:r>
            </w:hyperlink>
          </w:p>
        </w:tc>
        <w:tc>
          <w:tcPr>
            <w:tcW w:w="400" w:type="dxa"/>
            <w:vAlign w:val="bottom"/>
            <w:gridSpan w:val="3"/>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2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Certification of Principal Financial Officer pursuant to Rules 13a-14(a) and 15d-14(a), as adopted pursuant to Section 302 of the</w:t>
              </w:r>
            </w:hyperlink>
          </w:p>
        </w:tc>
        <w:tc>
          <w:tcPr>
            <w:tcW w:w="44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Sarbanes-Oxley Act of 2002.</w:t>
              </w:r>
            </w:hyperlink>
          </w:p>
        </w:tc>
      </w:tr>
      <w:tr>
        <w:trPr>
          <w:trHeight w:val="20"/>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5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0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Oxley Act of 2002.</w:t>
              </w:r>
            </w:hyperlink>
          </w:p>
        </w:tc>
        <w:tc>
          <w:tcPr>
            <w:tcW w:w="8300" w:type="dxa"/>
            <w:vAlign w:val="bottom"/>
            <w:gridSpan w:val="7"/>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700" w:type="dxa"/>
            <w:vAlign w:val="bottom"/>
            <w:gridSpan w:val="9"/>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Certification of Principal Financial Officer pursuant to 18 U.S.C Section 1350, as adopted pursuant to Section 906 of the Sarbanes-</w:t>
              </w:r>
            </w:hyperlink>
          </w:p>
        </w:tc>
      </w:tr>
      <w:tr>
        <w:trPr>
          <w:trHeight w:val="196"/>
        </w:trPr>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Oxley Act of 2002.</w:t>
              </w:r>
            </w:hyperlink>
          </w:p>
        </w:tc>
        <w:tc>
          <w:tcPr>
            <w:tcW w:w="8040" w:type="dxa"/>
            <w:vAlign w:val="bottom"/>
            <w:tcBorders>
              <w:top w:val="single" w:sz="8" w:color="0000EE"/>
            </w:tcBorders>
            <w:gridSpan w:val="5"/>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w w:val="96"/>
              </w:rPr>
              <w:t>The following materials from ADMA Biologics, Inc.’s Form 10-Q for the quarter ended March 31, 2018, formatted in Extensible</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w w:val="90"/>
              </w:rPr>
              <w:t>Business Reporting Language (XBRL): (i) Condensed Consolidated Balance Sheets as of March 31, 2018 (Unaudited) and December</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w w:val="92"/>
              </w:rPr>
              <w:t>31, 2017, (ii) Condensed Consolidated Statements of Operations (Unaudited) for the three months ended March 31, 2018 and 2017,</w:t>
            </w:r>
          </w:p>
        </w:tc>
      </w:tr>
      <w:tr>
        <w:trPr>
          <w:trHeight w:val="230"/>
        </w:trPr>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w w:val="91"/>
              </w:rPr>
              <w:t>(iii) Condensed Consolidated Statement of Changes in Stockholders' Equity (Unaudited) for the three months ended March 31, 2018,</w:t>
            </w:r>
          </w:p>
        </w:tc>
      </w:tr>
    </w:tbl>
    <w:p>
      <w:pPr>
        <w:ind w:left="1720" w:right="280"/>
        <w:spacing w:after="0" w:line="261" w:lineRule="auto"/>
        <w:rPr>
          <w:sz w:val="20"/>
          <w:szCs w:val="20"/>
          <w:color w:val="auto"/>
        </w:rPr>
      </w:pPr>
      <w:r>
        <w:rPr>
          <w:rFonts w:ascii="Arial" w:cs="Arial" w:eastAsia="Arial" w:hAnsi="Arial"/>
          <w:sz w:val="18"/>
          <w:szCs w:val="18"/>
          <w:color w:val="auto"/>
        </w:rPr>
        <w:t>(iv) Condensed Consolidated Statements of Cash Flows (Unaudited) for the three months ended March 31, 2018 and 2017, and (v) Notes to (Unaudited)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5620" w:right="4120" w:hanging="5612"/>
        <w:spacing w:after="0" w:line="528" w:lineRule="auto"/>
        <w:tabs>
          <w:tab w:leader="none" w:pos="2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80" w:type="dxa"/>
            <w:vAlign w:val="bottom"/>
          </w:tcPr>
          <w:p>
            <w:pPr>
              <w:spacing w:after="0"/>
              <w:rPr>
                <w:sz w:val="18"/>
                <w:szCs w:val="18"/>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322"/>
        <w:spacing w:after="0" w:line="308" w:lineRule="auto"/>
        <w:tabs>
          <w:tab w:leader="none" w:pos="11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80" w:type="dxa"/>
            <w:vAlign w:val="bottom"/>
          </w:tcPr>
          <w:p>
            <w:pPr>
              <w:spacing w:after="0"/>
              <w:rPr>
                <w:sz w:val="18"/>
                <w:szCs w:val="18"/>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6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March 31, 2018,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47"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160" w:right="600" w:hanging="571"/>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80" w:type="dxa"/>
            <w:vAlign w:val="bottom"/>
          </w:tcPr>
          <w:p>
            <w:pPr>
              <w:spacing w:after="0"/>
              <w:rPr>
                <w:sz w:val="18"/>
                <w:szCs w:val="18"/>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ADMA Biologics, Inc., a Delaware corporation (the “Company”), on Form 10-Q for the quarter ended March 31, 2018,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66" w:lineRule="exact"/>
        <w:rPr>
          <w:sz w:val="20"/>
          <w:szCs w:val="20"/>
          <w:color w:val="auto"/>
        </w:rPr>
      </w:pPr>
    </w:p>
    <w:p>
      <w:pPr>
        <w:ind w:left="1160" w:hanging="571"/>
        <w:spacing w:after="0"/>
        <w:tabs>
          <w:tab w:leader="none" w:pos="1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160" w:right="600" w:hanging="571"/>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80" w:type="dxa"/>
            <w:vAlign w:val="bottom"/>
          </w:tcPr>
          <w:p>
            <w:pPr>
              <w:spacing w:after="0"/>
              <w:rPr>
                <w:sz w:val="18"/>
                <w:szCs w:val="18"/>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ý"/>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emdash "/>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decimal"/>
      <w:start w:val="4"/>
    </w:lvl>
  </w:abstractNum>
  <w:abstractNum w:abstractNumId="10">
    <w:nsid w:val="8EDBDAB"/>
    <w:multiLevelType w:val="hybridMultilevel"/>
    <w:lvl w:ilvl="0">
      <w:lvlJc w:val="left"/>
      <w:lvlText w:val="%1."/>
      <w:numFmt w:val="decimal"/>
      <w:start w:val="5"/>
    </w:lvl>
  </w:abstractNum>
  <w:abstractNum w:abstractNumId="11">
    <w:nsid w:val="79838CB2"/>
    <w:multiLevelType w:val="hybridMultilevel"/>
    <w:lvl w:ilvl="0">
      <w:lvlJc w:val="left"/>
      <w:lvlText w:val="%1."/>
      <w:numFmt w:val="decimal"/>
      <w:start w:val="6"/>
    </w:lvl>
  </w:abstractNum>
  <w:abstractNum w:abstractNumId="12">
    <w:nsid w:val="4353D0CD"/>
    <w:multiLevelType w:val="hybridMultilevel"/>
    <w:lvl w:ilvl="0">
      <w:lvlJc w:val="left"/>
      <w:lvlText w:val="%1."/>
      <w:numFmt w:val="decimal"/>
      <w:start w:val="7"/>
    </w:lvl>
  </w:abstractNum>
  <w:abstractNum w:abstractNumId="13">
    <w:nsid w:val="B03E0C6"/>
    <w:multiLevelType w:val="hybridMultilevel"/>
    <w:lvl w:ilvl="0">
      <w:lvlJc w:val="left"/>
      <w:lvlText w:val="%1."/>
      <w:numFmt w:val="decimal"/>
      <w:start w:val="8"/>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decimal"/>
      <w:start w:val="10"/>
    </w:lvl>
  </w:abstractNum>
  <w:abstractNum w:abstractNumId="16">
    <w:nsid w:val="71F32454"/>
    <w:multiLevelType w:val="hybridMultilevel"/>
    <w:lvl w:ilvl="0">
      <w:lvlJc w:val="left"/>
      <w:lvlText w:val="%1."/>
      <w:numFmt w:val="decimal"/>
      <w:start w:val="11"/>
    </w:lvl>
  </w:abstractNum>
  <w:abstractNum w:abstractNumId="17">
    <w:nsid w:val="2CA88611"/>
    <w:multiLevelType w:val="hybridMultilevel"/>
    <w:lvl w:ilvl="0">
      <w:lvlJc w:val="left"/>
      <w:lvlText w:val="%1."/>
      <w:numFmt w:val="decimal"/>
      <w:start w:val="12"/>
    </w:lvl>
  </w:abstractNum>
  <w:abstractNum w:abstractNumId="18">
    <w:nsid w:val="836C40E"/>
    <w:multiLevelType w:val="hybridMultilevel"/>
    <w:lvl w:ilvl="0">
      <w:lvlJc w:val="left"/>
      <w:lvlText w:val="%1."/>
      <w:numFmt w:val="decimal"/>
      <w:start w:val="13"/>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1)"/>
      <w:numFmt w:val="lowerRoman"/>
      <w:start w:val="2"/>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2020-01-15T11:16:54Z</dcterms:created>
  <dcterms:modified xsi:type="dcterms:W3CDTF">2020-01-15T11:16:54Z</dcterms:modified>
</cp:coreProperties>
</file>