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2018</w:t>
      </w:r>
    </w:p>
    <w:p>
      <w:pPr>
        <w:spacing w:after="0" w:line="22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w w:val="98"/>
              </w:rPr>
              <w:t>For the transition period from</w:t>
            </w:r>
          </w:p>
        </w:tc>
        <w:tc>
          <w:tcPr>
            <w:tcW w:w="4940" w:type="dxa"/>
            <w:vAlign w:val="bottom"/>
            <w:gridSpan w:val="3"/>
          </w:tcPr>
          <w:p>
            <w:pPr>
              <w:ind w:left="740"/>
              <w:spacing w:after="0"/>
              <w:rPr>
                <w:sz w:val="20"/>
                <w:szCs w:val="20"/>
                <w:color w:val="auto"/>
              </w:rPr>
            </w:pPr>
            <w:r>
              <w:rPr>
                <w:rFonts w:ascii="Arial" w:cs="Arial" w:eastAsia="Arial" w:hAnsi="Arial"/>
                <w:sz w:val="18"/>
                <w:szCs w:val="18"/>
                <w:color w:val="auto"/>
              </w:rPr>
              <w:t>to</w:t>
            </w:r>
          </w:p>
        </w:tc>
        <w:tc>
          <w:tcPr>
            <w:tcW w:w="41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940" w:type="dxa"/>
            <w:vAlign w:val="bottom"/>
            <w:gridSpan w:val="3"/>
          </w:tcPr>
          <w:p>
            <w:pPr>
              <w:jc w:val="center"/>
              <w:ind w:left="1776"/>
              <w:spacing w:after="0"/>
              <w:rPr>
                <w:sz w:val="20"/>
                <w:szCs w:val="20"/>
                <w:color w:val="auto"/>
              </w:rPr>
            </w:pPr>
            <w:r>
              <w:rPr>
                <w:rFonts w:ascii="Arial" w:cs="Arial" w:eastAsia="Arial" w:hAnsi="Arial"/>
                <w:sz w:val="18"/>
                <w:szCs w:val="18"/>
                <w:color w:val="auto"/>
                <w:w w:val="91"/>
              </w:rPr>
              <w:t>Commission File Number: 001-36728</w:t>
            </w:r>
          </w:p>
        </w:tc>
        <w:tc>
          <w:tcPr>
            <w:tcW w:w="4180" w:type="dxa"/>
            <w:vAlign w:val="bottom"/>
          </w:tcPr>
          <w:p>
            <w:pPr>
              <w:spacing w:after="0"/>
              <w:rPr>
                <w:sz w:val="24"/>
                <w:szCs w:val="24"/>
                <w:color w:val="auto"/>
              </w:rPr>
            </w:pPr>
          </w:p>
        </w:tc>
      </w:tr>
      <w:tr>
        <w:trPr>
          <w:trHeight w:val="56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120" w:type="dxa"/>
            <w:vAlign w:val="bottom"/>
            <w:gridSpan w:val="4"/>
          </w:tcPr>
          <w:p>
            <w:pPr>
              <w:jc w:val="center"/>
              <w:ind w:right="2210"/>
              <w:spacing w:after="0"/>
              <w:rPr>
                <w:sz w:val="20"/>
                <w:szCs w:val="20"/>
                <w:color w:val="auto"/>
              </w:rPr>
            </w:pPr>
            <w:r>
              <w:rPr>
                <w:rFonts w:ascii="Arial" w:cs="Arial" w:eastAsia="Arial" w:hAnsi="Arial"/>
                <w:sz w:val="32"/>
                <w:szCs w:val="32"/>
                <w:b w:val="1"/>
                <w:bCs w:val="1"/>
                <w:color w:val="auto"/>
              </w:rPr>
              <w:t>ADMA BIOLOGICS, INC.</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120" w:type="dxa"/>
            <w:vAlign w:val="bottom"/>
            <w:gridSpan w:val="4"/>
          </w:tcPr>
          <w:p>
            <w:pPr>
              <w:jc w:val="center"/>
              <w:ind w:right="221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94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93"/>
              </w:rPr>
              <w:t>Delaware</w:t>
            </w:r>
          </w:p>
        </w:tc>
        <w:tc>
          <w:tcPr>
            <w:tcW w:w="4180" w:type="dxa"/>
            <w:vAlign w:val="bottom"/>
          </w:tcPr>
          <w:p>
            <w:pPr>
              <w:jc w:val="center"/>
              <w:ind w:right="1190"/>
              <w:spacing w:after="0"/>
              <w:rPr>
                <w:sz w:val="20"/>
                <w:szCs w:val="20"/>
                <w:color w:val="auto"/>
              </w:rPr>
            </w:pPr>
            <w:r>
              <w:rPr>
                <w:rFonts w:ascii="Arial" w:cs="Arial" w:eastAsia="Arial" w:hAnsi="Arial"/>
                <w:sz w:val="18"/>
                <w:szCs w:val="18"/>
                <w:b w:val="1"/>
                <w:bCs w:val="1"/>
                <w:color w:val="auto"/>
                <w:w w:val="89"/>
              </w:rPr>
              <w:t>56-2590442</w:t>
            </w: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418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94"/>
              </w:rPr>
              <w:t>(I.R.S. Employer Identification No.)</w:t>
            </w:r>
          </w:p>
        </w:tc>
      </w:tr>
      <w:tr>
        <w:trPr>
          <w:trHeight w:val="634"/>
        </w:trPr>
        <w:tc>
          <w:tcPr>
            <w:tcW w:w="20" w:type="dxa"/>
            <w:vAlign w:val="bottom"/>
          </w:tcPr>
          <w:p>
            <w:pPr>
              <w:spacing w:after="0"/>
              <w:rPr>
                <w:sz w:val="24"/>
                <w:szCs w:val="24"/>
                <w:color w:val="auto"/>
              </w:rPr>
            </w:pPr>
          </w:p>
        </w:tc>
        <w:tc>
          <w:tcPr>
            <w:tcW w:w="7220" w:type="dxa"/>
            <w:vAlign w:val="bottom"/>
            <w:gridSpan w:val="4"/>
          </w:tcPr>
          <w:p>
            <w:pPr>
              <w:jc w:val="center"/>
              <w:ind w:right="1640"/>
              <w:spacing w:after="0"/>
              <w:rPr>
                <w:sz w:val="20"/>
                <w:szCs w:val="20"/>
                <w:color w:val="auto"/>
              </w:rPr>
            </w:pPr>
            <w:r>
              <w:rPr>
                <w:rFonts w:ascii="Arial" w:cs="Arial" w:eastAsia="Arial" w:hAnsi="Arial"/>
                <w:sz w:val="18"/>
                <w:szCs w:val="18"/>
                <w:b w:val="1"/>
                <w:bCs w:val="1"/>
                <w:color w:val="auto"/>
                <w:w w:val="89"/>
              </w:rPr>
              <w:t>465 State Route 17, Ramsey, New Jersey</w:t>
            </w:r>
          </w:p>
        </w:tc>
        <w:tc>
          <w:tcPr>
            <w:tcW w:w="4180" w:type="dxa"/>
            <w:vAlign w:val="bottom"/>
          </w:tcPr>
          <w:p>
            <w:pPr>
              <w:jc w:val="center"/>
              <w:ind w:right="1250"/>
              <w:spacing w:after="0"/>
              <w:rPr>
                <w:sz w:val="20"/>
                <w:szCs w:val="20"/>
                <w:color w:val="auto"/>
              </w:rPr>
            </w:pPr>
            <w:r>
              <w:rPr>
                <w:rFonts w:ascii="Arial" w:cs="Arial" w:eastAsia="Arial" w:hAnsi="Arial"/>
                <w:sz w:val="18"/>
                <w:szCs w:val="18"/>
                <w:b w:val="1"/>
                <w:bCs w:val="1"/>
                <w:color w:val="auto"/>
                <w:w w:val="87"/>
              </w:rPr>
              <w:t>07446</w:t>
            </w: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4180" w:type="dxa"/>
            <w:vAlign w:val="bottom"/>
            <w:tcBorders>
              <w:top w:val="single" w:sz="8" w:color="auto"/>
            </w:tcBorders>
          </w:tcPr>
          <w:p>
            <w:pPr>
              <w:jc w:val="center"/>
              <w:ind w:right="121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(201) 478-5552</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20" w:type="dxa"/>
            <w:vAlign w:val="bottom"/>
            <w:gridSpan w:val="2"/>
          </w:tcPr>
          <w:p>
            <w:pPr>
              <w:ind w:left="14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92"/>
        </w:trPr>
        <w:tc>
          <w:tcPr>
            <w:tcW w:w="10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Title of each class</w:t>
            </w:r>
          </w:p>
        </w:tc>
        <w:tc>
          <w:tcPr>
            <w:tcW w:w="2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37"/>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w w:val="93"/>
              </w:rPr>
              <w:t>Common stock, par value $0.0001 per share</w:t>
            </w:r>
          </w:p>
        </w:tc>
        <w:tc>
          <w:tcPr>
            <w:tcW w:w="244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NASDAQ Stock Market LLC</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p>
      <w:pPr>
        <w:ind w:left="220" w:hanging="212"/>
        <w:spacing w:after="0" w:line="207" w:lineRule="exact"/>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was $133,158,287 as of June 30, 2018 (the last business day of the registrant’s most recently completed second fiscal quarter), based on a total of 29,525,119 shares of common stock held by non-affiliates and a closing price of $4.51 as reported on the Nasdaq Capital Market on June 29, 2018.</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March 11, 2019, there were 46,353,068 shares of the issuer’s common stock outstanding.</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468" w:right="239" w:bottom="144"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Portions of the ADMA Biologics, Inc. definitive proxy statement to be filed pursuant to Regulation 14A within 120 days after the end of the fiscal year are incorporated by reference into Part III of this Annual Report on Form 10-K and certain documents are incorporated by reference into 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20" w:type="dxa"/>
            <w:vAlign w:val="bottom"/>
            <w:gridSpan w:val="8"/>
          </w:tcPr>
          <w:p>
            <w:pPr>
              <w:ind w:left="280"/>
              <w:spacing w:after="0"/>
              <w:rPr>
                <w:sz w:val="20"/>
                <w:szCs w:val="20"/>
                <w:color w:val="auto"/>
              </w:rPr>
            </w:pPr>
            <w:r>
              <w:rPr>
                <w:rFonts w:ascii="Arial" w:cs="Arial" w:eastAsia="Arial" w:hAnsi="Arial"/>
                <w:sz w:val="18"/>
                <w:szCs w:val="18"/>
                <w:b w:val="1"/>
                <w:bCs w:val="1"/>
                <w:color w:val="auto"/>
              </w:rPr>
              <w:t>ADMA BIOLOGICS, INC.</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Market For Registrant’s Common Equity, Related Stockholder Matters and Issuer Purchases of Equity Securities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Selected Financial Data</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Changes in and Disagreements With Accountants on Accounting and Financial Disclosure</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Directors, Executive Officers and Corporate Governance</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Executive Compensation</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Certain Relationships and Related Transactions, and Director Independence</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Principal Accounting Fees and Services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Exhibits, Financial Statement Schedules</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9160" w:type="dxa"/>
            <w:vAlign w:val="bottom"/>
            <w:gridSpan w:val="21"/>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Form 10-K Summary</w:t>
              </w:r>
            </w:hyperlink>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Some of the information in this Annual Report on Form 10-K contains forward-looking statements within the meaning of the federal securities laws. These statements include, among others, statements about:</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w:t>
      </w:r>
    </w:p>
    <w:p>
      <w:pPr>
        <w:spacing w:after="0" w:line="252"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leverage the anticipated benefits and synergies from our June 6, 2017 acquisition of certain assets of Biotest Pharmaceuticals Corporation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173" w:lineRule="exact"/>
        <w:rPr>
          <w:rFonts w:ascii="Arial" w:cs="Arial" w:eastAsia="Arial" w:hAnsi="Arial"/>
          <w:sz w:val="16"/>
          <w:szCs w:val="16"/>
          <w:color w:val="auto"/>
        </w:rPr>
      </w:pPr>
    </w:p>
    <w:p>
      <w:pPr>
        <w:ind w:left="660" w:right="12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resume the manufacturing of BIVIGAM on a commercial scale and commercialize this product once the deficiencies identified in a November 2014 warning letter (the “Warning Letter”) with respect to the outstanding issues at the plasma fractionation facility in Boca Raton, FL acquired in the Biotest Transaction have been resolved by us to the satisfaction of the U.S. Food and Drug Administration (the “FDA”), as well as a positive review of the optimized manufacturing process under a Prior Approval Supplement by the FDA and our ability to adequately address the FDA’s questions and information request contained in a Complete Response Letter received by us on December 19, 2018;</w:t>
      </w:r>
    </w:p>
    <w:p>
      <w:pPr>
        <w:spacing w:after="0" w:line="185"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own commercial infrastructure and commercialize our current products and future products and the success of such efforts;</w:t>
      </w:r>
    </w:p>
    <w:p>
      <w:pPr>
        <w:spacing w:after="0" w:line="197" w:lineRule="exact"/>
        <w:rPr>
          <w:rFonts w:ascii="Arial" w:cs="Arial" w:eastAsia="Arial" w:hAnsi="Arial"/>
          <w:sz w:val="18"/>
          <w:szCs w:val="18"/>
          <w:color w:val="auto"/>
        </w:rPr>
      </w:pPr>
    </w:p>
    <w:p>
      <w:pPr>
        <w:ind w:left="660" w:right="7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including the timeframe within which we may receive approval from the FDA, if at all, of our Biologics License Application resubmission for RI-002 and the labeling or nature of any such approvals;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and related-party customers and vendors and their compliance with regulatory bodies;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plasma;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Nabi-HB, BIVIGAM and RI-002, for any purpose by physicians, patients or payers;</w:t>
      </w:r>
    </w:p>
    <w:p>
      <w:pPr>
        <w:spacing w:after="0" w:line="252"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and the satisfaction by us of its guidance;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immune globulin products to other comparably run Intravenous Immune Globulin trials;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RI-002 and BIVIGAM to provide meaningful clinical improvement for patients living with Primary Immune Deficiency Disease or other immune deficiencies;</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 w:name="page5"/>
    <w:bookmarkEnd w:id="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RI-002 or other future pipeline product candidates;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strategy;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related to manufacturing, supply and other collaborative agreements;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the need for additional financing;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 and, if any, if and when RI-002 is approved for marketing;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regarding market size, projected growth and sales for our existing products as well as our expectations of market acceptance of RI-002;</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or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These statements may be found under the “Risk Factors,” “Management’s Discussion and Analysis of Financial Condition and Results of Operations” and “Business” sections of this Annual Report on Form 10-K. Forward-looking statements typically are identified by the use of terms such as “anticipates,” “believes,” “can,” “continue,” “could,” “estimates,” “expects,” “intends,” “may,” “plans,” “potential,” “predicts,” “should” or “will” or the negative thereof or other variations thereof or comparable terminology. You should be aware that our actual results could differ materially from those contained in the forward-looking statements due to the factors referenced above. Any forward-looking statement included or incorporated by reference in this Annual Report on Form 10-K reflects our current views with respect to future events and is subject to these and other risks, uncertainties and assumptions related to our operations, results of operations, industry and future growth. Given these uncertainties, you should not place undue reliance on these forward-looking statements. These forward-looking statements speak only as of the dates such statements are made.</w:t>
      </w:r>
    </w:p>
    <w:p>
      <w:pPr>
        <w:spacing w:after="0" w:line="17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addition to the foregoing, you should also consider carefully the statements under the section entitled “Risk Factors” and other sections of this Annual Report on Form 10-K, which address additional factors that could cause our actual results to differ from those set forth in the forward-looking statements.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5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This Annual Report on Form 10-K includes our trademarks, trade names and service marks, such as “Nabi-HB®” and “BIVIGAM®” which are protected under applicable intellectual property laws and are the property of ADMA Biologics, Inc., or its subsidiaries. Solely for convenience, trademarks, trade names and service marks referred to in this Annual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 w:name="page6"/>
    <w:bookmarkEnd w:id="5"/>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Unless the context otherwise requires, references in this Business section to “ADMA,” “ADMA Biologics,” the “Company,” “we,” “us” and “our” refer to ADMA Biologics, Inc., a Delaware corporation, as well as its wholly-owned and indirectly owned subsidiaries, ADMA Plasma Biologics, Inc., a Delaware corporation, ADMA Bio Centers Georgia Inc., a Delaware corporation (“ADMA Bio Centers”) and ADMA BioManufacturing, LLC, a Delaware limited liability company (“ADMA BioManufacturing”).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are a vertically integrated commercial biopharmaceutical and specialty immunoglobulin company that manufactures, markets and develops specialty plasma-derived biologics for the treatment of immune deficiencies and the prevention and treatment of certain infectious diseases. Our targeted patient populations include immune-compromised individuals who suffer from an underlying immune deficiency disorder or who may be immune-suppressed for medical reasons. We currently have two products with United States Food and Drug Administration (the “FDA”) Biologics License Application (“BLA”) approvals: Nabi-HB, which is currently marketed and commercially available and is indicated for the treatment of acute exposure to blood containing Hepatitis B surface antigen (“HBsAg”); and BIVIGAM, for which commercial distribution has been temporarily suspended since December 2016 and for which we have submitted a Prior Approval Supplement (“PAS”) to the FDA to amend the approved BLA to allow for the commercial re-launch of the product, which is indicated for the treatment of primary humoral immunodeficiency. We are also developing a pipeline of plasma-derived therapeutics, including our lead pipeline product candidate, RI-002, for the treatment of Primary Immune Deficiency Disease (“PIDD”), for which we previously submitted a BLA to the FDA and which has now been assigned a Prescription Drug User Fee Act (“PDUFA”) action date of April 2, 2019. Our products and product candidates are intended to be used by physician specialists focused on caring for immune-compromised patients with or at risk for certain infectious diseases. Through ADMA Bio Centers, we operate an FDA-approved source plasma collection facility located in Kennesaw, GA, which provides us with a portion of our blood plasma for the manufacture of our products and product candidates. We intend to open additional plasma collection centers in the U.S. during the next few years.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is sold to third-party customers in the U.S., in other locations where we are approved globally under supply agreements or in the open "spot" market.</w:t>
      </w:r>
    </w:p>
    <w:p>
      <w:pPr>
        <w:spacing w:after="0" w:line="17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Biotest Pharmaceuticals Corporation (“BPC” and, together with Biotest AG, “Biotest”), which include two FDA-licensed products, Nabi-HB (Hepatitis B Immune Globulin, Human) and BIVIGAM (Immune Globulin Intravenous, Human) and a plasma fractionation facility located in Boca Raton, FL (the “Boca Facility”) (the “Biotest Transaction”). The Boca Facility is FDA-licensed and certified by the German Health Authority (the “GHA”). In addition to the manufacture and sale of Nabi-HB and the manufacture of BIVIGAM and RI-002, we also provide contract manufacturing services for certain historical clients, including the potential sale of intermediate by-products. Immediately following the acquisition, the Biotest Assets were contributed into ADMA BioManufacturing.</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Concurrent with the closing of the Biotest Transaction, Biotest provided us with an aggregate of $40.0 million of funding. Upon the closing of the Biotest Transaction, we received $27.5 million from Biotest, comprised of $12.5 million in cash from BPC and a $15.0 million subordinated note at 6% interest payable to Biotest with a maturity of five years. Biotest also participated in our November 2017 follow-on equity offering by investing $12.5 million of the $42.0 million of total gross proceeds from the offering (see “Management’s Discussion and Analysis of Financial Condition and Results of Operations</w:t>
      </w:r>
      <w:r>
        <w:rPr>
          <w:rFonts w:ascii="Arial" w:cs="Arial" w:eastAsia="Arial" w:hAnsi="Arial"/>
          <w:sz w:val="18"/>
          <w:szCs w:val="18"/>
          <w:b w:val="1"/>
          <w:bCs w:val="1"/>
          <w:color w:val="auto"/>
        </w:rPr>
        <w:t>”</w:t>
      </w:r>
      <w:r>
        <w:rPr>
          <w:rFonts w:ascii="Arial" w:cs="Arial" w:eastAsia="Arial" w:hAnsi="Arial"/>
          <w:sz w:val="18"/>
          <w:szCs w:val="18"/>
          <w:color w:val="auto"/>
        </w:rPr>
        <w:t xml:space="preserve"> appearing elsewhere in this Annual Report on Form 10-K).</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At the closing of the Biotest Transaction, we delivered to BPC an aggregate equity interest equal to 50%, less one share, of our then-issued and outstanding capital stock comprised of 25%, or 4,295,580 shares, of our then-issued and outstanding voting common stock, $0.0001 par value per share (“Common Stock”), and 8,591,160 shares in the form of our non-voting common stock, $0.0001 par value per share (the “NV Biotest Shares”) (calculated as of immediately following the closing and on a post-closing issuance basis). The NV Biotest Shares were convertible into our Common Stock upon the occurrence of certain specified events.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 w:name="page7"/>
    <w:bookmarkEnd w:id="6"/>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May 14, 2018, we entered into a Share Transfer, Amendment and Release Agreement with BPC, Biotest AG, Biotest US Corporation and The Biotest Divestiture Trust (the “Biotest Trust”) (the “Biotest Transfer Agreement”) whereby BPC transferred to us, for no cash consideration, the NV Biotest Shares. Immediately upon transfer of the NV Biotest Shares to us, the NV Biotest Shares were retired and are no longer available for issuance. The retired NV Biotest Shares comprised approximately 67% of the total common stock consideration provided to Biotest and approximately 19% of the total outstanding common stock of the Company as of May 14, 2018. In exchange for the transfer and retirement of the NV Biotest Shares, we (i) granted Biotest and its successors and assigns a release from all potential past, present and future indemnity claims arising under the Master Purchase and Sale Agreement, dated as of January 21, 2017 (the “Master Purchase Agreement”), which governs the Biotest Transaction, and (ii) relinquished our rights to, under certain circumstances, repurchase the two FDA-approved plasma collection centers which were transferred to BPC on January 1, 2019. In addition, pursuant to the Biotest Transfer Agreement, BPC waived and terminated its rights to name a director and an observer to our Board of Directors (the “Board”). As BPC has made public statements regarding the U.S. Government required divestiture of all of BPC’s U.S. assets in connection with the sale of Biotest AG to CREAT Group Corporation, pursuant to the Biotest Transfer Agreement BPC transferred its remaining 10,109,534 shares of our Common Stock to the Biotest Trust on July 24, 2018, and the Biotest Trust is bound by all obligations of and has all of the remaining rights of BPC under that certain Stockholders Agreement dated as of June 6, 2017, by and between us and BPC, as amended by the Biotest Transfer Agreement (the “Stockholders Agreement”).</w:t>
      </w:r>
    </w:p>
    <w:p>
      <w:pPr>
        <w:spacing w:after="0" w:line="17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part of the purchase price to acquire the Biotest Assets, we transferred ownership of two of our plasma collection facilities to BPC on January 1, 2019. In October 2018, we received FDA approval for our current plasma collection facility located in Kennesaw, GA.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Nabi-HB</w:t>
      </w:r>
    </w:p>
    <w:p>
      <w:pPr>
        <w:spacing w:after="0" w:line="22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to infants born to HBsAg-positive mothers, sexual exposure to HBsAg-positive persons and household exposure to persons with acute Hepatitis B virus infection.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under our leadership since the third quarter of 2017. Subsequent to the end of 2017, we received authorization from the FDA for the release of our first commercial batch of Nabi-HB for commercial distribution in the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BIVIGAM</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BIVIGAM is an intravenous immune globulin indicated for the treatment of primary humoral immunodeficiency. This includes, but is not limited to, agammaglobulinemia, common variable immunodeficiency, Wiskott-Aldrich syndrome and severe combined immunodeficiency. These primary immunodeficiencies (“PIs”) are a group of genetic disorders. Initially thought to be very rare, it is now believed that as many as one in every 1,200-2,000 people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Immunoglobulin (“IgG”) antibodies. Antibodies are proteins in the human immune system that work to defend against disease. FDA approval for BIVIGAM was received on December 19, 2012, and sales commenced in the first quarter of 2013. In December 2016, BPC temporarily suspended the commercial production of BIVIGAM in order to focus on the completion of planned improvements to the manufacturing process. We resumed production of BIVIGAM utilizing our optimized intravenous immunoglobulin (“IVIG”) manufacturing process with two conformance lots in the fourth quarter of 2017, a third conformance lot in the first quarter of 2018 and additional production lots in the fourth quarter of 2018. During the first half of 2018, we qualified, validated and filled the BIVIGAM conformance batches and the product is currently on stability. During the second half of 2018, we filed a PAS with the FDA for BIVIGAM to include the ADMA optimization improvements for BIVIGAM and to seek FDA authorization which would enable us to resume commercial scale manufacturing and re-launch and commercialize this product in the U.S. On December 19, 2018, we announced the receipt of a Complete Response Letter (“CRL”) (the “BIVIGAM CRL”) from the FDA for our PAS submission for BIVIGAM drug substance, and also announced the FDA approval of our PAS submission for BIVIGAM drug product. For clarity, drug substance is the bulk immune globulin we manufacture at the Boca Facility and drug product is the result of shipping the drug substance to our third party fill-finish provider who then fills the drug into vials and prepares the product for final release testing and potential commercial release. The BIVIGAM CRL requested certain additional information and clarifications relating to chemistry, manufacturing and control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We believe that all requests contained in the recently received FDA information request were addressable and we have responded to the FDA. To date, we have not received a formal BIVIGAM CRL resubmission acknowledgment and we have not received formal clarity on the FDA’s intended review timing. We can confirm that the FDA is actively reviewing our BIVIGAM CRL resubmission and information request responses, however we cannot provide any assurance or predict with certainty the schedule for when we will, if at all, receive authorization from the FDA with respect to our PAS for BIVIGAM.</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7" w:name="page8"/>
    <w:bookmarkEnd w:id="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Lead Pipeline Product Candidate – RI-002</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currently developing our lead pipeline product candidate, RI-002, for the treatment of PIDD and have completed a pivotal Phase III clinical trial, which met the primary endpoint of no Serious Bacterial Infections (“SBIs”) reported. Secondary efficacy endpoints further demonstrated the benefits of RI-002 in the low incidence of infection, therapeutic antibiotic use, days missed from work/school/daycare and unscheduled medical visits and hospitalizations. RI-002 is derived from human plasma blended from normal donors and from donors tested to have high levels of neutralizing titers to Respiratory Syncytial Virus (“RSV”). RI-002 is manufactured using a process known as fractionation, which purifies human IgG from this blended plasma pool resulting in a final IVIG product enriched with naturally occurring polyclonal anti-pathogen antibodies (such as streptococcus pneumonia, H. influenza type B, Cytomegalovirus (“CMV”), measles and tetanus). We use our proprietary RSV microneutralization assay to test for standardized levels of neutralizing antibodies to RSV in the final drug product.</w:t>
      </w:r>
    </w:p>
    <w:p>
      <w:pPr>
        <w:spacing w:after="0" w:line="192"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Prior to the closing of the Biotest Transaction, the BTBU was our third-party manufacturer for RI-002. In the third quarter of 2015, the FDA accepted for review our BLA for RI-002 (the “RI-002 BLA”) for the treatment of PIDD. In July 2016, the FDA issued a CRL (the “RI-002 CRL”). The RI-002 CRL reaffirmed the issues set forth in a November 2014 warning letter (the “Warning Letter”) that had been issued by the FDA to Biotest related to certain issues identified at the Boca Facility, but did not cite any concerns with the clinical safety or efficacy data for RI-002 submitted in our RI-002 BLA, nor did the FDA request any additional clinical studies be completed prior to FDA approval of RI-002. The FDA identified in the RI-002 CRL, among other things, certain outstanding inspection issues and deficiencies related to CMC and Good Manufacturing Practices (“GMP”) at the Boca Facility and at certain of our third-party vendors, and requested documentation of corrections for a number of these issues. The FDA indicated in the RI-002 CRL that it cannot grant final approval of our RI-002 BLA until, among other things, these deficiencies are resolved. Upon the completion of the Biotest Transaction, we gained control over the regulatory, quality, general operations and drug substance manufacturing process at the Boca Facility. In the first quarter of 2018, we produced required conformance lots using the ADMA optimized IVIG manufacturing process, and these batches were filled and finished, have been placed on stability and are currently under FDA review. In April 2018, we completed an FDA inspection and as a result of the inspection, our Boca Facility’s regulatory compliance status improved from Official Action Indicated (“OAI”) to Voluntary Action Indicated (“VAI”), allowing us to submit regulatory applications to the FDA for review. Following our BLA resubmission in September 2018, in October 2018, we received a PDUFA date of April 2, 2019 for FDA action on the RI-002 BLA.</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RI-002 in PIDD Patients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PIDD, a genetic disorder that causes a deficient or absent immune system, is caused by hereditary or genetic defects and can affect anyone regardless of age or gender. PIDD patients are more vulnerable to infections and more likely to suffer complications from these infections. IVIG is a plasma derived product that is used to prevent serious infections in patients with PIDD. It is comprised of polyclonal antibodies, which are proteins produced by B-cells that are used by the body’s immune system to neutralize foreign objects such as bacteria and viruses. It is estimated that there are about 250,000 diagnosed PIDD patients in the U.S., approximately half of whom are treated with IVIG regularly. As reported in industry journals, the U.S. sales of immune and hyperimmune globulin products for all its uses were reported to be approximately $6.2 billion in 2017.</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RI-002 pivotal Phase III clinical trial was conducted as a single arm study in which patients were treated approximately once per month for a period of 12 months plus 90 days for follow up. Fifty-nine patients were enrolled in nine treatment centers in the U.S. The pivotal Phase III primary endpoint followed published FDA industry guidance, which provides for a reduction in the incidence of serious infections to less than one per year in each subject receiving IVIG. The secondary outcome was safety and included other pharmacokinetic (“PK”) data collection points including antibody titers for certain agents, including RSV antibody levels at various time points after infusion.</w:t>
      </w:r>
    </w:p>
    <w:p>
      <w:pPr>
        <w:spacing w:after="0" w:line="18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RI-002 demonstrated positive results in the Phase III study in patients with PIDD, meeting its primary endpoint of no Serious Bacterial Infections (“SBIs”) reported. RI-002 was administered in a total of 793 infusions with zero serious adverse events to 59 patients in nine treatment centers throughout the U.S. These results, included in our BLA, more than meet the requirement specified by FDA guidance of ≤ 1 SBI per patient-year.</w:t>
      </w:r>
    </w:p>
    <w:p>
      <w:pPr>
        <w:spacing w:after="0" w:line="14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February 22, 2015, at the 2015 American Academy of Allergy, Asthma &amp; Immunology Annual Meeting, scientific investigators reported on the secondary outcomes that included: a total of 93 days, or 1.66 days per patient per year lost from work or school due to infection; one hospitalization due to an infection of only five days duration in the entire study and IgG trough levels above those required by the FDA for IVIG products. Additionally, there was a marked increase in all of the measured specific anti-pathogen antibodies in PK subjects (n=31). The mean of maximum fold increases in specific antibody levels after infusion of RI-002 ranged from 1.9 fold (S. pneumonia type 19A) to 5.3 fold (RSV), which were statistically significant fold increases from the pathogen's specific measured baselines. The safety profile of RI-002 is comparable to that of other immunoglobulins.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the Potential Evaluation of RI-002 in RSV Infected Patients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RSV is a common virus that ordinarily leads to mild, cold-like symptoms in healthy adults and children. In high-risk groups, such as the PIDD population and the other immune-compromised populations, RSV can lead to a more serious infection and may even cause death. The polyclonal antibodies which are present in RI-002 are expected to prevent infections in immune-compromised patients.</w:t>
      </w:r>
    </w:p>
    <w:p>
      <w:pPr>
        <w:spacing w:after="0" w:line="18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We previously conducted a randomized, double-blind, placebo-controlled Phase II clinical trial to evaluate RI-001, RI-002’s predecessor product candidate, in immune-compromised, RSV-infected patients. This trial was conducted with 21 patients in the U.S., Canada, Australia, and New Zealand. The Phase II dose-ranging trial demonstrated a statistically significant improvement in the change from baseline RSV titers to day 18 in the high dose and low dose treatment groups when compared with placebo (p=0.0043 and p=0.0268, respectively). The mean fold increase for high dose was 9.24 (95% CI 4.07,</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21.02) and the observed mean fold increase for low dose was 4.85 (95% CI 2.22, 10.59). The mean fold change for placebo treated patients was 1.42 (95% CI 0.64, 3.17). In addition, more patients in the high dose (85.7%) and low dose (42.9%) groups experienced greater than a four-fold increase from baseline to day 18 in RSV titer levels compared to placebo (0%). There were no serious drug-related adverse events reported during the trial.</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From April 2009 through February 2011, RI-001 was also administered to 15 compassionate use patients where physicians requested access to the product for treating their patients with documented lower respiratory tract RSV infections due to the fact that these patients had failed conventional therapeutic interventions. Serum samples were obtained from 13 patients. Samples showed that patients demonstrated a four-fold or greater rise in RSV antibody titers from baseline. Serum samples were not obtained from two patients that received Palivizumab. All 11 surviving patients received RI-001 within an average of 4.4 days after the onset of the diagnosis of RSV. The drug was well-tolerated in all 15 patients and there were no reports of serious adverse events attributable to RI-001. Data from our Phase II clinical trial, compassionate use experience and data obtained from the evaluation of RI-002 in the infected cotton rat animal model has been presented at various conferences the past several years.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these results, we intend to evaluate RI-002 for the treatment of RSV patients following FDA approval, if received, for treatment of PIDD.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Supply of Our Products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order to produce plasma-derived immunoglobulin products, raw material plasma is collected from human donors and then manufactured into specialized products. Historically, plasma for our products and product candidates has been collected from healthy donors at FDA-licensed plasma donation centers. Source plasma is collected at any one of over 600 FDA-licensed donation centers located throughout the U.S., using a process called automated plasmapheresis. This sterile, self-contained, automated process separates red blood cells and other cellular components in the blood, which are then returned to the donor. Source plasma obtained by plasmapheresis is tested and must be negative for antibodies to human immunodeficiency virus types 1 and 2 (HIV-1/2), HBsAg and Hepatitis C virus (“HCV”), using FDA-licensed serological test procedures.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After receipt of the source plasma, the frozen plasma is thawed and pooled and goes through the fractionation process. This process is referred to as the Cohn method or cold ethanol method of fractionation. During cold ethanol fractionation, classes of proteins are precipitated and removed by centrifugation or filtration. The fractionation process includes the following steps; precipitation and absorption, depth filtration, centrifugation and chromatography. Because of the human origin of the raw material and the thousands of donations required in the fractionation process, the major risk associated to plasma products is the transmission of blood-borne infectious pathogens. These purification processes have the potential to reduce the viral load. The manufacturing process also utilizes a multistep viral removal/inactivation system, which further increases the safety of the products. The following manufacturing processes have been validated for their capability to eliminate or inactivate viruses: precipitation during cold ethanol fractionation, solvent/detergent treatment, and nanofiltration. Incorporation of these processes in the manufacturing process ensures that the Company’s products comply with the requirements of the FDA and are safe and efficacious.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Commercialization of Our Products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Historically, Nabi-HB has been sold through independent distributors, drug wholesalers acting as sales agents, specialty pharmacies and other alternate site providers. In the U.S., third-party drug wholesalers ship a significant portion of Nabi-HB through their distribution centers. These centers are generally stocked with adequate inventories to facilitate prompt customer service. Sales and distribution methods include frequent contact by sales and customer service representatives, automated communications via various electronic purchasing systems, circulation of catalogs and merchandising bulletins, direct-mail campaigns, trade publication presence and advertising.</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PDUFA date of April 2, 2019 for RI-002 and we have been in ongoing communication with the FDA regarding the BIVIGAM PAS and the BIVIGAM CRL. We have initiated efforts to internally prepare for commercialization of our product candidates, if and when the RI-002 BLA and BIVIGAM PAS are approved, and have continued commercialization efforts to generate increased market awareness for Nabi-HB by attending and presenting at medical conferences, as well as sponsoring medical education symposiums. Upon FDA approval of either the BIVIGAM PAS or RI-002 BLA, we plan to bolster these efforts and initiatives by hiring a small, specialty sales force to market BIVIGAM upon its re-launch and, upon approval by the FDA, RI-002 to hospitals, physician offices/clinics, and other specialty treatment organizations. We also anticipate staffing our company with additional personnel for patient support, medical affairs, quality assurance, regulatory affairs, scientific affairs, third-party reimbursement, inventory and logistics, human resources and financial and operational management. If and when we receive FDA approval, we may also use a network of national and regional distributors to assist with order fulfillment for BIVIGAM and RI-002 for use by healthcare professionals and hospitals.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Pricing and Reimbursement of Our Products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All sales in the U.S. of Nabi-HB, BIVIGAM and RI-002, if and when approved by the FDA, depend in part upon the availability of reimbursement from third-party payers. Third-party payers include government health programs, managed care providers, private health insurers and other organizations. Nabi-HB and BIVIGAM are reimbursed or purchased under several government programs, including Medicaid, Medicare Parts B and D, the 340B/Public Health Service program, and pursuant to an existing contract with the Department of Veterans Affairs. Medicaid is a joint state and federal government health plan that provides covered outpatient prescription drugs for low-income individuals. Under Medicaid, drug manufacturers pay rebates to the states based on utilization data provided by the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Collection Operations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ADMA Bio Centers operates an FDA-licensed source plasma collection facility located in Kennesaw, GA which provides us with a portion of our blood plasma for the manufacture of our products and product candidates. As part of our plans for expansion, we are looking to initiate the buildout of additional plasma centers in the U.S.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are sold to third-party customers in the U.S. and other locations where we are approved globally under supply agreements or in the open "spot"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part of the purchase price to acquire the Biotest Assets, we transferred ownership of two of our plasma collection facilities to BPC on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founders of ADMA have several decades of combined experience marketing and distributing blood plasma products and devices. With our executive team, members of our Board and our commercial team, we collectively possess a significant level of deep medical, technical, development and commercial experience in the biologics and pharmaceutical industries.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Our goal is to be a leader in developing, manufacturing and commercializing specialized, targeted, plasma-derived therapeutics that are intended to extend and enhance the lives of individuals who are naturally or medically immune-compromised. The key elements of our strategy for achieving this goal are as follows:</w:t>
      </w:r>
    </w:p>
    <w:p>
      <w:pPr>
        <w:spacing w:after="0" w:line="177" w:lineRule="exact"/>
        <w:rPr>
          <w:sz w:val="20"/>
          <w:szCs w:val="20"/>
          <w:color w:val="auto"/>
        </w:rPr>
      </w:pPr>
    </w:p>
    <w:p>
      <w:pPr>
        <w:ind w:left="660" w:right="80" w:hanging="328"/>
        <w:spacing w:after="0" w:line="27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Work with the FDA to close-out the Warning Letter. </w:t>
      </w:r>
      <w:r>
        <w:rPr>
          <w:rFonts w:ascii="Arial" w:cs="Arial" w:eastAsia="Arial" w:hAnsi="Arial"/>
          <w:sz w:val="17"/>
          <w:szCs w:val="17"/>
          <w:color w:val="auto"/>
        </w:rPr>
        <w:t>Following the FDA inspection in April 2018 and the subsequent inspection report close-out</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Boca Facility status classification improvement to VAI, we continue to operate the Boca Facility in compliance with FDA regulations and with ongoing continuous improvements to our quality management systems and enhancements to our manufacturing processes, while releasing commercial drug product. We continue to work with the FDA to officially close-out the Warning Letter status to the Boca Facility. However, the VAI inspection status of the Boca Facility permits substantive reviews to occur.</w:t>
      </w:r>
    </w:p>
    <w:p>
      <w:pPr>
        <w:spacing w:after="0" w:line="195" w:lineRule="exact"/>
        <w:rPr>
          <w:rFonts w:ascii="Arial" w:cs="Arial" w:eastAsia="Arial" w:hAnsi="Arial"/>
          <w:sz w:val="17"/>
          <w:szCs w:val="17"/>
          <w:color w:val="auto"/>
        </w:rPr>
      </w:pPr>
    </w:p>
    <w:p>
      <w:pPr>
        <w:ind w:left="660" w:right="420" w:hanging="328"/>
        <w:spacing w:after="0" w:line="31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Increase marketing efforts around Nabi-HB. </w:t>
      </w:r>
      <w:r>
        <w:rPr>
          <w:rFonts w:ascii="Arial" w:cs="Arial" w:eastAsia="Arial" w:hAnsi="Arial"/>
          <w:sz w:val="17"/>
          <w:szCs w:val="17"/>
          <w:color w:val="auto"/>
        </w:rPr>
        <w:t>We plan to increase our marketing efforts and attend relevant medical conferences during 2019,</w:t>
      </w:r>
      <w:r>
        <w:rPr>
          <w:rFonts w:ascii="Arial" w:cs="Arial" w:eastAsia="Arial" w:hAnsi="Arial"/>
          <w:sz w:val="17"/>
          <w:szCs w:val="17"/>
          <w:b w:val="1"/>
          <w:bCs w:val="1"/>
          <w:color w:val="auto"/>
        </w:rPr>
        <w:t xml:space="preserve"> </w:t>
      </w:r>
      <w:r>
        <w:rPr>
          <w:rFonts w:ascii="Arial" w:cs="Arial" w:eastAsia="Arial" w:hAnsi="Arial"/>
          <w:sz w:val="17"/>
          <w:szCs w:val="17"/>
          <w:color w:val="auto"/>
        </w:rPr>
        <w:t>raising awareness of the risks associated with Hepatitis B and the benefits and efficacy of Nabi-HB in its indicated populations.</w:t>
      </w:r>
    </w:p>
    <w:p>
      <w:pPr>
        <w:spacing w:after="0" w:line="165" w:lineRule="exact"/>
        <w:rPr>
          <w:rFonts w:ascii="Arial" w:cs="Arial" w:eastAsia="Arial" w:hAnsi="Arial"/>
          <w:sz w:val="17"/>
          <w:szCs w:val="17"/>
          <w:color w:val="auto"/>
        </w:rPr>
      </w:pPr>
    </w:p>
    <w:p>
      <w:pPr>
        <w:ind w:left="660" w:right="20" w:hanging="328"/>
        <w:spacing w:after="0" w:line="26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Obtain FDA approval for the BIVIGAM PAS and re-launch. </w:t>
      </w:r>
      <w:r>
        <w:rPr>
          <w:rFonts w:ascii="Arial" w:cs="Arial" w:eastAsia="Arial" w:hAnsi="Arial"/>
          <w:sz w:val="17"/>
          <w:szCs w:val="17"/>
          <w:color w:val="auto"/>
        </w:rPr>
        <w:t>If we are successful in obtaining FDA approval of the drug substance PAS, which</w:t>
      </w:r>
      <w:r>
        <w:rPr>
          <w:rFonts w:ascii="Arial" w:cs="Arial" w:eastAsia="Arial" w:hAnsi="Arial"/>
          <w:sz w:val="17"/>
          <w:szCs w:val="17"/>
          <w:b w:val="1"/>
          <w:bCs w:val="1"/>
          <w:color w:val="auto"/>
        </w:rPr>
        <w:t xml:space="preserve"> </w:t>
      </w:r>
      <w:r>
        <w:rPr>
          <w:rFonts w:ascii="Arial" w:cs="Arial" w:eastAsia="Arial" w:hAnsi="Arial"/>
          <w:sz w:val="17"/>
          <w:szCs w:val="17"/>
          <w:color w:val="auto"/>
        </w:rPr>
        <w:t>details our optimized BIVIGAM manufacturing process, we plan to re-launch BIVIGAM in the U.S. During the second half of 2018, we filed the PAS seeking FDA authorization which, if obtained, would enable us to resume commercial manufacturing and re-launch and commercialize this product. On December 19, 2018, we received the BIVIGAM CRL from the FDA for our PAS submission for BIVIGAM drug substance. The BIVIGAM CRL requested certain additional information and clarifications related to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We believe that all requests contained in the recently received FDA information request were addressable and we have responded to the FDA. To date, we have not received a formal BIVIGAM CRL resubmission acknowledgment and we have not received formal clarity on the FDA’s intended review timing. We can confirm that the FDA is actively reviewing our BIVIGAM CRL resubmission and information request responses, however we cannot provide any assurance or predict with certainty the schedule for when we will, if at all, receive authorization from the FDA with respect to the PAS.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39" w:lineRule="exact"/>
        <w:rPr>
          <w:sz w:val="20"/>
          <w:szCs w:val="20"/>
          <w:color w:val="auto"/>
        </w:rPr>
      </w:pPr>
    </w:p>
    <w:p>
      <w:pPr>
        <w:ind w:left="328"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Obtain FDA approval of RI-002 as a treatment for PIDD</w:t>
      </w:r>
      <w:r>
        <w:rPr>
          <w:rFonts w:ascii="Arial" w:cs="Arial" w:eastAsia="Arial" w:hAnsi="Arial"/>
          <w:sz w:val="18"/>
          <w:szCs w:val="18"/>
          <w:color w:val="auto"/>
        </w:rPr>
        <w:t>. In the third quarter of 2015, the FDA accepted for review the RI-002 BLA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PIDD. In July 2016, the FDA issued the RI-002 CRL. The RI-002 CRL did not cite any concerns with the clinical safety or efficacy data for RI-002 submitted in the RI-002 BLA, nor did the FDA request any additional clinical studies be completed prior to FDA approval of RI-002. In connection with our remediation efforts at the Boca Facility and receiving an inspection close-out by the FDA, we submitted the RI-002 BLA for review and in October 2018, we received an FDA target action PDUFA date of April 2, 2019.</w:t>
      </w:r>
    </w:p>
    <w:p>
      <w:pPr>
        <w:spacing w:after="0" w:line="210" w:lineRule="exact"/>
        <w:rPr>
          <w:rFonts w:ascii="Arial" w:cs="Arial" w:eastAsia="Arial" w:hAnsi="Arial"/>
          <w:sz w:val="18"/>
          <w:szCs w:val="18"/>
          <w:color w:val="auto"/>
        </w:rPr>
      </w:pPr>
    </w:p>
    <w:p>
      <w:pPr>
        <w:ind w:left="328" w:right="4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Commercialize RI-002 as a treatment for PIDD</w:t>
      </w:r>
      <w:r>
        <w:rPr>
          <w:rFonts w:ascii="Arial" w:cs="Arial" w:eastAsia="Arial" w:hAnsi="Arial"/>
          <w:sz w:val="18"/>
          <w:szCs w:val="18"/>
          <w:color w:val="auto"/>
        </w:rPr>
        <w:t>. We plan to enhance our recruiting initiatives and expand our existing specialty commercial sales</w:t>
      </w:r>
      <w:r>
        <w:rPr>
          <w:rFonts w:ascii="Arial" w:cs="Arial" w:eastAsia="Arial" w:hAnsi="Arial"/>
          <w:sz w:val="18"/>
          <w:szCs w:val="18"/>
          <w:b w:val="1"/>
          <w:bCs w:val="1"/>
          <w:color w:val="auto"/>
        </w:rPr>
        <w:t xml:space="preserve"> </w:t>
      </w:r>
      <w:r>
        <w:rPr>
          <w:rFonts w:ascii="Arial" w:cs="Arial" w:eastAsia="Arial" w:hAnsi="Arial"/>
          <w:sz w:val="18"/>
          <w:szCs w:val="18"/>
          <w:color w:val="auto"/>
        </w:rPr>
        <w:t>force to market RI-002 to hospitals, physician offices/clinics, and other specialty treatment and infusion center organizations. We also anticipate staffing our company with additional personnel for patient support, medical affairs, quality assurance, regulatory affairs, scientific affairs, third-party reimbursement, inventory and logistics, human resources, and financial and operational management. We may also use a network of national distributors to fulfill orders for RI-002.</w:t>
      </w:r>
    </w:p>
    <w:p>
      <w:pPr>
        <w:spacing w:after="0" w:line="210" w:lineRule="exact"/>
        <w:rPr>
          <w:rFonts w:ascii="Arial" w:cs="Arial" w:eastAsia="Arial" w:hAnsi="Arial"/>
          <w:sz w:val="18"/>
          <w:szCs w:val="18"/>
          <w:color w:val="auto"/>
        </w:rPr>
      </w:pPr>
    </w:p>
    <w:p>
      <w:pPr>
        <w:ind w:left="328" w:right="180" w:hanging="328"/>
        <w:spacing w:after="0" w:line="258"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Expand RI-002’s FDA-approved uses</w:t>
      </w:r>
      <w:r>
        <w:rPr>
          <w:rFonts w:ascii="Arial" w:cs="Arial" w:eastAsia="Arial" w:hAnsi="Arial"/>
          <w:sz w:val="18"/>
          <w:szCs w:val="18"/>
          <w:color w:val="auto"/>
        </w:rPr>
        <w:t>. If RI-002 is approved by the FDA as a treatment for PIDD, we plan to evaluate the clinical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paths to grow the RI-002 franchise through expanded FDA-approved uses. We believe that there may be patient populations beyond PIDD that would derive clinical benefit from RI-002, some of which may be eligible for orphan status. We plan to leverage our previously conducted randomized, double-blind, placebo-controlled Phase II clinical trial evaluating RI-001, RI-002’s predecessor product candidate, in immune-compromised, RSV-infected patients to explore RI-002 for the treatment of RSV.</w:t>
      </w:r>
    </w:p>
    <w:p>
      <w:pPr>
        <w:spacing w:after="0" w:line="210" w:lineRule="exact"/>
        <w:rPr>
          <w:rFonts w:ascii="Arial" w:cs="Arial" w:eastAsia="Arial" w:hAnsi="Arial"/>
          <w:sz w:val="18"/>
          <w:szCs w:val="18"/>
          <w:color w:val="auto"/>
        </w:rPr>
      </w:pPr>
    </w:p>
    <w:p>
      <w:pPr>
        <w:ind w:left="328" w:right="380" w:hanging="328"/>
        <w:spacing w:after="0" w:line="282"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Increase the Boca Facility’s manufacturing capacity. </w:t>
      </w:r>
      <w:r>
        <w:rPr>
          <w:rFonts w:ascii="Arial" w:cs="Arial" w:eastAsia="Arial" w:hAnsi="Arial"/>
          <w:sz w:val="18"/>
          <w:szCs w:val="18"/>
          <w:color w:val="auto"/>
        </w:rPr>
        <w:t>During 2019, we plan to execute on our capacity optimization plan to increase the Boca</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Facility’s manufacturing capacity.</w:t>
      </w:r>
    </w:p>
    <w:p>
      <w:pPr>
        <w:spacing w:after="0" w:line="161" w:lineRule="exact"/>
        <w:rPr>
          <w:rFonts w:ascii="Arial" w:cs="Arial" w:eastAsia="Arial" w:hAnsi="Arial"/>
          <w:sz w:val="18"/>
          <w:szCs w:val="18"/>
          <w:color w:val="auto"/>
        </w:rPr>
      </w:pPr>
    </w:p>
    <w:p>
      <w:pPr>
        <w:ind w:left="328" w:right="160" w:hanging="328"/>
        <w:spacing w:after="0" w:line="303" w:lineRule="auto"/>
        <w:tabs>
          <w:tab w:leader="none" w:pos="328"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Expand our pipeline with additional plasma-derived therapeutics</w:t>
      </w:r>
      <w:r>
        <w:rPr>
          <w:rFonts w:ascii="Arial" w:cs="Arial" w:eastAsia="Arial" w:hAnsi="Arial"/>
          <w:sz w:val="16"/>
          <w:szCs w:val="16"/>
          <w:color w:val="auto"/>
        </w:rPr>
        <w:t>. Our core competency is in the development, manufacturing, testing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commercialization of plasma-derived therapeutics. We believe there are a number of under-addressed medical conditions for which plasma-derived therapeutics may be beneficial. Utilizing our intellectual property patents, which include our proprietary testing assay and other standardization methods and technologies, we have identified potential new product candidates that we may advance into preclinical activities in the near term.</w:t>
      </w:r>
    </w:p>
    <w:p>
      <w:pPr>
        <w:spacing w:after="0" w:line="178" w:lineRule="exact"/>
        <w:rPr>
          <w:rFonts w:ascii="Arial" w:cs="Arial" w:eastAsia="Arial" w:hAnsi="Arial"/>
          <w:sz w:val="16"/>
          <w:szCs w:val="16"/>
          <w:color w:val="auto"/>
        </w:rPr>
      </w:pPr>
    </w:p>
    <w:p>
      <w:pPr>
        <w:ind w:left="328" w:right="40" w:hanging="328"/>
        <w:spacing w:after="0" w:line="255"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Develop and expand ADMA Bio Centers</w:t>
      </w:r>
      <w:r>
        <w:rPr>
          <w:rFonts w:ascii="Arial" w:cs="Arial" w:eastAsia="Arial" w:hAnsi="Arial"/>
          <w:sz w:val="18"/>
          <w:szCs w:val="18"/>
          <w:color w:val="auto"/>
        </w:rPr>
        <w:t>. In order to maintain partial control of our raw material supply as well as generate revenues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sources, we operate ADMA Bio Centers, a subsidiary that was established to operate plasma collection facilities in the U.S. Our facility in Kennesaw, GA holds an FDA license, under which we may collect normal source plasma and high-titer RSV plasma, with a portion of the plasma being sold to third-party buyers. We also plan to grow through the creation and licensing of additional plasma collection facilities in various regions of the U.S. We believe additional plasma collection facilities will allow us to cost-effectively secure additional plasma for our product manufacturing, and potentially increase revenues through the collection and sale of normal source plasma and other hyperimmune plasma to third parties.</w:t>
      </w:r>
    </w:p>
    <w:p>
      <w:pPr>
        <w:spacing w:after="0" w:line="321"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229" w:right="239" w:bottom="1440" w:gutter="0" w:footer="0" w:header="0"/>
        </w:sectPr>
      </w:pPr>
    </w:p>
    <w:bookmarkStart w:id="12" w:name="page13"/>
    <w:bookmarkEnd w:id="12"/>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Plasma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Primary Immunodeficiency Disease</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PIDD is a class of hereditary disorders characterized by defects in the immune system, due to either a lack of necessary antibodies or a failure of these antibodies to function properly. According to the World Health Organization, there are over 150 different presentations of PIDD. As patients suffering from PIDD lack a properly functioning immune system, they typically receive monthly, outpatient infusions of IVIG therapy. Without this exogenous antibody immune support, these patients would be susceptible to a wide variety of infectious diseases. PIDD has an estimated prevalence of 1:1,200 in the U.S., or approximately 250,000 people. Of these 250,000 people diagnosed with PIDD in the U.S., approximately 125,000 receive monthly infusions of IVIG and it is estimated that over 300,000 patients worldwide receive monthly IVIG infusions for PIDD.</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most patients with PIDD present with infections, the differential diagnosis and initial investigations for an underlying immune defect are typically guided by the clinical presentation. In subjects with PIDD, individual infections are not necessarily more severe than those that occur in a normal host. Rather, the clinical features suggestive of an immune defect may be the recurring and/or chronic nature of infections with common pathogens that may result in end organ damage, such as bronchiectasis. In addition, subjects with PIDD will often respond poorly to standard antimicrobial therapy or they may have repeated infections with the same pathogen. The virulence of the infecting organism should also be considered, and a subject’s immune competence should be questioned when invasive infections are caused by low virulence or opportunistic pathogens. For example, infection with the opportunistic pathogens Pneumocystis jiroveci (previously Pneumocystis carinii) or atypical mycobacteria should prompt an investigation for underlying immunodeficiency. Typical clinical presentations for subjects with PIDD are:</w:t>
      </w:r>
    </w:p>
    <w:p>
      <w:pPr>
        <w:spacing w:after="0" w:line="17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antibody deficiency and recurrent bacterial infections;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T-lymphocyte deficiency and opportunistic infections;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lymphocyte defects causing opportunistic infections;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neutrophil defects causing immunodeficiency;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complement deficiencies.</w:t>
      </w:r>
    </w:p>
    <w:p>
      <w:pPr>
        <w:spacing w:after="0" w:line="25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PIDD can present at any age from birth to adulthood, posing a considerable challenge for the practicing physician to know when and how to evaluate a subject for a possible immune defect. Subjects with marked antibody deficiencies are generally dependent on IVIG therapy for survival. Benefits of adequate IVIG therapy in subjects not able to produce antibodies normally include a reduction of the severity and frequency of infections, prevention of chronic lung disease and prevention of enteroviral meningoencephalitis. Several immune globulin products have already been approved by the FDA.</w:t>
      </w:r>
    </w:p>
    <w:p>
      <w:pPr>
        <w:spacing w:after="0" w:line="15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RI-002, our IVIG product candidate, contains polyclonal antibodies against various infectious agents, such as streptococcus pneumoniae, H. influenza type B, CMV, measles and tetanus, including standardized antibodies against RSV. RSV is a common respiratory virus that often presents during the winter months. Nearly all children will have been infected with RSV by three years of age; however, the immune systems of most healthy children prevent significant morbidity and mortality. Conversely, in patients who are immune-compromised, such as those with PIDD or who have undergone a hematopoietic stem cell or solid organ transplant and may be on immunosuppressive drugs or chemotherapy, RSV infection can be associated with significant morbidity and mortality. Immune-compromised patients historically have a 5% to 15% rate of RSV infection, and, if left untreated, lower respiratory tract RSV infections in immune-compromised patients can result in a mortality rate of up to 40% of infected patients. In hematopoietic stem cell transplant (“HSCT”) patients, a subset of the immune-compromised patient population with approximately 25,000 transplants being performed annually in the U.S., it is estimated that about 25% of patients treated with the current standard of care (aerosolized Ribavirin) will progress to Lower Respiratory Tract Infection (“LRTI”) while 41% of patients untreated with the current standard of care will progress to LRTI.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Plasma - Background, Composition and Manufacturing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blood contains a number of components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 blood cells – Used to carry oxygen from the lungs to the body;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White blood cells – Used by the immune system to fight infection;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Platelets – Used for blood clotting;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Plasma – Used to carry the aforementioned components throughout the body and provide support in clotting and immunity.</w:t>
      </w:r>
    </w:p>
    <w:p>
      <w:pPr>
        <w:spacing w:after="0" w:line="252"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Plasma is the most abundant blood component, representing approximately 55% of total blood volume. Plasma, which is 90% water, is rich in proteins used by the human body for blood clotting and fighting infection. These proteins account for approximately 7% of plasma’s volume. As plasma contains these valuable proteins, plasma collection and the manufacturing of human plasma-derived therapeutics provide therapeutic benefits for ill patients.</w:t>
      </w:r>
    </w:p>
    <w:p>
      <w:pPr>
        <w:spacing w:after="0" w:line="14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order to produce plasma-derived therapeutics that can be administered to ill patients, raw material plasma must be collected from human donors and then manufactured into specialized products. Plasma is collected from healthy donors at FDA-licensed plasma donation centers. To ensure safety of the collected plasma, all plasma donations are tested using FDA-approved methods of Nucleic Acid Testing for various infectious diseases, such as HIV or HCV.</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Plasma is collected using a process called “plasmapheresis.” During plasmapheresis, a donor’s blood is drawn into a specialized medical device that separates the plasma component through centrifugation, and then returns the other blood components back into the donor’s bloodstream. Plasmapheresis is performed utilizing an FDA-approved, automated device with a sterile, self-contained collection kit. The plasma that is collected is known as “normal source plasma.” There are over 600 plasma donation centers in the U.S. As noted in a variety of plasma industry trade reports and related conferences, approximately 42 million liters of source plasma were collected in the U.S. in 2017. In the U.S., a donor may donate plasma a maximum of two times during any seven-day period, with at least two days in between donations. Plasma donation centers in the U.S. typically pay donors $25 to $50 per donation and some donors with rare or high antibody levels can be paid more.</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order to isolate the desired therapeutic elements in normal source plasma, it must initially undergo a manufacturing process known as “fractionation.” The process of fractionation was invented in the 1940’s by E.J. Cohn and is referred to as the Cohn method or cold ethanol fractionation. First, the source plasma undergoes a process called pooling, in which the individual plasma donations are combined into a pooling tank. Second, the Cohn fractionation method, which is a combination of time, temperature, pH, alcohol concentration and centrifugation, is used to separate the desired plasma protein components, or “fractions.” After fractionation, the separated proteins are then re-suspended and are treated with a solvent detergent treatment process for viral inactivation. Next, other forms of filtration, such as nanofiltration, are performed as an additional viral removal and viral reduction step. Finally, with the various components separated and purified, the bulk product is formulated and filled into final, finished vials. During these various steps of manufacturing, each lot is reviewed and tested for potency and purity prior to being approved for release.</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proteins in human plasma fall into four categories: albumin (60% of protein volume), immune globulins (15% of protein volume), coagulation factors (1% of protein volume), and other proteins (24% of protein volume) such as alpha-1 proteinase inhibitor, C1 esterase inhibitor, fibrin sealants and fibrinogen. Many of the other proteins in plasma have yet to be developed into commercial therapies. In the U.S., not only are the plasma collection centers subject to FDA licensure, but each plasma protein product that is derived and fractionated from plasma must undergo an approval process with FDA’s Center for Biologics Evaluation and Research.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Globulins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In June 2008, the FDA published the FDA Guidance for Industry outlining the regulatory pathway for the approval of IVIG for the treatment of PIDD </w:t>
      </w:r>
      <w:r>
        <w:rPr>
          <w:rFonts w:ascii="Arial" w:cs="Arial" w:eastAsia="Arial" w:hAnsi="Arial"/>
          <w:sz w:val="18"/>
          <w:szCs w:val="18"/>
          <w:i w:val="1"/>
          <w:iCs w:val="1"/>
          <w:color w:val="auto"/>
        </w:rPr>
        <w:t>(Guidance for Industry: Safety, Efficacy, and Pharmacokinetic Studies to Support Marketing of Immune Globulin Intravenous (Human) as 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Therapy for Primary Humoral Immunodeficiency)</w:t>
      </w:r>
      <w:r>
        <w:rPr>
          <w:rFonts w:ascii="Arial" w:cs="Arial" w:eastAsia="Arial" w:hAnsi="Arial"/>
          <w:sz w:val="18"/>
          <w:szCs w:val="18"/>
          <w:color w:val="auto"/>
        </w:rPr>
        <w: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Immune globulins can be administered in three ways: intramuscularly, intravenously or subcutaneously. IVIG principally contains antibodies and, as such, provides passive immunization for individuals who are immune-deficient or who have been exposed to various infectious agents. IVIG is used therapeutically in a variety of immunological diseases/deficiencies, such as PIDD, idiopathic thrombocytopenic purpura, Guillain-Barré syndrome, Kawasaki disease, bone marrow transplant, and chronic inflammatory demyelinating polyneuropathy. We are aware that other companies are also evaluating IVIG in a clinical trial for the treatment of Alzheimer’s disease. Additionally, IVIG is also used as therapy in a variety of other diseases that do not involve primary or secondary immune deficiencies, such as multiple sclerosis, skin disease, and asthma. These latter uses are referred to as “off-label” or evidence-based uses because the FDA has not approved their use in these indications and promotion of such uses is not permitted by FDA unless a BLA or BLA supplement with additional data is approved. Among the various IVIG products, there are only 14 labeled indications approved by the FDA. However, medical literature identifies at least 150 evidence-based uses for IVIG, of which approximately 60 are currently included on lists of reimbursable uses by Medicare and other healthcare plans. This provides opportunities for new product development and submissions.</w:t>
      </w:r>
    </w:p>
    <w:p>
      <w:pPr>
        <w:spacing w:after="0" w:line="16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There are two types of immune globulins; standard and hyperimmune. The difference between standard immune globulins and hyperimmune globulins is that the latter are manufactured using plasma obtained from donors who have elevated amounts (high-titers) of specific antibodies. These high-titer products can be used to treat and prevent diseases that present those specific antigens that are reactive with the high-titer antibodies. Hyperimmune products currently available include Hepatitis B, tetanus, rabies, CMV and RhoD immune globulins.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reported in industry journals, the U.S. sales of immune and hyperimmune globulin products for all its uses were reported to be approximately $6.2 billion in 2017, and in 2016 industry journals reported that the worldwide market for plasma-derived therapeutic drug products was approximately $21 billion. IVIG products are used to treat primary immune deficiencies, certain autoimmune diseases, and other illnesses for immune-compromised patients and certain neuropathy indications. New research and data, additional labeled indications, an aging population and emerging countries with new markets are all adding to the worldwide demand and growth of IVIG utilization.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order to produce plasma-derived therapeutics that can be administered to patients, raw material plasma is collected from healthy donors at plasma collection facilities licensed by the FDA. ADMA Bio Centers operates an FDA-licensed source plasma collection facility located in Kennesaw, GA. which provides us with a portion of our blood plasma for the manufacture of our current products and product candidates.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for the manufacture of our current products and product candidates is sold to third-party customers in the U.S., and other locations where we are approved globally under supply agreements or in the open "spot" market.</w:t>
      </w:r>
    </w:p>
    <w:p>
      <w:pPr>
        <w:spacing w:after="0" w:line="17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 June 6, 2017, we entered into a Termination Agreement with BPC with respect to the Manufacturing Supply and License Agreement and Master Services Agreement, which included, effective as of January 21, 2017, a mutual release with respect to any claims relating to or arising from any breach or default under the existing Manufacturing Supply and License Agreement and Master Services Agreement between ADMA BioManufacturing and BPC. Under our Manufacturing, Supply and License Agreement with BPC, we had agreed to purchase exclusively from BPC our worldwide requirements of RSV immune globulin manufactured from human plasma containing RSV antibodies. The term of the agreement was for a period of ten years from January 1, 2013, renewable for two additional five-year periods at the agreement of both parties. We were obligated under this agreement to purchase a minimum of at least one lot of product during each calendar year after the finished product is approved by the FDA. This number was subject to increase at our option. As consideration for BPC’s obligations under the agreement, we were obligated to pay a dollar amount per lot of RSV immune globulin manufactured from human plasma containing RSV antibodies, as well as a percentage royalty on the sales thereof and of RI-002, up to a specified cumulative maximum amount.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Pursuant to the terms of a plasma purchase agreement with BPC, dated as of November 17, 2011 (the “2011 Plasma Purchase Agreement”), we have agreed to purchase from BPC an annual minimum volume of source plasma containing antibodies to RSV to be used in the manufacture of RI-002. We must purchase a to-be-determined and agreed upon annual minimum volume from BPC, but may also collect high-titer RSV plasma from up to five wholly-owned ADMA plasma collection facilities. During 2015, we amended the 2011 Plasma Purchase Agreement with BPC to allow us the ability to collect our raw material RSV high-titer plasma from other third-party collection organizations, thus allowing us to expand our reach for raw material supply as we approach commercialization for RI-002. Unless terminated earlier, the 2011 Plasma Purchase Agreement expires in June 2027, after which it may be renewed for two additional five-year periods if agreed to by the parties. As part of the closing of the Biotest Transaction, we amended the 2011 Plasma Purchase Agreement to extend the initial term through the ten 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ADMA entered into an additional amendment to the 2011 Plasma Purchase Agreement for the purchase of source plasma containing antibodies to RSV from Grifols. Pursuant to this amendment, until January 1, 2022, we may purchase RSV plasma from Grifols from the two previously owned ADMA plasma collection facilities which we transferred to BPC on January 1, 2019 at a price equal to cost plus five percent (5%) (without any additional increase due to inflation).</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March 23, 2016, we entered into an Amended and Restated Plasma Supply Agreement with BPC for the purchase by BPC of normal source plasma to be derived from automated plasmapheresis procedures conducted at the formerly owned ADMA Bio Centers’ Norcross, GA and Marietta, GA facilities to be used in BPC's proprietary products’ manufacturing (the “Amended and Restated Plasma Supply Agreement”). Under the Amended and Restated Plasma Supply Agreement, BPC obtained GHA certification of the two bio centers which we transferred to BPC on January 1, 2019. The initial term of the Amended and Restated Plasma Supply Agreement expired by its terms on December 31, 2018 and was not renewed.</w:t>
      </w:r>
    </w:p>
    <w:p>
      <w:pPr>
        <w:spacing w:after="0" w:line="173"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On June 6, 2017, we entered into a Plasma Supply Agreement with BPC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we entered into an amendment to the Plasma Supply Agreement with BPC to, among other things, that in the event BPC elects not to supply in excess of ADMA BioManufacturing’s specified amount of Hepatitis B plasma and ADMA BioManufacturing is unable to secure Hepatitis B plasma from a third party at a price which is within a low double digit percentage of the price which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On June 6, 2017, we entered into a Plasma Purchase Agreement with BPC (the “2017 Plasma Purchase Agreement”), pursuant to which ADMA BioManufacturing purchases normal source plasma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we entered into an amendment to the 2017 Plasma Purchase Agreement with BPC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 digit percentage of ADMA BioManufacturing’s requested NSP amounts, provided that such requested normal source plasma amounts are within an agreed range, at a price per liter to be mutually determined. Furthermore, pursuant to the amendment to the 2017 Plasma Purchase Agreement, in the event BPC fails to supply ADMA BioManufacturing with at least a high double digit percentage of ADMA BioManufacturing’s requested normal source plasma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Market Research</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intend to market and sell our product through our specialty sales force, distribution relationships and other customary industry methods. We will focus our efforts specifically on the easily identifiable treatment centers which specialize in the care and management of immune compromised individuals. We estimate that there are approximately 500 leading specialty programs in the U.S. which have significant patient populations for PIDD, suitable for treatment with RI-002. We plan to hire our own specialty sales force which will consist of account managers, medical science liaisons and other normal and customary scientific, medical and detail representatives. Our management and Board has substantial prior direct marketing, sales and distribution experience with plasma derived drugs, specialty immune globulins and other biological products. We also anticipate staffing the company with additional personnel for patient support, medical affairs, quality assurance, regulatory affairs, scientific affairs, third-party reimbursement, supply chain and logistics, human resources, financial and other operational management positions. As is customary in the plasma products industry, we may also use a network of national distribution organizations that have specialty divisions that focus on plasma products to fulfill orders for RI-002. We anticipate that due to certain recent events, our current and anticipated plans and intentions will evolve and change. See “Special Note Regarding Forward-Looking Statements.”</w:t>
      </w:r>
    </w:p>
    <w:p>
      <w:pPr>
        <w:spacing w:after="0" w:line="16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 June 6, 2017, we entered into a Termination Agreement with BPC with respect to the Manufacturing Supply and License Agreement and Master Services Agreement, which included, effective as of January 21, 2017, a mutual release with respect to any claims related to or arising from any breach or default under the existing Manufacturing Supply and License Agreement and Master Services Agreement between ADMA BioManufacturing and BPC. Pursuant to our Manufacturing, Supply and License Agreement, we granted Biotest an exclusive license to market and sell RI-002 in Europe and in selected countries in North Africa and the Middle East (the “Territory”), to have access to our testing services for testing of BPC’s plasma samples using our proprietary RSV assay, and to reference (but not access) our proprietary information for the purpose of Biotest seeking regulatory approval for the RI-002 in the Territory. As consideration for the license, Biotest provided us with certain services at no charge and also compensated us with cash payments upon the completion of certain milestones. Biotest was also obligated to pay us an adjustable royalty based on a percentage of revenues from the sale of RI-002 in the Territory for 20 years from the date of first commercial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BPC, McKesson Corporation and AmerisourceBergen represented 56%, 16% and 15%, respectively, of our total 2018 revenue and the loss of BPC, McKesson Corporation or AmerisourceBergen as a customer or a material change in the revenue generated by any of these customers could have a material adverse effect on our business, results of operations and financial condition. As discussed above, the initial term of the Amended and Restated Plasma Supply Agreement with BPC, pursuant to which we supplied BPC with normal source plasma, expired by its terms on December 31, 2018 and was not renewed.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The plasma products industry is highly competitive. We face, and will continue to face, intense competition from both U.S.-based and foreign producers of plasma products, some of which have lower cost structures, greater access to capital, greater resources for research and development, and sophisticated marketing capabilities.</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These competitors may include but are not limited to: CSL Behring, Grifols Biologicals, Takeda-Shire, Octapharma and Kedrion. In addition to competition from other large worldwide plasma products providers, we face competition in local areas from smaller entities. In Europe, where the industry is highly regulated and health care systems vary from country to country, local companies may have greater knowledge of local health care systems, more established infrastructures and have existing regulatory approvals or a better understanding of the local regulatory process, allowing them to market their products more quickly. Moreover, plasma therapy generally faces competition from non-plasma products and other courses of treatments. For example, recombinant Factor VIII products compete with plasma-derived products in the treatment of Hemophilia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During the second quarter of 2015, U.S. Pat. App. Serial No. 14/592,721, entitled ‘Compositions and Methods for the Treatment of Immunodeficiency’, encompassing our RI-002 product, was allowed and issued August 18, 2015 as U.S. Patent No. 9,107,906. The ‘906 patent has a term at least through January 2035 and covers compositions comprising pooled plasma, as well as immunoglobulin prepared therefrom, that contains a standardized, elevated titer of RSV neutralizing antibodies as well as elevated levels of antibodies specific for one or more other respiratory pathogens, as well as methods of making and using the compositions. Our proprietary methods allow us to effectively identify and isolate donor plasma with high-titer RSV neutralizing antibodies and to standardize RI-002’s antibody profile, which we believe may enable us to garner a premium price.</w:t>
      </w:r>
    </w:p>
    <w:p>
      <w:pPr>
        <w:spacing w:after="0" w:line="16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During the third quarter of 2017, U.S. Pat. App. Serial No. 14/790,872, entitled ‘Compositions and Methods for the Treatment of Immunodeficiency’, encompassing immunotherapeutic methods of using immune globulin compositions proprietary to us, was allowed and issued July 25, 2017 as U.S. Patent No. 9,714,283. The ‘283 patent has a term at least through January 2035.</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November 2017, U.S. Pat. App. Serial No. 14/592,727, related to immune globulin compositions containing elevated, neutralizing antibody titers to RSV, as well as elevated antibody titers to other respiratory pathogens, was allowed and issued as U.S. Patent No. 9,815,886. The term of the issued patent extends to January 2035.</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May 2018, U.S. Patent No. 9,969,793 was issued covering methods of treating respiratory infections. The newly issued patent encompasses methods of treating upper and lower respiratory infections, including those caused by RSV, other viruses as well as bacteria utilizing ADMA’s investigational drug candidate RI-002, that contains elevated, neutralizing antibody titers to RSV as well as elevated antibody titers to other respiratory pathogens, such as influenza virus, coronavirus, parainfluenza virus, and metapneumovirus. The term of the issued patent extends to January 2035.</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first quarter of 2019, U.S. Pat. App. Serial No. 14/790,872, entitled ‘Compositions and Methods for the Treatment of Immunodeficiency’, encompassing immunotherapeutic methods of using immune globulin compositions proprietary to us, was allowed and issued July 25, 2017 as U.S. Patent No. 9,714,283. The ‘283 patent has a term at least through January 2035.</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On January 24, 2019, the U.S. Patent and Trademark Office issued a Notice of Allowance for U.S. Patent Application Serial No. 15/460,147 related to methods of treatment and prevention of </w:t>
      </w:r>
      <w:r>
        <w:rPr>
          <w:rFonts w:ascii="Arial" w:cs="Arial" w:eastAsia="Arial" w:hAnsi="Arial"/>
          <w:sz w:val="18"/>
          <w:szCs w:val="18"/>
          <w:i w:val="1"/>
          <w:iCs w:val="1"/>
          <w:color w:val="auto"/>
        </w:rPr>
        <w:t>S. pneumonia</w:t>
      </w:r>
      <w:r>
        <w:rPr>
          <w:rFonts w:ascii="Arial" w:cs="Arial" w:eastAsia="Arial" w:hAnsi="Arial"/>
          <w:sz w:val="18"/>
          <w:szCs w:val="18"/>
          <w:color w:val="auto"/>
        </w:rPr>
        <w:t xml:space="preserve"> infection. The allowed claims encompass methods of preparing immune globulin via harvesting plasma from </w:t>
      </w:r>
      <w:r>
        <w:rPr>
          <w:rFonts w:ascii="Arial" w:cs="Arial" w:eastAsia="Arial" w:hAnsi="Arial"/>
          <w:sz w:val="18"/>
          <w:szCs w:val="18"/>
          <w:i w:val="1"/>
          <w:iCs w:val="1"/>
          <w:color w:val="auto"/>
        </w:rPr>
        <w:t>S. pneumonia</w:t>
      </w:r>
      <w:r>
        <w:rPr>
          <w:rFonts w:ascii="Arial" w:cs="Arial" w:eastAsia="Arial" w:hAnsi="Arial"/>
          <w:sz w:val="18"/>
          <w:szCs w:val="18"/>
          <w:color w:val="auto"/>
        </w:rPr>
        <w:t xml:space="preserve"> vaccinated, healthy adult human donors and pooling the harvested plasma as the source for manufacturing a hyperimmune anti-</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pneumococcal </w:t>
      </w:r>
      <w:r>
        <w:rPr>
          <w:rFonts w:ascii="Arial" w:cs="Arial" w:eastAsia="Arial" w:hAnsi="Arial"/>
          <w:sz w:val="18"/>
          <w:szCs w:val="18"/>
          <w:color w:val="auto"/>
        </w:rPr>
        <w:t>immune globulin containing elevated opsonic antibodies to a plurality of</w:t>
      </w:r>
      <w:r>
        <w:rPr>
          <w:rFonts w:ascii="Arial" w:cs="Arial" w:eastAsia="Arial" w:hAnsi="Arial"/>
          <w:sz w:val="18"/>
          <w:szCs w:val="18"/>
          <w:i w:val="1"/>
          <w:iCs w:val="1"/>
          <w:color w:val="auto"/>
        </w:rPr>
        <w:t xml:space="preserve"> S. pneumonia </w:t>
      </w:r>
      <w:r>
        <w:rPr>
          <w:rFonts w:ascii="Arial" w:cs="Arial" w:eastAsia="Arial" w:hAnsi="Arial"/>
          <w:sz w:val="18"/>
          <w:szCs w:val="18"/>
          <w:color w:val="auto"/>
        </w:rPr>
        <w:t>serotypes, hyperimmune anti-</w:t>
      </w:r>
      <w:r>
        <w:rPr>
          <w:rFonts w:ascii="Arial" w:cs="Arial" w:eastAsia="Arial" w:hAnsi="Arial"/>
          <w:sz w:val="18"/>
          <w:szCs w:val="18"/>
          <w:i w:val="1"/>
          <w:iCs w:val="1"/>
          <w:color w:val="auto"/>
        </w:rPr>
        <w:t xml:space="preserve">S pneumococcal </w:t>
      </w:r>
      <w:r>
        <w:rPr>
          <w:rFonts w:ascii="Arial" w:cs="Arial" w:eastAsia="Arial" w:hAnsi="Arial"/>
          <w:sz w:val="18"/>
          <w:szCs w:val="18"/>
          <w:color w:val="auto"/>
        </w:rPr>
        <w:t>immune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globulin so prepared and methods of treating </w:t>
      </w:r>
      <w:r>
        <w:rPr>
          <w:rFonts w:ascii="Arial" w:cs="Arial" w:eastAsia="Arial" w:hAnsi="Arial"/>
          <w:sz w:val="18"/>
          <w:szCs w:val="18"/>
          <w:i w:val="1"/>
          <w:iCs w:val="1"/>
          <w:color w:val="auto"/>
        </w:rPr>
        <w:t>S. pneumonia</w:t>
      </w:r>
      <w:r>
        <w:rPr>
          <w:rFonts w:ascii="Arial" w:cs="Arial" w:eastAsia="Arial" w:hAnsi="Arial"/>
          <w:sz w:val="18"/>
          <w:szCs w:val="18"/>
          <w:color w:val="auto"/>
        </w:rPr>
        <w:t xml:space="preserve"> infection and methods of providing immunotherapy using the hyperimmune anti-</w:t>
      </w:r>
      <w:r>
        <w:rPr>
          <w:rFonts w:ascii="Arial" w:cs="Arial" w:eastAsia="Arial" w:hAnsi="Arial"/>
          <w:sz w:val="18"/>
          <w:szCs w:val="18"/>
          <w:i w:val="1"/>
          <w:iCs w:val="1"/>
          <w:color w:val="auto"/>
        </w:rPr>
        <w:t>S pneumococcal</w:t>
      </w:r>
      <w:r>
        <w:rPr>
          <w:rFonts w:ascii="Arial" w:cs="Arial" w:eastAsia="Arial" w:hAnsi="Arial"/>
          <w:sz w:val="18"/>
          <w:szCs w:val="18"/>
          <w:color w:val="auto"/>
        </w:rPr>
        <w:t xml:space="preserve"> immune globulin. This allowed Application is expected to issue as a patent in March 2019. The term of the patent, once issued, is expected to extend to March 2037.</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also rely on a combination of patents, trademarks, trade secrets and nondisclosure and non-competition agreements to protect our proprietary intellectual property and will continue to do so. We also seek to enhance and ensure our competitive position through a variety of means, including our unique and proprietary plasma donor selection criteria, our proprietary formulation methodology for plasma pooling and the proprietary reagents, controls, testing standards, standard operating procedures and methods we use in our anti-RSV microneutralization assay. While we intend to defend against threats to our intellectual property, litigation can be costly and there can be no assurance that our patent will be enforced or that our trade secret policies and practices or other agreements will adequately protect our intellectual property. We seek to preserve the integrity and confidentiality of our data and trade secrets by maintaining physical security of our premises and physical and electronic security of our information technology systems. These processes, systems, and/or security measures may be breached, and we may not have adequate remedies as a result of any such breaches. Third parties may also own or could obtain patents that may require us to negotiate licenses to conduct our business, and there can be no assurance that the required licenses would be available on reasonable terms or at all.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addition, our trade secrets may otherwise become known or be independently discovered by competitors. We also seek to protect our proprietary technology and processes, in part, by confidentiality agreements with our employees, consultants, scientific advisors and contractors. Although we rely, in part, on confidentiality, nondisclosure and non-competition agreements with employees, consultants and other parties with access to our proprietary information to protect our trade secrets, proprietary technology, processes and other proprietary rights, there can be no assurance that these agreements or any other security measures related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 We have filed for other provisional patent applications with the U.S. which are pending related to expanded hyperimmune globulin products.</w:t>
      </w:r>
    </w:p>
    <w:p>
      <w:pPr>
        <w:spacing w:after="0" w:line="16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We currently hold multiple trademarks, including but not limited to </w:t>
      </w:r>
      <w:r>
        <w:rPr>
          <w:rFonts w:ascii="Arial" w:cs="Arial" w:eastAsia="Arial" w:hAnsi="Arial"/>
          <w:sz w:val="18"/>
          <w:szCs w:val="18"/>
          <w:i w:val="1"/>
          <w:iCs w:val="1"/>
          <w:color w:val="auto"/>
        </w:rPr>
        <w:t>BIVIGAM</w:t>
      </w:r>
      <w:r>
        <w:rPr>
          <w:rFonts w:ascii="Arial" w:cs="Arial" w:eastAsia="Arial" w:hAnsi="Arial"/>
          <w:sz w:val="18"/>
          <w:szCs w:val="18"/>
          <w:color w:val="auto"/>
        </w:rPr>
        <w:t xml:space="preserve"> and </w:t>
      </w:r>
      <w:r>
        <w:rPr>
          <w:rFonts w:ascii="Arial" w:cs="Arial" w:eastAsia="Arial" w:hAnsi="Arial"/>
          <w:sz w:val="18"/>
          <w:szCs w:val="18"/>
          <w:i w:val="1"/>
          <w:iCs w:val="1"/>
          <w:color w:val="auto"/>
        </w:rPr>
        <w:t>Nabi-HB</w:t>
      </w:r>
      <w:r>
        <w:rPr>
          <w:rFonts w:ascii="Arial" w:cs="Arial" w:eastAsia="Arial" w:hAnsi="Arial"/>
          <w:sz w:val="18"/>
          <w:szCs w:val="18"/>
          <w:color w:val="auto"/>
        </w:rPr>
        <w:t>. We have spent considerable resources registering the trademarks and building brand awareness and equity of the ADMA Biologics trade name, which has been used in commerce since 2006. We expect to maintain and defend our various trademarks to the fullest extent possible.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among other things, the testing (preclinical and clinical), manufacturing, labeling, storage, recordkeeping, advertising, promotion, import, export, marketing and distribution of products and product candidates. If we do not comply with applicable requirements, we may be fined, the government may refuse to approve our marketing applications or allow us to manufacture or market our products and we may be criminally prosecuted. We and our manufacturers may also be subject to regulations under other federal, state and local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Government Regulation</w:t>
      </w: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6"/>
          <w:szCs w:val="16"/>
          <w:color w:val="auto"/>
        </w:rPr>
        <w:t>In the U.S., the FDA regulates products under the Federal Food, Drug, and Cosmetic Act (the “FDCA”) and related regulations. Our current and anticipated future product candidates are considered “biologics” under the FDA regulatory framework. The FDA's regulatory authority for the approval of biologics resides in the Public Health Service Act. However, biologics are also subject to regulation under the FDCA because most biological products also meet the FDCA’s definition of "drugs." Most pharmaceuticals or “conventional drugs” consist of pure chemical substances and their structures are known.</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Most biologics, however, are complex mixtures that are not easily identified or characterized. Biological products differ from conventional drugs in that they tend to be heat-sensitive and susceptible to microbial contamination. This requires sterile processes to be applied from initial manufacturing steps. The process required by the FDA before our product candidates may be marketed in the U.S. generally involves the following (although the FDA is given wide discretion to impose different or more stringent requirements on a case-by-case basis):</w:t>
      </w:r>
    </w:p>
    <w:p>
      <w:pPr>
        <w:spacing w:after="0" w:line="190" w:lineRule="exact"/>
        <w:rPr>
          <w:sz w:val="20"/>
          <w:szCs w:val="20"/>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preclinical animal studies and formulation studies performed in accordance with the FDA’s good laboratory practice regulations and other regulations;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(“IND”) application which must become effective before clinical trials may begin;</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meeting FDA requirements to establish the safety and efficacy of the product candidate for each proposed indication;</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(through an FDA-licensed contract manufacturing organization) of product in accordance with cGMP to be used in the clinical trials and providing manufacturing information need in regulatory filings;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of a BLA to the FDA;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right="8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facilities at which the product candidate is produced, and potentially other involved facilities as well, to assess compliance with cGMP regulations and other applicable regulations; and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review and approval of a BLA prior to any commercial marketing, sale or shipment of the product.</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product candidates will be granted on a timely basis, if at all. See “Item 1A Risk Factors” appearing elsewhere in this Annual Report.</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submit manufacturing and analytical data, among other information, to the FDA as part of an IND application. Subject to certain exceptions, an IND becomes effective 30 days after receipt by the FDA, unless the FDA, within the 30-day time period, issues a clinical hold to delay a proposed clinical investigation due to concerns or questions about the product or the conduct of the clinical trial, including concerns that human research subjects will be exposed to unreasonable health risks. In such a case, the IND sponsor and the FDA must resolve any outstanding concerns before the clinical trial can begin. Our submission of an IND, or those of our collaboration partners, may not result in the FDA allowance to commence a clinical trial. A separate submission to an existing IND must also be made for each successive clinical trial conducted during product development. The FDA must also approve certain changes to an existing IND, such as certain manufacturing changes. Further, an independent institutional review board (“IRB”) duly constituted to meet FDA requirements for each medical center proposing to conduct the clinical trial must review and approve the plan for any clinical trial before it commences at that center and it must monitor the safety of the study and study subjects until completed. The FDA, the IRB or the sponsor may suspend a clinical trial at any time on various grounds, including a finding that the subjects or patients are being exposed to an unacceptable health risk. Clinical testing also must satisfy extensive Good Clinical Practice requirements and regulations for informed consent.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Trials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purposes of BLA submission and approval, clinical trials are typically conducted in the following three sequential phases, which may overlap (although additional or different trials may be required by the FDA as well):</w:t>
      </w:r>
    </w:p>
    <w:p>
      <w:pPr>
        <w:spacing w:after="0" w:line="170" w:lineRule="exact"/>
        <w:rPr>
          <w:sz w:val="20"/>
          <w:szCs w:val="20"/>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I clinical trials are initially conducted in a limited population to test the product candidate for safety, dose tolerance, absorption, metabolism, distribution and excretion in healthy humans or, on occasion, in patients, such as cancer patients.</w:t>
      </w:r>
    </w:p>
    <w:p>
      <w:pPr>
        <w:spacing w:after="0" w:line="197"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Phase II clinical trials are generally conducted in a limited patient population to identify possible adverse effects and safety risks, to determine the efficacy of the product candidate for specific targeted indications and to determine tolerance and optimal dosage. Multiple Phase II clinical trials may be conducted by the sponsor to obtain information prior to beginning larger and more expensive Phase III clinical trials.</w:t>
      </w:r>
    </w:p>
    <w:p>
      <w:pPr>
        <w:spacing w:after="0" w:line="192"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Phase III clinical trials are referred to as pivotal trials. When Phase II clinical trials demonstrate that a dose range of the product candidate is effective and has an acceptable safety profile, Phase III clinical trials are undertaken in large patient populations to provide substantial evidence of reproducibility of clinical efficacy results and to further test for safety in an expanded and diverse patient population at multiple, geographically dispersed clinical trial sites.</w:t>
      </w:r>
    </w:p>
    <w:p>
      <w:pPr>
        <w:spacing w:after="0" w:line="214"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addition, under the Pediatric Research Equity Act of 2003, a BLA application or supplement for a new active ingredient, new indication, new dosage form, new dosing regimen, or new route of administration must contain data that is adequate to assess the safety and effectiveness of the drug for the claimed indications in all relevant pediatric subpopulations, and to support dosing and administration for each pediatric subpopulation for which the product is safe and effective, unless the applicant has obtained a waiver or deferral. In 2012, the Food and Drug Administration Safety and Innovation Act amended the FDCA to require that a sponsor who is planning to submit such an application submit an initial Pediatric Study Plan (“PSP”) within sixty days of an end-of-phase 2 meeting or as may be agreed between the sponsor and the FDA. The FDA may, on its own initiative or at the request of the applicant, grant deferrals for submission of data or full or partial waivers. The FDA and the sponsor must reach agreement on the PSP.</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some cases, the FDA may condition continued approval of a BLA on the sponsor’s agreement to conduct additional clinical trials, or other commitments. Such post-approval studies are typically referred to as Phase IV studies.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Biologics License Application</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results of product candidate development, preclinical testing and clinical trials, together with, among other things, detailed information on the manufacture and composition of the product and proposed labeling, and the payment of a user fee, are submitted to the FDA as part of a BLA. The FDA reviews all BLAs submitted before it accepts them for filing and may reject the filing as inadequate to merit review or may request additional information to be submitted in a very short time frame before accepting a BLA for filing. Once a BLA is accepted for filing, the FDA begins an in-depth review of the application.</w:t>
      </w:r>
    </w:p>
    <w:p>
      <w:pPr>
        <w:spacing w:after="0" w:line="18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During its review of a BLA, the FDA may refer the application to an advisory committee of experts for their review, evaluation and recommendation as to whether the application should be approved, which information is taken into consideration along with the FDA’s own review findings. The FDA may refuse to approve a BLA and issue a CRL if the applicable regulatory criteria are not satisfied or the FDA has additional open questions for which it requires clarification. A CRL may also require additional clinical or other data, including one or more additional pivotal Phase III clinical trials. Even if such requested data are submitted, the FDA may ultimately decide that the BLA does not satisfy the criteria for approval and issue a denial of the BLA. Data from clinical trials are not always conclusive and the FDA may interpret data differently than we do. If the FDA’s evaluations of the BLA and the clinical and manufacturing procedures and facilities are favorable, the FDA may issue an approval letter; if the evaluations are not favorable the FDA will issue a CRL, which may contain the conditions that must be met in order to secure final approval of the BLA. If a CRL is issued, a company has up to twelve months to resubmit or withdraw the BLA, unless the FDA allows for an extension as requested by a sponsor. If a CRL is issued, resubmissions for original applications and supplements of different types are subject to varying agency review procedures and review timing goals. For example, upon the resubmission of an original BLA application or efficacy supplement, the Center for Biologics Evaluation and Research (CBER)’s written Standard Operating Policy and Procedure (SOPP) 8405.1 states that it will classify the resubmission as either Class 1 (triggering a two-month review goal for the FDA) or Class 2 (triggering a six-month review goal for the FDA) depending on the circumstances, and in this SOPP CBER stated goal for review of manufacturing and labeling supplement resubmissions for PDUFA BLAs is (using the timeframes referenced in 21 C.F.R.§ 314.110(b)(1)(iii)) to review them within the same timeframe as the initial review cycle for the supplement (excluding any extension due to a major amendment of the initial supplement) (for example, under the FDA’s published PDUFA goals for fiscal years 2018 – 2022, a goal of acting on 90% of manufacturing PASs within four months of receipt). In practice, FDA reviews may take longer than the stated goals. If and when the items identified in a CRL have been resolved to the FDA’s satisfaction, the FDA will issue an approval letter, authorizing commercial marketing of the product for certain indications. The FDA may withdraw product approval if ongoing regulatory requirements are not met or if safety problems occur after the product reaches the market. In addition, the FDA may require testing, including Phase IV post-approval clinical trials, and surveillance programs to monitor the effect of approved products that have been commercialized, and the FDA has the power to prevent or limit further marketing of a product based on the results of these post-marketing programs. Products may be marketed only for the FDA-approved indications and in accordance with the FDA-approved label. The FDA generally does not allow drugs to be promoted for “off-label” uses – that is, uses that are not described in the product’s approved labeling and that differ from those that were approved by the FDA. Furthermore, the FDA generally limits approved uses to those studied in clinical trials. If there are any modifications to the product, including changes in indications, other labeling changes, or manufacturing processes or facilities, we may be required to submit and obtain FDA approval of a new BLA or BLA supplement, which may require us to develop additional data or conduct additional preclinical studies and clinical trials, and/or require additional manufacturing data.</w:t>
      </w:r>
    </w:p>
    <w:p>
      <w:pPr>
        <w:spacing w:after="0" w:line="17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Satisfaction of the FDA regulations and approval requirements or similar requirements of foreign regulatory agencies typically takes several years, and the actual time required may vary substantially based upon the type, complexity and novelty of the product or disease. Typically, if a product candidate is intended to treat a chronic disease, as is the case with RI-002, safety and efficacy data must be gathered over an extended period of time. Government regulation may delay or prevent marketing of product candidates for a considerable period of time and impose costly procedures upon our activities. The FDA or any other regulatory agency may not grant approvals for changes in dose form or new indications for a product candidate on a timely basis, or at all. Even if a product candidate receives regulatory approval, the approval may be significantly limited to specific disease states, patient populations and dosages. Further, even after regulatory approval is obtained, later discovery of previously unknown problems with a product may result in restrictions on the product or even complete withdrawal of the product from the market. Delays in obtaining, or failures to obtain, regulatory approvals for any of our product candidates would harm our business. In addition, we cannot predict what adverse governmental regulations may arise from future U.S. or foreign governmental action.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Regulatory Requirements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Biological drug products manufactured or distributed pursuant to FDA approvals are subject to extensive and continuing regulation by the FDA, including, among other things, requirements related to recordkeeping (including certain electronic record and signature requirements), periodic reporting, product sampling and distribution, advertising and promotion and reporting of certain adverse experiences, deviations, and other problems with the product. After approval, most changes to the approved product, such as adding new indications or other labeling claims, are subject to prior FDA review and approval. There also are annual user fee requirements for any marketed products and the establishments at which such products are manufactured, as well as new application fees for supplemental applications with clinical data.</w:t>
      </w:r>
    </w:p>
    <w:p>
      <w:pPr>
        <w:spacing w:after="0" w:line="17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Manufacturers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87" w:lineRule="exact"/>
        <w:rPr>
          <w:sz w:val="20"/>
          <w:szCs w:val="20"/>
          <w:color w:val="auto"/>
        </w:rPr>
      </w:pPr>
    </w:p>
    <w:p>
      <w:pPr>
        <w:ind w:right="400" w:firstLine="648"/>
        <w:spacing w:after="0" w:line="273" w:lineRule="auto"/>
        <w:rPr>
          <w:sz w:val="20"/>
          <w:szCs w:val="20"/>
          <w:color w:val="auto"/>
        </w:rPr>
      </w:pPr>
      <w:r>
        <w:rPr>
          <w:rFonts w:ascii="Arial" w:cs="Arial" w:eastAsia="Arial" w:hAnsi="Arial"/>
          <w:sz w:val="17"/>
          <w:szCs w:val="17"/>
          <w:color w:val="auto"/>
        </w:rPr>
        <w:t>Manufacturers and certain other entities involved in the manufacturing and distribution of approved products are required to register their establishments with the FDA and certain state agencies, and are subject to periodic unannounced inspections by the FDA and certain state agencies for compliance with cGMP and other laws. The cGMP requirements apply to all stages of the manufacturing process, including the production, processing, sterilization, packaging, labeling, storage and shipment of the product. Manufacturers must establish validated systems to ensure that products meet specifications and regulatory standards, and test each product batch or lot prior to its release. For biologics products in particular, for each product lot the applicant must submit materials related to that lot to the FDA before the lot can be released for distribution.</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FDA may impose a number of post-approval requirements as a condition of approval of an application. The FDA may withdraw a product approval if compliance with regulatory requirements is not maintained or if problems occur after the product reaches the market. Later discovery of previously unknown problems with a product, including adverse events of unanticipated severity or frequency, problems with manufacturing processes or failure to comply with regulatory requirements, may result in restrictions on the product or even complete withdrawal of the product from the market. Failure to comply with the statutory and regulatory requirements can subject a manufacturer to possible legal or regulatory action, such as warning letters, suspension of manufacturing, sales or use, seizure of product, injunctive action or possible fines and other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a product from distribution, or withdraw approval of our BLA for that product.</w:t>
      </w:r>
    </w:p>
    <w:p>
      <w:pPr>
        <w:spacing w:after="0" w:line="182"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FDA closely regulates the post-approval marketing and promotion of products,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and/or other regulatory letters, corrective advertising and potential major fines and other penalties.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commercial distribution of prescription drugs (including biological drug products) is subject to the Drug Supply Chain Security Act ("DSCSA"), which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Trading partners within the drug supply chain must now ensure certain product tracing requirements are met, and are required to exchange transaction information, transaction history, and transaction statements. Further, the DSCSA limits the distribution of prescription pharmaceutical products and imposes requirements to ensure overall accountability and security in the drug supply chain. The distribution of product samples continues to be regulated under the PDMA.</w:t>
      </w:r>
    </w:p>
    <w:p>
      <w:pPr>
        <w:spacing w:after="0" w:line="167"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guidance, and policies are often revised or reinterpreted by the FDA in ways that may significantly affect our business and our product candidates. It is impossible to predict whether further legislative or FDA regulation or policy changes will be enacted or implemented and what the impact of such changes, if any, may be.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 of ADMA Bio Centers</w:t>
      </w:r>
    </w:p>
    <w:p>
      <w:pPr>
        <w:spacing w:after="0" w:line="22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All blood and blood product collection and manufacturing centers which engage in interstate commerce must be licensed by the FDA. In order to achieve licensure, the organization must submit a BLA and undergo pre-licensure inspection. ADMA Bio Centers has completed these requirements and holds an FDA license for its Kennesaw, GA plasma collection facility. In order to maintain an FDA license, each such facility operated by ADMA Bio Centers will be inspected at least every two years. ADMA Bio Centers is also required to submit annual reports to the FDA.</w:t>
      </w:r>
    </w:p>
    <w:p>
      <w:pPr>
        <w:spacing w:after="0" w:line="17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Blood plasma collection and manufacturing centers are also subject to the Clinical Laboratory Improvement Amendments, state licensure and compliance with industry standards such as the International Quality Plasma Program. Compliance with state and industry standards is verified by means of routine inspection. We believe that our ADMA Kennesaw, GA facility is currently in compliance with state and industry standards. Delays in obtaining, or failures to maintain, regulatory approvals for any facilities operated by ADMA Bio Centers would harm our business. In addition, we cannot predict what adverse federal and state regulations and industry standards may arise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Regulation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regulations in the U.S., if we choose to pursue clinical development and commercialization in the European Union, we will be subject to a variety of foreign regulations governing clinical trials and commercial sales and distribution of any future product.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93"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Under European Union regulatory systems, marketing authorizations may be submitted either under a centralized or mutual recognition procedure. The centralized procedure provides for the grant of a single marketing authorization that is valid for all European Union member states. The mutual recognition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 refuse it or request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Coverage, Pricing and Reimbursement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Significant uncertainties exist as to the coverage and reimbursement status of any products for which we may obtain regulatory approval. In the U.S., sales of any products for which we may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drug product may be separate from the process for setting the reimbursement rate that the payer will pay for the drug product. Third-party payers may limit coverage to specific drug products on an approved list, or formulary, which might not include all of the FDA-approved drugs for a particular indication. Moreover,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Third-party payers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payers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Healthcare Reform Law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third-party payers fail to provide adequate coverage and reimbursement. In addition, an increasing emphasis on cost containment measures in the U.S.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2018, we had a total of 318 employees, comprised of 314 full-time employees and four part-time employees. Over the course of the next year, we anticipate hiring additional full-time employees devoted to sales and marketing, medical and scientific affairs, general and administrative, as well as hiring additional staff to the plasma collection centers as appropriate. We intend to use Clinical Research Organizations(“ CROs”), third parties and consultants to perform our clinical studies and manufacturing, regulatory affairs and quality control services in addition to corporate marketing, branding and commercialization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ADMA Biologics, Inc. was founded on June 24, 2004 as a New Jersey corporation and re-incorporated in Delaware on July 16, 2007. We operate through our wholly-owned subsidiaries ADMA Plasma Biologics, ADMA BioManufacturing and ADMA Bio Centers. ADMA BioManufacturing was formed in January 2017 to facilitate the acquisition of BTBU. ADMA Bio Centers is the Company’s source plasma collection business which operates in the U.S. Each operational ADMA bio center, once approved, will have a license with the FDA and may obtain additional certifications from other regulatory agencies such as the GHA and the Korean Ministry of Food and Drug Safety. ADMA Bio Centers’ facility supplies ADMA with a portion of its raw material plasma for the manufacture of its products and product candidates.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4" w:name="page25"/>
    <w:bookmarkEnd w:id="2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maintain our headquarters at 465 State Route 17, Ramsey, NJ 07446. Our telephone number is (201) 478-5552. Our Florida campus is located at 5800 Park of Commerce Boulevard, Northwest, Boca Raton, FL 33487. The Florida telephone number is (561) 989-5800. We maintain a website at www.admabiologics.com; however, the information on, or that can be accessed through, our website is not part of this Annual Report on Form 10-K. This Annual Report and all of our filings under the Securities Exchange Act of 1934, as amended (the “Exchange Act”), including copies of Annual Reports on Form 10-K, Quarterly Reports on Form 10-Q, Current Reports on Form 8-K, and any amendments to those reports, are available free of charge through our website on the date we file those materials with, or furnish them to, the U.S. Securities and Exchange Commission (the “SEC”). Such filings are also available to the public on the internet at the SEC's website at www.sec.gov.</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To date, we have generated a substantial portion of our revenues from the sale of plasma by our plasma collections facilities. Following completion of the Biotest Transaction, we began generating revenues from the sale of Nabi-HB, and we recorded additional revenue in connection with a contract manufacturing agreement. Unless and until we receive approval from the FDA and other regulatory authorities for BIVIGAM and RI-002 and other products and product candidates in our pipeline, we do not expect to sell and generate revenue from the commercialization of BIVIGAM or RI-002 and other products and product candidates in our pipeline, and we will be required to raise additional funds through the sale of our equity and/or debt securities in order to establish a commercial sales force, develop our commercial infrastructure and recognize any significant revenues.</w:t>
      </w:r>
    </w:p>
    <w:p>
      <w:pPr>
        <w:spacing w:after="0" w:line="178"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Our long-term liquidity will depend upon our ability to raise additional capital, fund our research and development and commercial programs, establish and build out a commercial sales force and commercial infrastructure and meet our ongoing obligations. If we are unable to successfully raise additional capital by the fourth quarter of 2019, we will likely not have sufficient cash flow and liquidity to fund our business operations as we currently operate, forcing us to potentially curtail our activities and significantly reduce or cease operations.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Based upon our projected revenue and expenditures for fiscal 2019, including continued implementation of our commercialization and expansion activities and certain other assumptions, we currently believe that our cash, cash equivalents, projected revenue and accounts receivable, along with the additional $27.5 million we anticipate being able to draw down through our existing senior credit facility (see “Management’s Discussion and Analysis of Financial Condition and Results of Operations”), which is contingent upon, among other things, the FDA approval of either the BIVIGAM PAS or the RI-002 BLA, will be sufficient to fund our operations, as currently conducted, into the fourth quarter of 2019. In order to have sufficient cash to fund our operations thereafter and to continue as a going concern, we will need to raise additional equity or debt financing by the fourth quarter of 2019. However, if we do not receive FDA approval of either the BIVIGAM PAS or the RI-002 BLA, we believe that our cash balance will be sufficient to fund our operations, as currently conducted, into the third quarter of 2019, and we will be required to raise additional capital by the third quarter of 2019. This timeframe may change based upon how quickly we are able to execute on our ADMA BioManufacturing operations, commercial manufacturing ramp-up activities and the various financing options we are exploring. These estimates may change based upon whether or when the FDA approves BIVIGAM or RI-002 or if any of our other assumptions change. We currently do not have arrangements to obtain additional financing. Any such financing could be difficult to obtain or only available on unattractive terms and could result in significant dilution to stockholders. Failure to secure necessary financing in a timely manner and on favorable terms could have a material adverse effect on our business plan and financial performance and could delay, discontinue or prevent product development, clinical trials, commercialization activities or the approval of any of our potential products. In addition, we could be forced to reduce or forgo sales and marketing efforts and forgo attractive business opportunities.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timely and effectively remediate and close out the outstanding Warning Letter and other inspection issues and deficiencies at the Boca Facility will have a material adverse effect on our business.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Prior to the closing of the Biotest Transaction, BTBU was our third-party manufacturer for RI-002. In response to our RI-002 BLA submission in 2015, in July 2016 the FDA issued the CRL. The CRL did not specify or request the need for any addition clinical trials or data; however, the CRL reaffirmed the issues set forth in the Warning Letter issued to Biotest relating to inspection issues identified at the Boca Facility. The FDA identified in the CRL, among other things, certain outstanding inspection issues and deficiencies related to CMC and GMP at the Boca Facility and at certain of our third-party vendors, and requested documentation of corrections for a number of these issues. The FDA indicated in the CRL that it cannot grant final approval of our RI-002 BLA until, among other things, these deficiencies are resolved. Following the completion of the Biotest Transaction, we now have control over the regulatory, quality, general operations and drug substance manufacturing process at the Boca Facility, and one of our highest priorities is to close out the Warning Letter. In June 2017, we engaged a leading consulting firm with extensive experience in remediating compliance and inspection issues related to quality management systems that manages a robust team of subject matter experts in plasma derived products and biologic drugs to assist us in addressing all identified CMC and cGMP issues and deficiencies. In April 2018, the FDA inspected the Boca Facility and in July 2018 our FDA status improved from OAI to VAI and this inspection of the Boca Facility has been successfully closed-out as indicated on the FDA’s website inspection database. Upon our receiving FDA compliance status, we responded to the RI-002 CRL through resubmitting the RI-002 BLA on September 28, 2018 and the FDA assigned a PDUFA action due date of April 2, 2019. Upon approval of the RI-002 BLA by the FDA, we intend to commercialize RI-002. We cannot provide any assurances or predict with certainty the schedule for when we will, if at all, receive approval from the FDA for the RI-002 BLA. Similarly, there can be no assurances that our efforts to remediate the Warning Letter will be effective or whether the FDA will accept these efforts. Failure to timely remediate the issues identified in the Warning Letter and other inspection issues and deficiencies and/or receive approval from the FDA, as well as passing an FDA inspection within this timeline, if at all, will have a material adverse effect on our business, prospects, financial condition and results of operations. We may be issued additional 483 observations, Warning Letters or have other negative regulatory actions taken against us should we be found to be noncompliant.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a history of losses and expect to incur substantial losses and negative operating cash flow for the foreseeable future, and we may never achieve or maintain profitability. For the years ended December 31, 2018 and 2017, we incurred net losses of $65.7 and $43.8 million, respectively, and from our inception in 2004 through December 31, 2018, we have incurred an accumulated deficit of $216.4 million. Even if we succeed in developing and commercializing one or more of our products and product candidates, we expect to incur substantial losses for the foreseeable future and may never become profitable. We also expect to continue to incur significant operating and capital expenditures and anticipate that our operating expenses will increase substantially in the foreseeable future as we:</w:t>
      </w:r>
    </w:p>
    <w:p>
      <w:pPr>
        <w:spacing w:after="0" w:line="19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remediate the outstanding compliance deficiencies identified by the FDA in the CRL and Warning Letter at the Boca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commercialization and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expect to experience negative cash flows for the foreseeable future as we fund our operating losses and capital expenditures. As a result, we will need to generate significant revenues in order to achieve and maintain profitability. We may not be able to generate these revenues or achieve profitability in the future. Our failure to achieve or maintain profitability could negatively impact the value of our securities.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Although our financial statements have been prepared on a going concern basis, we must raise additional capital by the second half of 2019 to fund our operations in order to continue as a going concern.</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CohnReznick LLP, our independent registered public accounting firm, has included an explanatory paragraph in their opinion that accompanies our audited consolidated financial statements as of and for the year ended December 31, 2018, indicating that our current liquidity position and history of losses raise substantial doubt about our ability to continue as a going concern. If we are unable to improve our liquidity position we may not be able to continue as a going concern. If we are unable to continue as a going concern, we may have to liquidate our assets and may receive less than the value at which those assets are carried on our financial statements. We may also be forced to make reductions in spending, including delaying or curtailing our clinical development, trials or commercialization efforts, or seek to extend payment terms with our vendors and creditors. Our ability to raise or borrow the capital needed to improve our financial condition may be hindered by a variety of factors, including market conditions and the availability of such financing on acceptable terms, if at all. If we are unable to obtain sufficient funding, our business, prospects, financial condition and results of operations will be materially and adversely affected and we may be unable to continue as a going concern.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our security holders to suffer the loss of all or a substantial portion of their investment.</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our principal sources of liquidity will only be sufficient to fund our activities, as currently conducted, into the fourth quarter of 2019. In order to have sufficient cash to fund our operations thereafter and to continue as a going concern, we will need to raise additional equity or debt financing by the fourth quarter of 2019. However, if we do not receive FDA approval of either the BIVIGAM PAS or the RI-002 BLA, we believe that our cash balance will be sufficient to fund our operations, as currently conducted, into the third quarter of 2019, and we will be required to raise additional capital by the third quarter of 2019. This time frame may change based upon how quickly we are able to execute on our quality management systems’ remediation plans for the ADMA BioManufacturing operations, commercial manufacturing ramp-up activities and the various financing options we are exploring. In order to have sufficient cash to fund our operations thereafter, we will need to raise additional equity or debt capital, and we cannot provide any assurance that we will be successful in doing so. If our assumptions underlying our estimated expenses prove to be wrong, we may have to raise additional capital sooner than the second half of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to base an investment decision.</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have not demonstrated an ability to perform the functions necessary for the successful commercialization of RI-002. The successful development and commercialization of any product candidate will require us or our collaborators to perform a variety of functions, including:</w:t>
      </w:r>
    </w:p>
    <w:p>
      <w:pPr>
        <w:spacing w:after="0" w:line="14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undertaking product development and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conducting sales and marketing activities once product approval is received.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operations thus far provide a limited basis for you to assess our ability to commercialize our product candidates and the advisability of investing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operations, including our headquarters located in Ramsey, NJ, the Boca Facility and our Kennesaw, GA plasma collection center, are vulnerable to interruption by fire, weather related events such as hurricanes, wind and rain, other acts of God, electric power loss, telecommunications failure, equipment failure and breakdown, human error, employee issues, product liability claims and events beyond our control. While we maintain several insurance policies with reputable carriers, which we believe are in acceptable amounts and contain market terms common within the industry which provide adequate coverage for a variety of these risks, including replacing or rebuilding a substantial part of our facilities, these policies are subject to the insurance carriers’ final determination of compensation to us.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Our lead pipeline product candidate, RI-002, requires extensive clinical data analysis and regulatory review and may require additional testing. Clinical trials and data analysis can be very expensive, time-consuming and difficult to design and implement. If we are unsuccessful in obtaining regulatory approval for RI-002, or any of our product candidates do not provide positive results, we may be required to delay or abandon development of such product, which would have a material adverse impact on our business.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While we have met the primary endpoint for our pivotal Phase III trial for RI-002, we cannot provide any assurance or certainty regarding when we might receive regulatory approval of our RI-002 BLA. Furthermore, failure can occur at any stage of the process, and we could encounter problems that cause us to abandon our RI-002 BLA or repeat clinical trials. The commencement and completion of clinical trials for any current or future development product candidate may be delayed by several factors, including:</w:t>
      </w:r>
    </w:p>
    <w:p>
      <w:pPr>
        <w:spacing w:after="0" w:line="19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5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In the event we do not ultimately receive regulatory approval for RI-002, we may be required to terminate development of our only product candidate. Unless we acquire or develop other product candidates that are saleable, our business will be limited to plasma collection and sales, as well as sales of Nabi-HB and, potentially, manufacturing intermediates.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8" w:name="page29"/>
    <w:bookmarkEnd w:id="28"/>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Even though our clinical trials for RI-002 have been completed as planned, we cannot be certain that their results will support our product candidate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the clinical trial and product testing for RI-002 were performed outside of the U.S., and therefore, may not have been performed in accordance with standards normally required by the FDA and other regulatory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the necessary U.S. or worldwide regulatory approvals to commercialize RI-002, we will not be able to sell RI-002.</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we cannot obtain regulatory approval for RI-002, we will not be able to generate revenue from this product candidate. As a result,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RI-002 or any other product candidate we may acquire or develop in the future. In order to obtain FDA approval of RI-002 or any other product candidate requiring FDA approval, our clinical development must demonstrate that the product candidate is safe for humans and effective for its intended use, and we must successfully complete an FDA BLA review. Obtaining FDA approval of any other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8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Even if we comply with all FDA requests, the FDA may ultimately reject our RI-002 BLA. In addition, the FDA could determine that we must test additional subjects and/or require that we conduct further studies with more subjects. We may never obtain regulatory approval for RI-002, or any other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9" w:name="page30"/>
    <w:bookmarkEnd w:id="29"/>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if we receive approval from the FDA to market RI-002 for PIDD, our ability to market RI-002 for alternative indications could be limited, unless additional clinical trials are conducted.</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We have sought approval from the FDA to market RI-002 for the treatment of PIDD and, even if approved, we cannot be sure whether we will be able to obtain FDA approval for any desired future indications for RI-002.</w:t>
      </w:r>
    </w:p>
    <w:p>
      <w:pPr>
        <w:spacing w:after="0" w:line="18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Although recent court decisions suggest that certain off-label communications, such as truthful and non-misleading speech, may be protected under the First Amendment, the scope of any such protection is unclear, and there are still significant risks in this area as it is unclear how these court decisions will impact the FDA’s enforcement practices, and there is likely to be substantial disagreement and difference of opinion regarding whether any particular statement is truthful and not misleading. Moreover, while we intend to promote our products consistent with what we believe to be the approved indication for our drugs, the FDA may disagree.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and test RI-002 and our other products, and such parties are, to some extent, outside of our control.</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depend on independent investigators and collaborators, such as universities and medical institutions, contract laboratories, clinical research organizations, contract manufacturers and consultants to conduct our preclinical, clinical trials, CMC testing and other activities under agreements with us.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Historically a single customer has accounted for a significant amount of our total revenue and, collectively with two other customers, represented 87% of our total revenue for the year ended December 31, 2018, and therefore the loss of any of these customers could have a material adverse effect on our business, results of operations and financial condition.</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Historically, a significant amount of our total revenue is attributable to a single customer, BPC. For the year ended December 31, 2018, BPC, McKesson Corporation and AmerisourceBergen represented 56%, 16% and 15%, respectively, of our total revenue.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0" w:name="page31"/>
    <w:bookmarkEnd w:id="3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potentially have a material adverse effect on our business, results of operations and financial condition. The initial term of our Amended and Restated Plasma Supply Agreement with BPC, pursuant to which we supplied BPC with normal source plasma, expired by its terms on December 31, 2018 and was not renewed. Factors that could influence our relationships with our customers include, among other things:</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Additionally, an adverse change in the financial condition of BPC, McKesson Corporation or AmerisourceBergen could have a material adverse effect on our business and results of operations.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Even if the FDA approves a product made by ADMA Biologics, physicians, payers and patients may not accept and use it. Acceptance and use of our products will depend on a number of factors including:</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failure of our current and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Industry and other market data used in our periodic reports filed with the SEC and our other materials, including those undertaken by us or our engaged consultants, may not prove to be representative of current and future market conditions or future results.</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periodic reports filed with the SEC and our other materials include statistical and other industry and market data that we obtained from industry publications and research, surveys and studies conducted by third parties and surveys and studies we commissioned regarding the market potential for our current products as well as RI-002. Although we believe that such information has been obtained from sources believed to be reliable, neither the sources of such data, nor we, can guarantee the accuracy or completeness of such information. While we believe these industry publications and third-party research, surveys and studies are reliable, we have not independently verified such data. With respect to the information from third-party consultants, the results of this data represent the independent consultants’ own methodologies, assumptions, research, analysis, projections, estimates, composition of respondent pool, presentation of data and adjustments, each of which may ultimately prove to be incorrect, and cause actual results and market viability to differ materially from those presented in any such report or other materials. Readers should not place undue reliance on this information.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long-term success may depend on our ability to supplement our existing product portfolio through new product development or the in-license or acquisition of other new products and product candidates, and if our business development efforts are not successful, our ability to achieve profitability may be adversely impacted.</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current product development portfolio consists primarily of RI-002 and label expansion activities for Nabi-HB and BIVIGAM.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development and commercialization of, RI-002, as well as the revenue we may generate from the sale of Nabi-HB, BIVIGAM, contract manufacturing, and intermediates and plasma attributable to the operations of ADMA Bio Centers, to support our operations.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ADMA Bio 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Consumer privacy is highly protected by federal and state law. The Health Insurance Portability and Accountability Act of 1996 (“HIPAA”), as amended by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 care providers engaging in standard transactions (insurance/health plan claims and encounters, payment and remittance advice, claims status, eligibility, enrollment/disenrollment, referrals and authorizations, coordination of benefits and premium payments), and health 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Department of Health and Human Services Office of Civil Rights (“OCR”) has increased its focus on compliance and continues to train state attorneys general for enforcement purposes. OCR has recently increased both its efforts to audit HIPAA compliance and its level of enforcement, with one recent penalty exceeding $5 million.</w:t>
      </w:r>
    </w:p>
    <w:p>
      <w:pPr>
        <w:spacing w:after="0" w:line="175"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 We could be subject to enforcement action and litigation exposure if we fail to adhere to these data privacy and security laws.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strategic and financial benefits currently anticipated from the Biotest Transaction.</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may not realize all of the strategic and financial benefits currently anticipated from the Biotest Transaction. For example, we may not realize the anticipated benefits of acquiring control of all aspects of RI-002 drug manufacturing, regulatory affairs and business operations. In addition, we may not be able to resolve the outstanding issues at the Boca Facility that resulted in the Warning Letter. As part of the remediation of the Warning Letter, in December 2016 BTBU temporarily suspended the production of BIVIGAM in order to focus on the completion of planned improvements to the manufacturing process. As a result, BIVIGAM was not available for sale or distribution throughout fiscal 2017. If we are unable to address the underlying concerns at the Boca Facility that resulted in the Warning Letter and the CRL in July 2016 that identified deficiencies and inspection issues related to certain of our third-party contract manufacturers, including BPC, and provide requested documentation of corrections for a number of these issues, we will not be able to apply for the PAS related to the manufacturing of BIVIGAM or reapply for FDA approval to market and sell RI-002, which could have a material adverse effect on us. Failure to resolve any outstanding issues or any administrative actions taken or changes made by the FDA toward our contract manufacturers, vendors or us could impact our ability to receive approval for RI-002, including the timing thereof, disrupt our business operations and the timing of our commercialization efforts and may have a material adverse effect on our financial condition and operating results. In April 2018, the FDA inspected the Boca Facility and in July 2018 our FDA status resulted improved from OAI to VAI and this inspection of the Boca Facility has been successfully closed-out as indicated on the FDA’s website inspection database. Upon our receiving FDA compliance status, we responded to the RI-002 CRL through resubmitting the RI-002 BLA on September 28, 2018 and the FDA assigned a Prescription User Fee Act (“PDUFA”) action due date of April 2, 2019. Upon approval of the RI-002 BLA by the FDA, we intend to commercialize RI-002. We cannot provide any assurances or predict with certainty the schedule for when we will, if at all, receive approval from the FDA for the RI-002 BLA.</w:t>
      </w:r>
    </w:p>
    <w:p>
      <w:pPr>
        <w:spacing w:after="0" w:line="18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Through the Biotest Transaction, we assumed a contract manufacturing agreement related to the fractionation of plasma provided by one of our third-party customers that includes certain minimum production requirements. If we are unable to meet our contractual obligations under this agreement, we may be liable for the payment of liquidated damages. If we are unable to resolve these issues, such failure could have a material adverse effect on us.</w:t>
      </w:r>
    </w:p>
    <w:p>
      <w:pPr>
        <w:spacing w:after="0" w:line="147"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There is also uncertainty as to whether the combined business will be able to operate at a profitable level in the future given the relatively small size of the Biotest Assets and the competitive environment in which we operate. Furthermore, there is no assurance and no definitive timeline as to when or if the Warning Letter will be resolved by the FDA, or when the FDA will inspect our operations. These factors could have a material adverse effect on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integrating the Biotest Assets into our business.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Biotest Transaction involves the integration of two businesses that previously have operated independently with principal offices in two distinct locations. We are expending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3" w:name="page34"/>
    <w:bookmarkEnd w:id="33"/>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By completing the Biotest Transaction, we were required to transfer assets that have historically generated substantially all of our revenue.</w:t>
      </w:r>
    </w:p>
    <w:p>
      <w:pPr>
        <w:spacing w:after="0" w:line="23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As part of the consideration paid to acquire the Biotest Assets, we were required to transfer to BPC ownership of two of our licensed plasma collection facilities in the U.S. and certain related assets and liabilities. These plasma collection facilities, which were transferred on January 1, 2019, have historically been the source of substantially all of our revenue. Although we have completed construction of, and received FDA approval for our plasma collection facility in Kennesaw, GA, there can be no assurances that we will generate similar revenues as historically reported from the plasma collection facilities we transferred to BPC on January 1, 2019.</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part of the consideration for the Biotest Transaction, we agreed to assume certain liabilities of BPC related to BTBU. Because we agreed to assume liabilities related to the Biotest Assets, we are exposed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Purchase Agreement contains indemnification undertakings by the parties thereto for certain losses, including, among other things, indemnification for any losses arising from breaches of its representations, warranties, covenants and agreements in the Purchase Agreement. In connection with the Biotest Transfer Agreement, we granted a full release to Biotest from any and all past, present or future indemnification claims arising under or in connection with the Purchase Agreement. Significant indemnification claims by BPC or its affiliates or breaches by BPC or its affiliates of any indemnity obligations which would have been owed to us under the Purchase Agreement prior to the release granted in the Biotest Transfer Agreement could have a material adverse effect on our business, financial condition, results of operations and stock price.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4" w:name="page35"/>
    <w:bookmarkEnd w:id="3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addition, while the Purchase Agreement contains certain non-compete clauses, such clauses do not prohibit either the Biotest Guarantors (as defined therein)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was inadequate, then it could result in a material adverse effect on our business.</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are or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Master Purchase Agreement.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18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Our Credit Agreement and Guaranty (the “Credit Agreement”) with our secured lender, Perceptive Credit Holdings II, LP (“Perceptive”) is subject to acceleration in specified circumstances, which may result in Perceptive taking possession and disposing of any collateral.</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February 11, 2019, we entered into the Credit Agreement with Perceptive which provides for a senior secured term loan facility in an aggregate amount of up to $72.5 million (collectively, the “Credit Facility”), comprised of (i) a term loan in the principal amount of $45.0 million (the “Initial Term Loan”), (ii) an additional term loan to be made in the maximum principal amount not to exceed $27.5 million, but no less than $10.0 million (the “Additional Term Loan” and, together with the Initial Term Loan, the “Loans”), which Additional Term Loan availability is subject to the satisfaction of certain conditions. The Loans each have a maturity date of March 1, 2022, subject to acceleration pursuant to the Credit Agreement, including upon an Event of Default (as defined in the Credit Agreement). The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Loans of 4% per annum, the occurrence of an Event of Default could result in, among other things, the termination of commitments under the Credit Facility, the declaration that all outstanding Loans are immediately due and payable in whole or in part, and Perceptive taking immediate possession of, and selling, any collateral securing the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RI-002 (if we obtain regulatory approval)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we move forward in clinical development we are also uncovering novel aspects of our product and are drafting patents to cover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inventions. We rely on a combination of patent rights, trade secrets and nondisclosure and non-competition agreements to protect our proprietary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and we will continue to do so. There can be no assurance that our patent, trade secret policies and practices or other agreements will adequately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our intellectual property. Our issued patents may be challenged, found to be over-broad or otherwise invalidated in subsequent proceedings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courts or the USPTO. Even if enforceable, we cannot provide any assurances that they will provide significant protection from competition. The processes,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systems, and/or security measures we use to preserve the integrity and confidentiality of our data and trade secrets may be breached, and we may not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adequate remedies as a result of any such breaches. In addition, our trade secrets may otherwise become known or be independently discovered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competitors. There can be no assurance that the confidentiality, nondisclosure and non-competition agreements with employees, consultants and other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access to our proprietary information to protect our trade secrets, proprietary technology, processes and other proprietary rights, or any other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measures relating to such trade secrets, proprietary technology, processes and proprietary rights, will be adequate, will not be breached, that we will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adequate remedies for any breach, that others will not independently develop substantially equivalent proprietary information or that third parties will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gain access to our trade secrets or proprietary knowledge. To the extent that our consultants, contractors or collaborators use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owned by others in their work for us, disputes may arise as to the rights in related or resulting know-how and inventions.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640" w:firstLine="648"/>
        <w:spacing w:after="0" w:line="312"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Patent rights covering RI-002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and no assurance can be given that we will</w:t>
      </w:r>
    </w:p>
    <w:p>
      <w:pPr>
        <w:ind w:right="60"/>
        <w:spacing w:after="0" w:line="261" w:lineRule="auto"/>
        <w:rPr>
          <w:sz w:val="20"/>
          <w:szCs w:val="20"/>
          <w:color w:val="auto"/>
        </w:rPr>
      </w:pPr>
      <w:r>
        <w:rPr>
          <w:rFonts w:ascii="Arial" w:cs="Arial" w:eastAsia="Arial" w:hAnsi="Arial"/>
          <w:sz w:val="18"/>
          <w:szCs w:val="18"/>
          <w:color w:val="auto"/>
        </w:rPr>
        <w:t>prevail. There is no assurance that RI-002, or any other of our products for which we are issued a patent, will enjoy market exclusivity for the full time period of the respective patent.</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may not be able to operate our business without infringing third-party patents. Numerous U.S. and foreign patents and pending patent applications owned by third parties exist in fields that relate to the development and commercialization of immune globulins.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ectPr>
          <w:pgSz w:w="11900" w:h="16838" w:orient="portrait"/>
          <w:cols w:equalWidth="0" w:num="1">
            <w:col w:w="11420"/>
          </w:cols>
          <w:pgMar w:left="240" w:top="229"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6" w:name="page37"/>
    <w:bookmarkEnd w:id="36"/>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If we are unable to manage our growth effectively, our business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8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7" w:name="page38"/>
    <w:bookmarkEnd w:id="3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additional qualified personnel, our ability to grow our business may be harmed.</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will need to hire additional qualified personnel with expertise in commercialization, sales, marketing, medical affairs, reimbursement, government regulation, formulation and manufacturing and finance and accounting. In particular, over the next 12-24 months, we expect to hire several new employees devoted to commercialization, sales, marketing, medical and scientific affairs, regulatory affairs, quality control, financial,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Attracting and retaining qualified personnel will be critical to our success and any failure to do so successfully may have a material adverse effect on us.</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currently collect human blood plasma at our ADMA Bio Centers facility, and if we cannot maintain FDA approval for this facility or obtain FDA approval for additional facilities which we create or acquire rights to, we may be adversely affected and may not be able to sell or use this human blood plasma for future commercial purposes.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intend to maintain FDA approval of our ADMA Bio Centers collection facility in Kennesaw, GA for the collection of human blood plasma and we may seek other governmental and regulatory approvals for this facility. We also plan to grow through the creation and licensing of additional ADMA Bio Centers facilities in various regions of the U.S. Collection facilities are subject to FDA and potentially other governmental and regulatory inspections and extensive regulation, including compliance with current cGMP, FDA and other government approvals, as applicable. Failure to comply with applicable governmental regulations or to receive applicable approvals for our future facilities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8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currently operate under the Warning Letter due to issues identified by the FDA in their prior inspections while the Boca Facility was under Biotest’s operational control. We engaged a leading consulting firm with extensive experience in remediating compliance and inspection issues related to quality management systems and which manages a robust team of subject matter experts in plasma derived products and biologic drugs to assist us in addressing all identified CMC and cGMP issues and deficiencies. We continue to work with the FDA to resolve the Warning Letter classification. Although we have improved our compliance status at the Boca Facility, there are no assurances we will be able to maintain compliance with all FDA or other regulations. Our third 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commercialize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liabilities and may be required to limit commercialization of our products in response to product liability lawsuits.</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either alone or with collaborators.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2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laws governing our conduct in the U.S. are enforceable on the federal and state levels by criminal, civil and administrative penalties. Violations of laws such as the Federal Food, Drug, and Cosmetic Act, the Social Security Act (including the Anti-Kickback Law), the Public Health Service Act and the Federal False Claims Act, and any regulations promulgated under the authority of the preceding, may result in jail sentences, fines or exclusion from federal and state programs, as may be determined by Medicare, Medicaid and the Department of Health and Human Services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For example, under the Anti-Kickback Law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 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issued a proposed rule in February 2019, which aims to eliminate certain Anti-Kickback Statute safe harbor protection for drug rebates.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subject to this “Sunshine Act” and its implementing regulations to U.S. –licensed physicians and teaching hospitals, must be tracked and reported, and will be publicly disclosed. Such “applicable manufacturers” are also required to report certain ownership interests held by physicians and their immediate family members. In 2018 the Sunshine Act was extended to require tracking and reporting of payments and transfers of value to physician assistants, nurse practitioners, and other mid-level practitioners (with reporting requirements going into effect in 2022 for payments and transfers of value made in 2021).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Law that applies to Medicare and Medicaid, and other health 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9" w:name="page40"/>
    <w:bookmarkEnd w:id="39"/>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Law and various other laws, rules and regulations.</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 care laws, and mitigate potential liability in the event of noncompliance, regulatory authorities such as the U.S. Health and Human Services Department Office of Inspector General (the “OIG”)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In the future, we may need to adopt healthcare compliance and ethics programs that would incorporate the OIG's recommendations, and train our applicable employees in such compliance. Such a program may be expensive and may not assure that we will avoid compliance issues.</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5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Both before and after the approval of our products, our products, our operations, our facilities, our suppliers and our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167"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The regulatory review and approval process of governmental authorities is lengthy, expensive and uncertain. For example, in December 2016, BPC, the owner of BIVIGAM prior to the Biotest Transaction in June 2017, temporarily suspended the commercial production of BIVIGAM in order to focus on the completion of planned improvements to the manufacturing process. We resumed production of BIVIGAM utilizing our optimized IVIG manufacturing process with two conformance lots in the fourth quarter of 2017 and a third conformance lot in the first quarter of 2018. During the first half of 2018, we qualified and filled the BIVIGAM conformance batches and the product is on stability. During the second half of 2018, we filed a drug substance PAS with the FDA for BIVIGAM to include the ADMA optimization improvements for BIVIGAM and to seek FDA authorization which would enable us to resume commercial scale manufacturing and relaunch and commercialize this product. On December 19, 2018, we received the BIVIGAM CRL for our PAS submission for BIVIGAM drug substance. The BIVIGAM CRL requested certain additional information and clarifications relating to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We believe that all requests contained in the recently received FDA information request were addressable and we have responded to the FDA. To date, we have not received a formal BIVIGAM CRL resubmission acknowledgment and we have not received formal clarity on the FDA’s intended review timing. We can confirm that the FDA is actively reviewing our BIVIGAM CRL resubmission and information request responses, however we cannot provide any assurance or predict with certainty the schedule for when we will, if at all, receive authorization from the FDA with respect to our PAS for BIVIGAM.</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including our drug substance PAS for BIVIGAM, which could have a material adverse effect on our business. Further, future government shutdowns could impact our ability to access the public markets and obtain necessary capital in order to properly capitalize and continue our operations.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1" w:name="page42"/>
    <w:bookmarkEnd w:id="41"/>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1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manufacturing processes against transmittable diseases.</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human immunodeficiency virus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 Centers plasma collection centers. This strategy is dependent upon our ability to maintain a cGMP compliant environment in both plasma centers and to expand production and attract donors to both centers. There is no assurance that the FDA will inspect and license our unlicensed plasma collection centers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centers to more efficient production levels may be affected by changes in the economic environment and population in selected regions where ADMA Bio Centers operates its current or future plasma centers, by the entry of competitive plasma centers into regions where ADMA Bio Centers operates such centers, by misjudging the demographic potential of individual regions where ADMA Bio Centers expects to expand production and attract new donors, by unexpected facility related challenges, or by unexpected management challenges at selected plasma centers.</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 As the FDA BLA review process is ongoing, we are subject to information requests and communications from the FDA on a routine basis and may not have clarity on any or all specific aspects of the approval timing, language, name, claims and any other future requirements that may be imposed by the FDA or other governmental agencies for marketing, authorization and ultimately financial reimbursement for patient utilization.</w:t>
      </w:r>
    </w:p>
    <w:p>
      <w:pPr>
        <w:spacing w:after="0" w:line="16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the healthcare reform may make it easier for competitors to market biosimilar products.</w:t>
      </w:r>
    </w:p>
    <w:p>
      <w:pPr>
        <w:spacing w:after="0" w:line="23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approved three biosimilar products in 2016. As a result of the biosimilar pathway in the U.S., we expect in the future to face greater competition from biosimilar products, including a possible increase in patent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the U.S. Department of Health and Human Services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4" w:name="page45"/>
    <w:bookmarkEnd w:id="4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the U.S. Department of Health and Human Services,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There have been repeated attempts by Congress to repeal or change the Healthcare Reform Law. Further, on January 20, 2017, the new administration signed an Executive Order directing federal agencies with authorities and responsibilities under the ACA to waive, defer, grant exemptions from, or delay the implementation of any provision of the Healthcare Reform Law that would impose a fiscal or regulatory burden on states, individuals, healthcare providers, health insurers, or manufacturers of pharmaceuticals or medical devices. More recently, the United States District Court for the Northern District of Texas struck down the Healthcare Reform Law, deeming it unconstitutional given that Congress repealed the individual mandate in 2017. This decision has been stayed pending outcome of an appeal to the Fifth Circuit Court of Appeals. Although there is no immediate impact on the ACA, we will continue to evaluate the effect that the Healthcare Reform Law and its possible repeal and replacement, or potential total revocation by the Supreme Court of the United States, has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worldwide economy may adversely impact our business.</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difficult economic environment may adversely affect demand for our products. RI-002, our current product candidate, is expected to be sold to hospitals, specialty pharmacies and clinicians in the U.S. As a result of loss of jobs, patients may lose medical insurance and be unable to purchase our products or may be unable to pay their share of deductibles or co-payments. Hospitals adversely affected by the economy may steer patients to less costly therapies, resulting in a reduction in demand, or demand may shift to public health hospitals, which may purchase at a lower government price.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operations have consumed substantial amounts of cash since inception. For the years ended December 31, 2018 and 2017, we had negative cash flows from operations of approximately $62.7 million and $37.3 million, respectively. We expect to continue to spend substantial amounts on product development, including commercialization activities, procuring raw material plasma, manufacturing, conducting potential future clinical trials for our product candidates and purchasing clinical trial materials from our suppliers, conducting commercial launch activities and potential post marketing studies. We currently anticipate, based upon our projected revenue and expenditures, as well as the additional $27.5 million we expect to be able to draw down under the Credit Agreement, that our current cash, cash equivalents and accounts receivable will be sufficient to fund our operations, as currently conducted, into the fourth quarter of 2019. In order to have sufficient cash to fund our operations thereafter and to continue as a going concern, we will need to raise additional equity or debt financing by the fourth quarter of 2019. However, if we do not receive FDA approval of either the BIVIGAM PAS or the RI-002 BLA, we believe that our cash balance will be sufficient to fund our operations, as currently conducted, into the third quarter of 2019, and we will be required to raise additional capital by the third quarter of 2019. This time frame may change based upon how quickly we are able to execute on our operational initiatives and the various financing options we are exploring</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we will have to delay, curtail or eliminate our product development activities, including conducting clinical trials for our product candidates and purchasing clinical trial materials from our suppliers, as well as future commercialization efforts.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5" w:name="page46"/>
    <w:bookmarkEnd w:id="45"/>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cash, cash equivalents and short-term investments could be adversely affected if the financial institutions in which we hold our cash, cash equivalents and short-term investments fail.</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3"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incurred substantial losses during our history. As of December 31, 2018, we had federal and state NOLs of $108.5 million and $72.3 million, respectively. These NOLs will begin to expire at various dates beginning in 2027, if not limited by triggering events prior to such time. Under the provisions of the Internal Revenue Code, changes in our ownership, in certain circumstances, will limit the amount of federal NOLs that can be utilized annually in the future to offset taxable income. In particular, Section 382 of the Internal Revenue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6" w:name="page47"/>
    <w:bookmarkEnd w:id="46"/>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Tax Cuts and Jobs Act (the “TCJA”) could adversely affect our business and financial condition.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December 22, 2017, President Trump signed into law the TCJA, which significantly reforms the Internal Revenue Code.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generated after December 31, 2017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4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in FDA approval for RI-002;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RI-002;</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resume the manufacturing of BIVIGAM once the deficiencies identified in the CRL have been resolved by us to the satisfaction of the FDA;</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7" w:name="page48"/>
    <w:bookmarkEnd w:id="4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extremely speculative and there can be no assurance of any return on any such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 investment in our Common Stock is extremely speculative and there is no assurance that investors will obtain any return on their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Investors will be subject to substantial risks involved in an investment in us, including the risk of losing their entire investment.</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market price of our Common Stock.</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of December 31, 2018, most of our 46,353,068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(“Rule 144”) under the Securities Act of 1933, as amended (the “Securities Act”), or under effective registration statements. Pursuant to the Stockholders’ Agreement, until December 6, 2020, subject to certain limited exceptions, sales of the 10,109,534 shares of Common Stock held by the Biotest Trust (as successor-in-interest to BPC) may not exceed 15% of the issued and outstanding Common Stock of ADMA in any twelve-month period; provided, however, that if our market capitalization increases to double our market capitalization immediately following the closing of the Biotest Transaction, then the Biotest Trust may sell up to 20% of our issued and outstanding Common Stock in any twelve-month period; provided, further, that (x) if our market capitalization increases to triple our market capitalization immediately following the closing of the Biotest Transaction, or (y) upon the one-year anniversary of the Biotest Trust holding less than a 25% economic interest in us, which occurred on May 14, 2018 following the transfer of the NV Biotest Shares to us, then the Biotest Trust may sell any amount of its equity interests in us at any time (subject to applicable securities laws). Sales of a substantial number of shares of our Common Stock, or the perception that such sales may occur, may adversely impact the market price of our Common Stock.</w:t>
      </w:r>
    </w:p>
    <w:p>
      <w:pPr>
        <w:spacing w:after="0" w:line="18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December 31, 2018, the Biotest Trust, our directors and executive officers and their affiliates beneficially owned approximately 36% of the outstanding shares of our Common Stock. Additionally, on November 14, 2018, the standstill provisions contained in the Stockholders Agreement, which prohibited the Biotest Trust from, among other things, acquiring more than (i) 50%, less one share, of our issued and outstanding shares of capital stock on an as-converted basis, or (ii) 30% of the issued and outstanding shares of Common Stock, terminated and are of no further force and effect. Such event could result in the Biotest Trust acquiring additional shares of our Common Stock or taking other actions with the goal of acquiring additional shares of our Common Stock.</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8" w:name="page49"/>
    <w:bookmarkEnd w:id="48"/>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to institute a stockholder rights plan, also known as a poison pill, that would work to dilute our stock,</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As a result, capital appreciation, if any, of our Common Stock will be your sole source of gain for the foreseeable future.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Capital Market (“Nasdaq”), we may be subject to delisting. As a result, our stock price may decline and our Common Stock may be delisted. If our stock were no longer listed on Nasdaq, the liquidity of our securities likely would be impaired.</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Common Stock currently trades on Nasdaq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of and trading activity of our Common Stock. Although we currently satisfy the listing criteria for Nasdaq, if our stock price declines dramatically, we could be at risk of failing to meet the Nasdaq continued listing criteria.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incur increased costs now that we are no longer an “emerging growth company.”</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Effective January 1, 2019, we ceased to be an “emerging growth company” as defined by the Jumpstart Our Business Startups Act (the “JOBS Act”). The JOBS Act contains provisions that, among other things, reduce certain reporting requirements for qualifying public companies. As an “emerging growth company,” we took advantage of certain benefits afforded to “emerging growth companies” under Section 7(a)(2)(B) of the Securities Act, which included delaying the adoption of new or revised accounting standards applicable to public companies until such standards would otherwise apply to private companies. As an emerging growth company, we were also exempt from the requirement to have our independent registered public accounting firm provide an attestation report on our internal control over financial reporting pursuant to Section 404 of the Sarbanes-Oxley Act (“Section 404”).</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Consequently, we have, and will continue to, incur increased costs related to our compliance with Section 404 of the Sarbanes-Oxley Act (“Section 404”). For example, in 2018, our Audit Committee retained the services of AC Lordi, a Sarbanes-Oxley advisor, to assist with our internal controls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75,000,000 shares of Common Stock, of which 23,776,541 shares remain available for issuance and may be issued by us without stockholder approval, and up to 8,591,160 shares of non-voting common stock, all of which were reacquired by us in May 2018 pursuant to the Biotest Transfer Agreement and were subsequently retired and are no longer available for issuance.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headquarters are located in approximately 4,200 square feet of space at 465 State Route 17, Ramsey, NJ. Our telephone number is (201) 478-5552. Currently we operate under a shared services agreement with Areth, LLC (“Areth”) for the office, warehouse space and certain related services. The agreement currently expires on September 30, 2019. Areth is a company controlled by Dr. Jerrold B. Grossman, our Vice Chairman, and Adam S. Grossman, our President and Chief Executive Officer, and we pay Areth monthly fees for the use of such office space and for other information technology, general warehousing and administrative services. Rent under the shared services agreement is $10,000 per month.</w:t>
      </w:r>
    </w:p>
    <w:p>
      <w:pPr>
        <w:spacing w:after="0" w:line="17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ADMA Bio Centers’ plasma collection facility is located in Kennesaw, GA. This facility has approximately 12,000 square feet of space, and total rent for this facility is currently approximately $20,000 per month. The Kennesaw, GA lease expires April 1, 2026. ADMA Bio Centers also leases approximately 2,500 square feet of office space in Roswell, GA. Monthly rent for this space is approximately $3,000, and the lease expires December 31, 2023.</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0" w:name="page51"/>
    <w:bookmarkEnd w:id="5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As part of the Biotest Transaction, we acquired the Boca Facility, which consists of two buildings aggregating more than 120,000 square feet residing on approximately 14.6 acres of land in Boca Raton, FL. All of our plasma fractionation and drug product manufacturing are conducted at the Boca Facility, which also contains administrative office space for our ADMA BioManufacturing subsidiary and for certain of our centralized corporate functions.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our leased and owned properties are adequate to meet our current and future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are and may become subject to certain legal proceedings and claims arising in connection with the normal course of our business. In the opinion of management, there are currently no claims that would have a material adverse effect on our consolidated financial position, results of operations or cash flows.</w:t>
      </w:r>
    </w:p>
    <w:p>
      <w:pPr>
        <w:spacing w:after="0" w:line="177"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4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has been listed on the Nasdaq Capital Market (“Nasdaq”) under the symbol "ADMA" since November 10,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As of December 31, 2018, there were eight record holders of our Common Stock, based upon information received from our transfer agent. However, this number does not include beneficial owners whose shares were held of record by nominees or broker dealers. As of February 1, 2019, we estimate that there are more than 2,000 beneficial owners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never paid any cash dividends on our capital stock. We anticipate that we will retain earnings, if any, to support operations and to finance the growth and development of our business. In addition, the terms of our Credit Agreement with Perceptive precludes us from paying cash dividends without their consent. Therefore, we do not expect to pay cash dividends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year ended December 31, 2018, we had no sales of unregistered securities that have not been previously disclosed in a Current Report on Form 8-K or Quarterly Reports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securities during the three months ended December 31, 2018.</w:t>
      </w:r>
    </w:p>
    <w:p>
      <w:pPr>
        <w:spacing w:after="0" w:line="221"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Item 6. Selected Financial Data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consolidated financial statements and notes thereto included elsewhere in this Annual Report on Form 10-K. The various sections of this discussion contain a number of forward-looking statements, all of which are based on our current expectations and could be materially affected by the uncertainties and risk factors described throughout this Annual Report. See “Special Note Regarding Forward-Looking Statements.” Our actual results may differ materially.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ADMA Biologics, Inc. (the “Company”, “ADMA”, “we”, “us” or “our”) is a vertically integrated commercial biopharmaceutical and specialty immunoglobulin company that manufactures, markets and develops specialty plasma-derived biologics for the treatment of immune deficiencies and the prevention and treatment of certain infectious diseases. Our targeted patient populations include immune-compromised individuals who suffer from an underlying immune deficiency disorder or who may be immune-suppressed for medical reasons.</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currently have two products with United States Food and Drug Administration (the “FDA”) Biologics License Application (“BLA”) approvals: Nabi-HB, which is currently marketed and commercially available and is indicated for the treatment of acute exposure to blood containing Hepatitis B surface antigen (“HBsAg”); and BIVIGAM, for which commercial distribution has been temporarily suspended since December 2016 and for which we have submitted a Prior Approval Supplement (“PAS”) to the FDA to amend the approved BLA to allow for the commercial re-launch of the product, which is indicated for the treatment of primary humoral immunodeficiency. We are also developing a pipeline of plasma-derived therapeutics, including our lead pipeline product candidate, RI-002, for the treatment of Primary Immune Deficiency Disease (“PIDD”), for which we previously submitted a Biologics License Application (“BLA”) to the United States Food and Drug Administration (the “FDA”) which has now been assigned a Prescription Drug User Fee Act (“PDUFA”) action date of April 2, 2019. We cannot provide any assurances or predict with any certainty the schedule for which we will, if at all, receive approval from the FDA with respect to RI-002. Our products and product candidates are intended to be used by physician specialists focused on caring for immune-compromised patients with or at risk for certain infectious diseases.</w:t>
      </w:r>
    </w:p>
    <w:p>
      <w:pPr>
        <w:spacing w:after="0" w:line="17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During fiscal 2018, through our wholly-owned subsidiary, ADMA Bio Centers Georgia, Inc. (“ADMA Bio Centers”), we operated three FDA-licensed source plasma collection facilities located in the U.S., two of which were transferred to Biotest Pharmaceuticals Corporation (“BPC”) on January 1, 2019, pursuant to the acquisition transaction described below. Our remaining source plasma collection facility located in Kennesaw, GA provides us with a portion of our blood plasma for the manufacture of our products and product candidates. We intend to open additional plasma collection centers in the U.S. during the next few years.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is sold to third-party customers in the U.S., in other locations where we are approved globally under supply agreements or in the open "spot" market.</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BPC (and, together with Biotest AG, “Biotest”), which include two FDA-licensed products, Nabi-HB (Hepatitis B Immune Globulin, Human) and BIVIGAM (Immune Globulin Intravenous, Human), and a plasma fractionation facility located in Boca Raton, FL (the “Boca Facility”) (the “Biotest Transaction”). The Boca Facility is FDA-licensed and certified by the German Health Authority. In addition to the manufacture and sale of Nabi-HB and the manufacture of BIVIGAM and RI-002, we also provide contract manufacturing services for certain historical clients, including the potential sale of intermediate by-products. Immediately following the acquisition, the Biotest Assets were contributed into our subsidiary, ADMA BioManufacturing, LLC (“ADMA BioManufacturing”).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Concurrent with the closing of the Biotest Transaction, Biotest provided us with an aggregate of $40.0 million of funding. Upon the closing of the Biotest Transaction, we received $27.5 million in cash from Biotest, consisting of $12.5 million in cash and $15.0 million from a subordinated note at 6% interest payable to Biotest with a maturity of five years. Biotest also participated in our November 2017 follow-on equity offering by investing $12.5 million of the $42.0 million of total gross proceeds from the offering. At the closing of the Biotest Transaction, we delivered to BPC an aggregate equity interest equal to 50%, less one share, of our then-issued and outstanding capital stock comprised of 25%, or 4,295,580 shares, of our then-issued and outstanding voting common stock, $0.0001 par value per share (“Common Stock”), and 8,591,160 shares in the form of our non-voting common stock, $0.0001 par value per share (the “NV Biotest Shares”) (calculated as of immediately following the closing and on a post-closing issuance basis). The NV Biotest Shares were convertible into our Common Stock upon the occurrence of certain specified events.</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May 14, 2018, we entered into a Share Transfer, Amendment and Release Agreement with BPC, Biotest AG, Biotest US Corporation and The Biotest Divestiture Trust (the “Biotest Trust”) (the “Biotest Transfer Agreement”) whereby BPC transferred to us, for no cash consideration, the NV Biotest Shares. Immediately upon transfer of the NV Biotest Shares to us, the NV Biotest Shares were retired and are no longer available for issuance. The retired NV Biotest Shares comprised approximately 67% of the total common stock consideration provided to Biotest and approximately 19% of the total outstanding common stock of the Company as of May 14, 2018. In exchange for the transfer and retirement of the NV Biotest Shares, we (i) granted Biotest and its successors and assigns a release from all potential past, present and future indemnity claims arising under the Master Purchase and Sale Agreement, dated as of January 21, 2017 (the “Master Purchase Agreement”), which governs the Biotest Transaction, and (ii) relinquished our rights to, under certain circumstances, repurchase the two FDA-approved plasma collection centers which were transferred to BPC on January 1, 2019. In addition, pursuant to the Biotest Transfer Agreement, BPC waived and terminated its rights to name a director and an observer to our Board of Directors (the “Board”). As BPC has made public statements regarding the U.S. Government required divestiture of all of BPC’s U.S. assets in connection with the sale of Biotest AG to CREAT Group Corporation, pursuant to the Biotest Transfer Agreement BPC transferred its remaining 10,109,534 shares of our Common Stock to the Biotest Trust on July 24, 2018, and the Biotest Trust is bound by all obligations of and has all of the remaining rights of BPC under that certain Stockholders Agreement dated as of June 6, 2017, by and between us and BPC, as amended by the Biotest Transfer Agreement (the “Stockholders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to infants born to HBsAg-positive mothers, sexual exposure to HBsAg-positive persons and household exposure to persons with acute Hepatitis B virus infection.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under our leadership since the third quarter of 2017. Subsequent to the end of 2017, we received authorization from the FDA for the release of our first commercial batch of Nabi-HB for commercial distribution in the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BIVIGAM is an intravenous immune globulin indicated for the treatment of primary humoral immunodeficiency. This includes, but is not limited to, agammaglobulinemia, common variable immunodeficiency, Wiskott-Aldrich syndrome and severe combined immunodeficiency. These primary immunodeficiencies (“PIs”) are a group of genetic disorders. Initially thought to be very rare, it is now believed that as many as one in every 1,200-2,000 people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Immunoglobulin (“IgG”) antibodies. Antibodies are proteins in the human immune system that work to defend against disease.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FDA approval for BIVIGAM was received on December 19, 2012, and sales commenced in the first quarter of 2013. In December 2016, BPC temporarily suspended the commercial production of BIVIGAM in order to focus on the completion of planned improvements to the manufacturing process. We resumed production of BIVIGAM utilizing our optimized intravenous immunoglobulin (“IVIG”) manufacturing process with two conformance lots in the fourth quarter of 2017, a third conformance lot in the first quarter of 2018 and additional production lots in the fourth quarter of 2018. During the first half of 2018, we qualified and filled the BIVIGAM conformance batches and the product is on stability. During the second half of 2018, we filed a PAS with the FDA for BIVIGAM (the “PAS”) to include the ADMA optimization improvements for BIVIGAM and to seek FDA authorization which would enable us to resume commercial scale manufacturing and re-launch and commercialize this product. On December 19, 2018, we announced the receipt of a Complete Response Letter (“CRL”) (the “BIVIGAM CRL”) from the FDA for our PAS submission for BIVIGAM drug substance, and also announced the FDA approval of our PAS submission for BIVIGAM drug product. For clarity, drug substance is the bulk immune globulin we manufacture at the Boca Facility and drug product is the result of shipping the drug substance to our third party fill-finish provider who then fills the drug into vials and prepares the product for final release testing and potential commercial release. The BIVIGAM CRL requested certain additional information and clarifications relating to chemistry, manufacturing and control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We believe that all requests contained in the recently received FDA information request were addressable and we have responded to the FDA. To date, we have not received a formal BIVIGAM CRL resubmission acknowledgment and we have not received formal clarity on the FDA’s intended review timing. We can confirm that the FDA is actively reviewing our BIVIGAM CRL resubmission and information request responses, however we cannot provide any assurance or predict with certainty the schedule for when we will, if at all, receive authorization from the FDA with respect to the PAS.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Pipeline Product Candidate – RI-002</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currently developing our lead pipeline product candidate, RI-002, for the treatment of PIDD and have completed a pivotal Phase III clinical trial, which met the primary endpoint of no Serious Bacterial Infections reported. Secondary efficacy endpoints further demonstrated the benefits of RI-002 in the low incidence of infection, therapeutic antibiotic use, days missed from work/school/daycare, and unscheduled medical visits and hospitalizations. RI-002 is derived from human plasma blended from normal donors and from donors tested to have high levels of neutralizing titers to Respiratory Syncytial Virus (“RSV”). RI-002 is manufactured using a process known as fractionation, which purifies human IgG from this blended plasma pool resulting in a final IVIG product enriched with naturally occurring polyclonal anti-pathogen antibodies (such as streptococcus pneumonia, H. influenza type B, Cytomegalovirus, measles and tetanus). We use our proprietary RSV microneutralization assay to test for standardized levels of neutralizing antibodies to RSV in the final drug product.</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Prior to the closing of the Biotest Transaction, BTBU was our third-party manufacturer for RI-002. In the third quarter of 2015, the FDA accepted for review our BLA for RI-002 (the “RI-002 BLA”) for the treatment of PIDD. In July 2016, the FDA issued a Complete Response Letter (the “RI-002” CRL”). The RI-002 CRL reaffirmed the issues set forth in a November 2014 Warning Letter (the “Warning Letter”) that had been issued by the FDA to Biotest related to certain compliance issues identified at the Boca Facility, but did not cite any concerns with the clinical safety or efficacy data for RI-002 submitted in our RI-002 BLA, nor did the FDA request any additional clinical studies be completed prior to FDA approval of RI-002. The FDA identified in the RI-002 CRL, among other things, certain outstanding inspection issues and deficiencies related to CMC and Good Manufacturing Practices (“GMP”) at the Boca Facility and at certain of our third-party vendors, and requested documentation of corrections for a number of these issues. The FDA indicated in the RI-002 CRL that it cannot grant final approval of our RI-002 BLA until, among other things, these deficiencies are resolved. Upon the completion of the Biotest Transaction, we gained control over the regulatory, quality, general operations and drug substance manufacturing process at the Boca Facility. In the first quarter of 2018, we produced three conformance lots using the optimized IVIG manufacturing process, and these batches were filled and finished during the second quarter of 2018 and have been placed on stability. In April 2018, we completed an FDA inspection and as a result of the inspection, our Boca Facility’s regulatory compliance status improved from Official Action Indicated to Voluntary Action Indicated, allowing us to submit regulatory applications to the FDA for review. Following our BLA resubmission in September 2018, in October 2018, we received a PDUFA date of April 2, 2019 for FDA action on the RI-002 BLA.</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4" w:name="page55"/>
    <w:bookmarkEnd w:id="5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fair value of assets acquired and liabilities assumed in a business combination, realizable value of accounts receivable, valuation of inventory, assumptions used in the fair value of awards granted under our equity incentive plans and warrants issued in connection with the issuance of notes payable and the valuation allowance for our deferred tax assets.</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Revenues for the years ended December 31, 2018 and 2017 are comprised of (i) revenues from the sale of Nabi-HB, (ii) product revenues from the sale of human plasma collected from our Plasma Collection Centers business segment; and (iii) license and other revenues primarily attributable to the out-licensing of RI-002 to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recognized over the term of the Biotest license. Deferred revenue is amortized into income for a period of approximately 22 years, the term of the Biotest license agreement. In addition, revenues for the year ended December 31, 2017 also include revenues related to our contract manufacturing agreement with Sanofi Pasteur S.A. (“Sanofi”) (see Note 6 to the consolidated financial statements).</w:t>
      </w:r>
    </w:p>
    <w:p>
      <w:pPr>
        <w:spacing w:after="0" w:line="167"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Nabi-HB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we believe that such estimates are reasonable. For revenues associated with contract manufacturing, control transfers to the customer and the performance obligation is satisfied when the customer takes possession of the product from the Boca Facility.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5" w:name="page56"/>
    <w:bookmarkEnd w:id="55"/>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w:t>
      </w:r>
    </w:p>
    <w:p>
      <w:pPr>
        <w:spacing w:after="0" w:line="18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For the year ended December 31, 2018, sales to BPC represented 56% of our consolidated revenues, sales to McKesson Corporation represented 16% of our consolidated revenues and sales to AmerisourceBergen represented 15% of our consolidated revenues. For the year ended December 31, 2017, BPC represented 47% of our consolidated revenues, and the revenue attributable to the amendment of the contract manufacturing agreement with Sanofi represented 31% of our consolidated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 At December 31, 2018, BPC, AmerisourceBergen and Cardinal Health accounted for 59%, 23% and 12%, respectively, of our consolidated accounts receivable. At December 31, 2017, Sanofi, BPC, AmerisourceBergen and McKesson Corporation accounted for 48%, 30%, 9% and 9%, respectively, of our consolidated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in the Warning Letter for the years ended December 31, 2018 and 2017 of approximately $1.5 million and $3.8 million, respectively, are expensed as incurred and are reflected in cost of product revenue. In addition, for the years ended December 31, 2018 and 2017, all operating expenses associated with the Boca Facility, other than the limited Nabi-HB production and contract manufacturing production that was capitalized into inventory, have been expensed as incurred since the date of the Biotest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Stock-based compensation cost is measured at the grant date, based on the estimated fair value of the award, and is recognized as expense over the grantee’s requisite vesting period on a straight-line basis. For the purpose of valuing stock options granted to our employees, directors and officers, we use the Black-Scholes option pricing model. We granted options to purchase an aggregate of 1,167,044 and 1,976,295 shares of Common Stock during the years ended December 31, 2018 and 2017, respectively. To determine the risk-free interest rate, we utilized the U.S. Treasury yield curve in effect at the time of the grant with a term consistent with the expected term of our awards. The expected term of the options granted is in accordance with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In accordance with Accounting Standards Update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we have elected not to establish a forfeiture rate, as stock-based compensation expense related to forfeitures of unvested stock options is fully reversed at the time of forfeiture.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research and development (“R&amp;D”) costs consist of clinical research organization costs, costs related to clinical trials, assay development and testing, storage and transportation costs for high-titer plasma used in the manufacture of RI-002, as well as wages, benefits and stock-based compensation for employees directly related to R&amp;D activities. All R&amp;D costs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 ended December 31, 2018, we determined that there was no impairment of its long-lived assets. For the year ended December 31, 2017, we recorded an impairment charge in the amount of $0.8 million related to assets acquired in the Biotest Transaction.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its reporting unit is less than its carrying amount, including goodwill and other intangible assets. If we were to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year ending December 31, 2018 and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In July 2017, the Financial Accounting Standards Board (the “FASB”) issued Accounting Standards Update (“ASU”) No. 2017-11,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 (Topic 260), Distinguishing Liabilities from Equity (Topic 480), Derivatives and Hedging (Topic 815)</w:t>
      </w:r>
      <w:r>
        <w:rPr>
          <w:rFonts w:ascii="Arial" w:cs="Arial" w:eastAsia="Arial" w:hAnsi="Arial"/>
          <w:sz w:val="16"/>
          <w:szCs w:val="16"/>
          <w:color w:val="auto"/>
        </w:rPr>
        <w:t>” (“ASU 2017-11”). ASU 2017-11 changed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analysis of certain 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6"/>
          <w:szCs w:val="16"/>
          <w:i w:val="1"/>
          <w:iCs w:val="1"/>
          <w:color w:val="auto"/>
        </w:rPr>
        <w:t>Debt—Debt with Conversion and Other Options.</w:t>
      </w:r>
      <w:r>
        <w:rPr>
          <w:rFonts w:ascii="Arial" w:cs="Arial" w:eastAsia="Arial" w:hAnsi="Arial"/>
          <w:sz w:val="16"/>
          <w:szCs w:val="16"/>
          <w:color w:val="auto"/>
        </w:rPr>
        <w:t>” ASU 2017-11 became effective for us on January 1, 2019, and we do not believe this update will have a significant impact on our consolidated financial statements.</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Modification Accounting for Share-Based Payment Arrangements</w:t>
      </w:r>
      <w:r>
        <w:rPr>
          <w:rFonts w:ascii="Arial" w:cs="Arial" w:eastAsia="Arial" w:hAnsi="Arial"/>
          <w:sz w:val="17"/>
          <w:szCs w:val="17"/>
          <w:color w:val="auto"/>
        </w:rPr>
        <w:t>,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Adoption of this new guidance did not have a material impact on our consolidated financial statements.</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(“ASU 2016-02”),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We will adopt ASU 2016-02 on January 1, 2019 using the option to recognize the cumulative-effect adjustment, if any, as of the date of application, which will also be January 1, 2019. As a result, there will be no restatement of comparative periods. We expect to recognize right-to-use assets and corresponding lease liabilities of approximately $1.4 million at the date of adoption. We also expect to elect the “package of practical expedients”, which permits us to not reassess under the new standard our prior conclusions about lease identification, lease classification and initial direct costs. In addition, we expect to elect the short-term lease recognition exemption for all leases that qualify.</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7" w:name="page58"/>
    <w:bookmarkEnd w:id="5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May 2014, the FASB issued new guidance related to revenue recognition, ASU 2014-09, Revenue from Contracts with Customers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became effective in calendar year 2018.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2016, April 2016 and December 2016, the FASB issued ASU No. 2016-08, Revenue From Contracts with Customers (ASC 606): Principal Versus Agent Considerations, ASU No. 2016-10, Revenue From Contracts with Customers (ASC 606): Identifying Performance Obligations and Licensing, and ASU No. 2016-20, Technical Corrections and Improvements to Topic 606, Revenue From Contracts with Customers, respectively, which further clarify the implementation guidance on principal versus agent considerations contained in ASU No. 2014-09. In May 2016, the FASB issued ASU 2016-12, Revenue from Contracts with Customers, narrow-scope improvements and practical expedients which provides clarification on assessing the collectability criterion, presentation of sales taxes, measurement date for non-cash consideration and completed contracts at transition. These standards became effective for us beginning in the first quarter of 2018.</w:t>
      </w:r>
    </w:p>
    <w:p>
      <w:pPr>
        <w:spacing w:after="0" w:line="18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We adopted the new revenue recognition standard and related updates effective January 1, 2018, using the modified retrospective method of adoption. Adoption of the new revenue recognition guidance did not have a material impact on our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December 31, 2017</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results of operations for the year ended December 31, 2017 reflect the results of operations attributable to the Biotest Assets effective as of June 6, 2017. As a result, our operating results for the year ended December 31, 2018, which reflect a full year of operations of the Boca Facility, are generally not comparable to our operating results for the year ended December 31, 2017. The following table presents a summary of the changes in our results of operations for the year ended December 31, 2018 as compared to the year ended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w w:val="89"/>
              </w:rPr>
              <w:t>Year Ended December 31,</w:t>
            </w:r>
          </w:p>
        </w:tc>
        <w:tc>
          <w:tcPr>
            <w:tcW w:w="1260" w:type="dxa"/>
            <w:vAlign w:val="bottom"/>
            <w:tcBorders>
              <w:bottom w:val="single" w:sz="8" w:color="auto"/>
            </w:tcBorders>
          </w:tcPr>
          <w:p>
            <w:pPr>
              <w:spacing w:after="0"/>
              <w:rPr>
                <w:sz w:val="20"/>
                <w:szCs w:val="20"/>
                <w:color w:val="auto"/>
              </w:rPr>
            </w:pPr>
          </w:p>
        </w:tc>
      </w:tr>
      <w:tr>
        <w:trPr>
          <w:trHeight w:val="191"/>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Increase</w:t>
            </w:r>
          </w:p>
        </w:tc>
      </w:tr>
      <w:tr>
        <w:trPr>
          <w:trHeight w:val="234"/>
        </w:trPr>
        <w:tc>
          <w:tcPr>
            <w:tcW w:w="65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(Decrease)</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16,985,290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22,760,560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(5,775,270)</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42,194,635</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29,164,321</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13,030,314</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(25,209,345)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(6,403,761)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(18,805,584)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3,926,120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5,570,029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(1,643,909)</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7,805,619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6,503,750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1,301,869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Asset impairment charge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845,389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(845,389)</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844,938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1,234,674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(389,736)</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22,502,922</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18,752,393</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3,750,529</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(60,288,944)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(39,309,996)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(20,978,948)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(5,522,783)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(3,285,847)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(2,236,936)</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(1,210,216)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1,210,216</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68,282</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47,084</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21,198</w:t>
            </w:r>
          </w:p>
        </w:tc>
      </w:tr>
      <w:tr>
        <w:trPr>
          <w:trHeight w:val="22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(65,743,445)</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(43,758,975)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(21,984,470)</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recorded total revenues of $17.0 million for the year ended December 31, 2018, as compared to $22.8 million for the year ended December 31, 2017. The decrease in total revenue of $5.8 million is primarily due to: (i) $7.0 million of non-recurring revenue in 2017 related to an amendment to the Sanofi Manufacturing Agreement (as defined below) that we assumed as part of the Biotest Transaction; and (ii) a decrease in the sale of normal source plasma attributable to our Plasma Collection Centers business segment of $1.6 million in 2018 due to increased competition in the local market where our collection facilities are located, partially offset by a $2.8 million increase in Nabi-HB revenues.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8" w:name="page59"/>
    <w:bookmarkEnd w:id="58"/>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September 2011, BPC entered into a manufacturing agreement, as subsequently amended, with Sanofi (the “Manufacturing Agreement”) in which Sanofi purchased from BPC specific Batches (as defined therein) of purified Rabies Fraction II Paste manufactured from human plasma containing rabies antibodies (the “Product”). The number of Batches of Product purchased by Sanofi under the Manufacturing Agreement vary from year to year and are subject to certain minimum purchase requirements by Sanofi. In the event that Sanofi fails to purchase any quantity of Product as part of its Firm Purchase Commitment (as defined under the Manufacturing Agreement), Sanofi is required to pay us, as the successor-in-interest to BPC, for the number of Batches not purchased in any given year. In addition, under the Manufacturing Agreement, damages are owed to Sanofi in the event the minimum Batch amounts are not manufactured or fail to comply with the supply plan and an escalating low single digit to low double digit percentage discount is applied to Batches which are delayed. The Manufacturing Agreement continues in effect for up to two years from the date of termination of the human Rabies Hyperimmune Plasma agreement between Sanofi and BPC.</w:t>
      </w:r>
    </w:p>
    <w:p>
      <w:pPr>
        <w:spacing w:after="0" w:line="18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December 2017, we further amended the Manufacturing Agreement to modify the number of Batches of Product which Sanofi is to purchase from us in 2018 and 2019 and to update the supply plan which describes the agreed-upon timing for production of such Batches of Product. Pursuant to this third amendment to the Manufacturing Agreement, we are liable to Sanofi for liquidated damages in the event that we fail to supply a minimum number of Batches of Product or in the event we fail to adhere to the updated supply plan. Furthermore, pursuant to this third amendment to the Manufacturing Agreement, in consideration for certain quantities of Product that we would have otherwise been contractually obligated to supply, and that Sanofi would have been contractually obligated to purchase, prior to entry into such amendment, Sanofi agreed to pay us a one-time compensation fee in the aggregate amount of $7.0 million. For the year ended December 31, 2018, we manufactured all of the required Batches of Product in accordance with the current supply plan, and we expect to generate revenues from Sanofi for these Batches in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Cost of product revenue was $42.2 million for the year ended December 31, 2018, as compared to $29.2 million for the year ended December 31, 2017, an increase of $13.0 million. The increase is mainly attributable to an increase in unabsorbed manufacturing costs related to the Boca Facility of $9.0 million and increases in production costs of BIVIGAM, RI-002 and the related intermediates in the amount of $7.2 million, partially offset by reduced consulting fees pertaining to the remediation efforts in response to the Warning Letter in the amount of $2.4 million. The reduction in facility remediation costs is the result of the successful close out of the FDA inspection of the Boca Facility in the third quarter of 2018. In addition, we experienced a $0.6 million reduction in cost of product revenue related to Nabi-HB despite the increase in Nabi-HB revenues, as the Nabi-HB inventory acquired in the Biotest Transaction, which had been carried on our consolidated balance sheet at its estimated fair value in accordance with U.S. GAAP, was liquidated in the normal course of business and replaced with inventory produced subsequent to the date of the Biotest Transaction which yielded higher margins than in 2017.</w:t>
      </w:r>
    </w:p>
    <w:p>
      <w:pPr>
        <w:spacing w:after="0" w:line="166"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Although we expect that the BIVIGAM and RI-002 inventory produced in 2018 will ultimately be available for commercial sale, we have established an allowance for all of this inventory due to uncertainties surrounding FDA approvals of the PAS and the RI-002 BLA, which we must receive prior to this inventory being available for commercial sale. This allowance, in the amount of $8.9 million, is reflected in cost of product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R&amp;D expenses were $3.9 million for the year ended December 31, 2018, a decrease of $1.6 million as compared to the same period of a year ago. The decrease is mainly due to fewer employees associated with R&amp;D activities in 2018 as compared to 2017, which is primarily the result of shifting roles and responsibilities subsequent to the Biotest Transaction. During the latter part of 2017 and into 2018, we began to transform from a traditional biotechnology company focused on R&amp;D to a manufacturing and FDA-regulated commercial operation. As a result, a number of employees who were previously involved in R&amp;D activities are now performing functions more closely associated with cost of product revenue or selling, general and administrative expenses (“SG&amp;A”).</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Expenses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Plasma center expenses were $7.8 million for the year ended December 31, 2018, an increase of $1.3 million from the $6.5 million of plasma center expenses for the year ended December 31, 2017. Plasma center operating expenses in 2018 and 2017 consist of certain general and administrative plasma center costs, including rent, maintenance, utilities, compensation and benefits for center staff, advertising and promotion expenses and computer software fees related to donor collections. The increase in plasma center expenses is attributable to the opening of our plasma center in Kennesaw, GA, in mid-December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SG&amp;A was $22.5 million for the year ended December 31, 2018, an increase of $3.8 million as compared to the year ended December 31, 2017. The increase reflects a full year of operating activity at the Boca Facility and the associated increase in employee headcount in 2018, as well as the related changes in the scope and overall profile of the Company, resulting in expense increases related to (i) salaries, benefits and stock-based compensation of $5.2 million,</w:t>
      </w:r>
    </w:p>
    <w:p>
      <w:pPr>
        <w:ind w:right="520" w:firstLine="8"/>
        <w:spacing w:after="0" w:line="323"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legal, professional, consulting and investor relations expenses of $1.8 million, (iii) insurance expenses of $0.6 million; and (iv) $0.2 million of non-income related taxes, partially offset by non-recurring acquisition transaction costs of $3.9 million in 2017 pertaining to the Biotest Transaction.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Amortization expense for intangible assets acquired in the Biotest Transaction was $0.8 million for the year ended December 31, 2018, a decrease of $0.4 million as compared to the year ended December 31, 2017. The decrease is related to the amendment to the Manufacturing Agreement, which shortened the useful life of our customer contract intangible resulting in accelerated amortization expense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Charge</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During the year ended December 31, 2017, we recorded an impairment charge in the amount of $0.8 million related to certain assets acquired in the Biotest Transaction (see Note 3 to the consolidated financial statements), with no comparable amount for the year ended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operating loss was $60.3 million for the year ended December 31, 2018, as compared to $39.3 million for the year ended December 31, 2017. The increase was mainly due to the decrease in revenues and increase in cost of product revenue aggregating to $18.8 million, and an increase of $2.2 million, net, of other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Interest expense was $5.5 million for the year ended December 31, 2018, as compared to $3.3 million for the year ended December 31, 2017. The increase reflects a higher average debt principal balance carried in 2018 as compared to 2017 due to the senior debt refinancing transaction in October 2017 (see “Liquidity and Capital Resources”), a full year of interest expense in 2018 on the subordinated Biotest note, a rise in the LIBOR interest rate over the course of 2018 and increased amortization of debt discount.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During the year ended December 31, 2017, we incurred a loss on extinguishment of debt in the amount of $1.2 million in connection with the senior debt refinancing transaction in October 2017, comprised primarily of the write off of unamortized debt discount, with no comparable amount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Net loss was $65.7 million for the year ended December 31, 2018, an increase of $22.0 million from the prior year. The increase was mainly due to the increases in operating loss and, to a lesser extent, interest expense.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0" w:name="page61"/>
    <w:bookmarkEnd w:id="6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2018, we had working capital of $34.9 million, including cash and cash equivalents of $22.8 million, and stockholders’ equity of $19.8 million, as compared to working capital of $52.9 million, including cash and cash equivalents of $43.1 million, and stockholders’ equity of $40.3 million as of December 31, 2017. We have had limited revenue from operations, incurred an accumulated deficit of $216.4 million since inception, and for the years ended December 31, 2018 and 2017, we had negative cash flows from operations of $62.7 million and $37.3 million, respectively. We have funded our operations to date primarily from the sale of our equity and debt securities, acquisition proceeds from the Biotest Transaction and loans from our primary stockholders.</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expect to continue to spend substantial amounts on product development, quality assurance, regulatory affairs, procurement of raw material plasma, building additional plasma centers, manufacturing, marketing, sales and conducting clinical trials for our product candidates and purchasing clinical trial materials from our suppliers, some of which may be required by the FDA. We currently anticipate that, based upon our projected revenue and expenditures for 2019, including continued implementation of our commercialization and expansion activities, the proceeds from the refinancing of our senior credit facility and corresponding release of funds from the debt service reserve account to us in February 2019 as discussed below, as well as certain other assumptions, our cash, cash equivalents, projected revenue and accounts receivable, along with the $27.5 million we anticipate being able to draw down under our current senior credit facility (which is contingent upon, among other things, the FDA approval of either the BIVIGAM PAS or the RI-002 BLA) will be sufficient to fund our operations, as currently conducted, into the fourth quarter of 2019. In order to have sufficient cash to fund our operations thereafter and to continue as a going concern, we will need to raise additional capital by the fourth quarter of 2019. However, if we do not receive FDA approval of either the BIVIGAM PAS or the RI-002 BLA, we believe that our cash balance will be sufficient to fund our operations, as currently conducted, into the third quarter of 2019, and we will be required to raise additional capital by the third quarter of 2019. These estimates may change based upon how quickly we are able to obtain FDA approval for BIVIGAM and RI-002, commercial manufacturing ramp-up activities and the various financing options being explored. We currently have no firm commitments for additional financing, and there can be no assurances that we will be able to secure additional financing on terms that are acceptable to us, or at all. Furthermore, if the assumptions underlying our estimated revenues and expenses are incorrect, we may have to raise additional capital sooner than currently anticipated.</w:t>
      </w:r>
    </w:p>
    <w:p>
      <w:pPr>
        <w:spacing w:after="0" w:line="18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Failure to secure any necessary financing in a timely manner and on commercially reasonable terms could have a material adverse effect on our business plan and financial performance and we could be forced to delay or discontinue our product development, clinical trial or commercialization activities, delay or discontinue the approval efforts for any of our potential products, or potentially cease operations. In addition, we could also be forced to reduce or forgo sales and marketing efforts and forgo attractive business opportunities. Due to numerous risks and uncertainties associated with FDA approval of BIVIGAM and RI-002, ongoing remediation and capacity expansion efforts at the Boca Facility and potential future commercialization of our products and product candidates,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We may decide to raise capital through public or private equity offerings and such financings may only be available on unattractive terms, resulting in significant dilution of stockholders’ interests and, in such event, the value and potential future market price of our Common Stock may decline. We may also decide to obtain additional debt financing or a bank credit facility, subject to the restrictions contained in our current Credit Agreement, or to enter into corporate collaboration and licensing arrangements. The sale of additional equity or debt securities, if convertible, could result in dilution to our current stockholders. The incurrence of additional indebtedness would result in increased fixed obligations and could also result in covenants that would restrict our operations or other future financing alternatives.</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long-term liquidity depends upon our ability to raise additional capital, fund capacity expansion and commercial programs and achieve commercial status for our products and product candidates in order to generate sufficient revenues to cover our operating expenses and meet our obligations on a timely basis. We believe that we will continue to incur losses and negative cash flows from operating activities through the foreseeable future. As such, these conditions raise substantial doubt about our ability to continue as a going concern.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1" w:name="page62"/>
    <w:bookmarkEnd w:id="61"/>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February 11, 2019, (the “Perceptive Closing Date”), we and all of our subsidiaries entered into a Credit Agreement and Guaranty (the “Perceptive Credit Agreement”) with Perceptive Credit Holdings II, LP, as the lender and administrative agent (“Perceptive”). The Perceptive Credit Agreement provides for a senior secured term loan facility in a principal amount of up to $72.5 million (the “Perceptive Credit Facility”), comprised of (i) a term loan made on the Perceptive Closing Date in the principal amount of $45.0 million, as evidenced by our issuance of a promissory note (the “Perceptive Initial Note”) in favor of Perceptive on the Perceptive Closing Date (the “Perceptive Initial Term Loan”), and (ii) an additional term loan in the principal amount of up to $27.5 million, but no less than $10.0 million (the “Perceptive Additional Term Loan” and, together with the Perceptive Initial Term Loan, the “Perceptive Loans”), which Perceptive Additional Term Loan is subject to the satisfaction of certain conditions, including, but not limited to, the FDA’s approval of the PAS or the FDA’s approval of the RI-002 BLA, and no Material Adverse Changes (as defined in the Perceptive Credit Agreement) having occurred since December 31, 2017; provided, that the Perceptive Additional Term Loan shall not be made later than June 30, 2020. The Perceptive Credit Facility has a maturity date of March 1, 2022 (the “Perceptive Maturity Date”), subject to acceleration pursuant to the Perceptive Credit Agreement, including upon an Event of Default (as defined in the Perceptive Credit Agreement).</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the Perceptive Closing Date, we used $30.0 million of the Perceptive Initial Term Loan to terminate and pay in full all of the outstanding obligations under the Marathon Credit Facility (as defined below) that we entered into in October 2017. We also (i) used $2.8 million of the Perceptive Initial Term Loan to pay a deferred facility fee to the lender under the Marathon Credit Facility, (ii) used $6.5 million of the Perceptive Initial Term Loan to pay a prepayment penalty to Marathon, (iii) used $0.7 million of the Perceptive Initial Term Loan to pay outstanding accrued interest to Marathon and (iv) used proceeds of the Perceptive Initial Term Loan to pay certain fees and expenses incurred in connection with the Perceptive Credit Facility of approximately $1.3 million. In addition, on the Perceptive Closing Date, Marathon released the $4.0 million of cash held in the debt service reserve account (see note 7 to the consolidated financial statements) to us.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will bear interest at a rate per annum equal to 7.5% (the “Applicable Margin”) plus the greater of</w:t>
      </w:r>
    </w:p>
    <w:p>
      <w:pPr>
        <w:spacing w:after="0" w:line="46" w:lineRule="exact"/>
        <w:rPr>
          <w:sz w:val="20"/>
          <w:szCs w:val="20"/>
          <w:color w:val="auto"/>
        </w:rPr>
      </w:pPr>
    </w:p>
    <w:p>
      <w:pPr>
        <w:ind w:right="100" w:firstLine="8"/>
        <w:spacing w:after="0" w:line="255"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one-month LIBOR and (ii) 3.5%; provided, however, that upon, and during the continuance of, an Event of Default, the Applicable Margin shall automatically increase by an additional 400 basis points. On the last day of each month during the term of the Perceptive Credit Facility, we will pay accrued interest to Perceptive. The rate of interest in effect as of the Perceptive Closing Date was 11.0%.</w:t>
      </w:r>
    </w:p>
    <w:p>
      <w:pPr>
        <w:spacing w:after="0" w:line="19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the Perceptive Maturity Date, we will pay Perceptive the entire outstanding principal amount underlying the Perceptive Loans and any accrued and unpaid interest thereon. Prior to the Perceptive Maturity Date, there will be no scheduled principal payments on the Perceptive Loans. We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6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All of our obligations under the Perceptive Credit Agreement are secured by a first-priority lien and security interest in substantially all of our tangible and intangible assets, including intellectual property and all of the equity interests in our subsidiaries.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consideration for the Perceptive Credit Agreement, we issued to Perceptive, on the Perceptive Closing Date, a warrant to purchase 1,360,000 shares of our Common Stock (the “Perceptive Warrant”). The Perceptive Warrant has an exercise price equal to $3.28 per share, which is equal to the trailing 10-day volume weighted average price (“VWAP”) of our Common Stock on the business day immediately prior to the Perceptive Closing Date multiplied by 1.15 (the “Closing Date Exercise Price”); provided, however, that following the Perceptive Closing Date until March 31, 2019, if the Closing Date Exercise Price exceeds the Automatic Adjustment Exercise Price (as defined below), the exercise price will automatically be decreased to (A) the lesser of (i) the 10-day VWAP of the Common Stock immediately following our public announcement, in the event such announcement occurs on or prior to March 31, 2019, concerning the FDA classification of our January 4, 2019 response to the BIVIGAM CRL, or (ii) the public offering price per share of Common Stock in the event that we close a public offering of our Common Stock on or prior to March 31, 2019, multiplied by (B) 1.15 (such exercise price, the “Automatic Adjustment Exercise Price”). The Perceptive Warrant was valued by us at $2.7 million as of the Perceptive Closing Date, and has an expiration date of February 11, 2029. Perceptive represented to us, among other things, that it was an “accredited investor” (as such term is defined in Rule 501(a) of Regulation D under the Securities Act of 1933, as amended (the “Securities Act”)), and we issued the Perceptive Warrant in reliance upon an exemption from registration contained in Section 4(2) under the Securities Act. The Perceptive Warrant and the shares of Common Stock issuable thereunder may not be offered, sold, pledged or otherwise transferred in the U.S. absent registration or an applicable exemption from the registration requirements under the Securities Act.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2" w:name="page63"/>
    <w:bookmarkEnd w:id="62"/>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June 18, 2018, we completed an underwritten public offering of 9,623,430 shares of our Common Stock for gross proceeds of $46.0 million. We received net proceeds from this offering, after underwriters’ commissions and other offering expenses, of $42.9 million. The net proceeds have been and will continue to be used for (i) for continued remediation and ongoing improvement and enhancements at the Boca Facility, (ii) to submit the PAS for, and re-launch of, BIVIGAM, (iii) to resubmit the RI-002 BLA, (iv) for expenses associated with obtaining with FDA approval of our Kennesaw, GA plasma collection facility, and (v) for general corporate purposes, including capital expenditures.</w:t>
      </w:r>
    </w:p>
    <w:p>
      <w:pPr>
        <w:spacing w:after="0" w:line="173"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On November 13, 2017, we completed an underwritten public offering of 19,523,255 shares of Common Stock for gross proceeds of $42.0 million. Net proceeds from this offering, after payment of underwriting discounts and offering expenses of $2.8 million, were $39.2 million. The proceeds from this offering were used for (i) the purchase of raw material inventory and the ramp-up of our manufacturing capabilities, (ii) continued remediation of the issues identified in the RI-002 CRL and the Warning Letter and completion of our internal quality management systems overhaul, (iii) capital expenditures for the Boca Facility, (iv) product launch and medical education campaigns, (v) the build-out of our Kennesaw, GA plasma collection facility, (vi) research and development activities for our plasma collection programs and specialty plasma products, and (vii) working capital needs and general corporate purposes, including expenses associated with improving the FDA inspection classification relative to the Warning Letter, filing the BIVIGAM PAS and obtaining marketing clearance for the relaunch of BIVIGAM and re-filing the RI-002 BLA.</w:t>
      </w:r>
    </w:p>
    <w:p>
      <w:pPr>
        <w:spacing w:after="0" w:line="17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October 10, 2017 (the “Marathon Closing Date”), we entered into a Credit Agreement (the “Marathon Credit Agreement”) with Marathon Healthcare Finance Fund, L.P. (“Marathon”) and Wilmington Trust, National Association, as the administrative agent for the Lender (the “Administrative Agent”). The Marathon Credit Agreement provided for a senior secured term loan facility in an aggregate amount of up to $40.0 million (collectively, the “Marathon Credit Facility”), comprised of (i) a term loan made on the Marathon Closing Date in the principal amount of $30.0 million (the “Tranche One Loan”), and (ii) an additional term loan to be made in the maximum principal amount not to exceed $10.0 million (the “Tranche Two Loan” and, together with the Tranche One Loan, the “Marathon Loans”), which Tranche Two Loan availability was subject to the satisfaction of certain conditions. The Marathon Loans each had a maturity date of April 10, 2022 (the “Marathon Maturity Date”), subject to acceleration pursuant to the Marathon Credit Agreement, including upon an Event of Default (as defined in the Marathon Credit Agreement).</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the Marathon Closing Date, we used approximately $17.0 million of the Tranche One Loan to retire and pay in full our previously existing credit facility, as amended, with Oxford Finance, LLC (“Oxford”) and all of the obligations thereunder, including the end-of-term liability of $1.8 million and prepayment penalties of $0.2 million. We also (i) used $5.5 million of the Tranche One Loan to pre-fund a debt service reserve account in accordance with the terms of the Marathon Credit Agreement, and (ii) paid diligence fees, legal and other expenses associated with the Marathon Credit Facility in the amount of approximately $1.5 million, which fees exclude a deferred facility fee to Marathon equal to 9.20% of the Tranche One Loan payable at the earlier of the prepayment date or at maturity. The remaining $6.0 million of proceeds was used for the continued remediation of the issues identified in the CRL and the Warning Letter and for general corporate purposes.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the Marathon Closing Date, we issued a promissory note in favor of the Administrative Agent in the principal amount of $30.0 million (the “Tranche One Note”), evidencing our indebtedness resulting from the Tranche One Loan. Borrowings under the Marathon Credit Agreement bore interest at a rate per annum equal to LIBOR plus 9.50% with a 1% LIBOR floor. During an Event of Default under the Marathon Credit Agreement, the outstanding amount of indebtedness under the Marathon Credit Agreement would bear interest at a rate per annum equal to the interest rate then applicable to the borrowings under the Marathon Credit Agreement plus 5% per annum. Quarterly cash interest payments were due the first business day of each March, June, September and December, beginning on December 1, 2017. During the years ended December 31, 2018 and 2017, the interest rate on the Tranche One Note ranged from 10.86% to 12.24%.</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3" w:name="page64"/>
    <w:bookmarkEnd w:id="63"/>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were required to pay Marathon a facility fee in an amount equal to 9.20% of the amount funded, or $2.8 million, payment of which was deferred until the earlier of the prepayment date or the Marathon Maturity Date pursuant to the terms of the Marathon Credit Agreement. As such, we paid this facility fee to Marathon on the Perceptive Closing Date. Commencing on October 10, 2020, and on the first business day of each month, we would have been required to make principal payments on the Tranche One Loan in equal monthly installments over 18 months, subject to certain conditions in the Marathon Credit Agreement.</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consideration for the Marathon Credit Agreement, we issued warrants to purchase an aggregate of 339,301 shares of our Common Stock to Marathon and certain of Marathon’s affiliates (the “Marathon Warrants”). The Marathon Warrants, which we valued at $0.6 million, have (i) an exercise price equal to $3.0946, which was the trailing 10-day VWAP of our Common Stock prior to the Marathon Closing Date, and (ii) an expiration date of October 10, 2024. We issued the Marathon Warrants in reliance upon an exemption from registration contained in Section 4(2) under the Securities Act. The Marathon Warrants and the shares of Common Stock issuable thereunder may not be offered, sold, pledged or otherwise transferred in the U.S. absent registration or an applicable exemption from the registration requirements under the Securities Act.</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June 2017, we received $27.5 million in connection with the Biotest Transaction, comprised of $12.5 million in cash from BPC and an unsecured subordinated 6% note payable to Biotest in the amount of $15.0 million. Also in June 2017, BPC provided us with a firm equity commitment to invest up to an additional $12.5 million in our future equity financings, and this commitment was invested in the foregoing November 2017 public offering of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tcPr>
          <w:p>
            <w:pPr>
              <w:ind w:left="6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(62,678,682)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(2,095,600)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15,213,856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42,921,560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60,750,625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(21,852,722)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38,692,707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including restricted cash - beginning of year</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48,607,574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9,914,867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 end of year</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26,754,852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48,607,574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 from Operating Activities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The following table illustrates the primary components of our cash flows from operations: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6"/>
        </w:trPr>
        <w:tc>
          <w:tcPr>
            <w:tcW w:w="8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(65,743,445)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(43,758,975)</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6,753,203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6,769,443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2,487,713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(2,862,127)</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inventories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(5,987,988)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589,318</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(540,509)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(941,272)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386,504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3,426,549</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(494,710)</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(62,678,682)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(37,271,774)</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Cash used in operations increased by $25.4 million for the year ended December 31, 2018 as compared to the year ended December 31, 2017, mainly due to the higher net loss.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4" w:name="page65"/>
    <w:bookmarkEnd w:id="6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cash used in investing activities for the year ended December 31, 2018 was $2.1 million, as compared to net cash provided by investing activities of $15.2 million for the year ended December 31, 2017, which reflects the $12.5 million cash received by us in connection with the Biotest Transaction and the redemptions of short-term investments in the amount of $5.4 million, partially offset by capital expenditures in the amount of $2.7 million. Although we have no specific material commitments for capital expenditures as of December 31, 2018, we expect our total capital expenditures will be between $3.0 million and $5.0 million for fiscal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Net cash provided by financing activities was $42.9 million for the year ended December 31, 2018 and was primarily the result of the June 2018 public offering of our Common Stock. Net cash provided by financing activities totaled $60.8 million for the year ended December 31, 2017, consisting primarily of $39.2 million of net proceeds from a public offering of Common Stock, $15.0 million received from the issuance of the note payable to Biotest and the refinancing of the Oxford indebtedness with the Marathon Credit Facility, which resulted in net proceeds of approximately $11.5 million, partially offset by repayments on the principal balances of our notes payable to Oxford in the amount of $5.0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did not have a significant impact on ADMA’s net sales, revenues or income from continuing operations in 2017 or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required to be filed pursuant to this Item 8 appear in a separate section of this Annual Report on Form 10-K, beginning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2018, our Chief Executive Officer and Chief Financial Officer concluded that, as of such date, our disclosure controls and procedures were effective at the reasonable assurance level.</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5" w:name="page66"/>
    <w:bookmarkEnd w:id="65"/>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Management’s annual report on internal control over financial reporting (as defined in Rule 13a- 15(f) under the Exchange Act) is included with the financial statements reflected in Item 8 of this Annual Report on Form 10-K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CohnReznick LLP, our independent registered public accounting firm, which has audited the consolidated financial statements included in this Annual Report on Form 10-K, has also issued an audit attestation report on the effectiveness of our internal control over financial reporting as of December 31, 2018. Their report is included with the financial statements contained in Item 8 of this Annual Report on Form 10-K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Information required to be disclosed by this Item with respect to our executive officers is incorporated into this Annual Report on Form 10-K by reference from the section entitled “Executive Officers and Director and Officer Compensation: Executive Officers” contained in our definitive proxy statement for our 2019 annual meeting of stockholders, which we intend to file within 120 days of the end of our fiscal year ended December 31, 2018.</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required to be disclosed by this Item about our Board is incorporated into this Annual Report on Form 10-K by reference from the section entitled “Proposal No. 1: Election of Directors” contained in our definitive proxy statement for our 2019 annual meeting of stockholders, which we intend to file within 120 days of the end of our fiscal year ended December 31, 2018.</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Information required to be disclosed by this Item about the Section 16(a) compliance of our directors and executive officers is incorporated into this Annual Report on Form 10-K by reference from the section entitled “Section 16(a) Beneficial Ownership Reporting Compliance” contained in our definitive proxy statement for our 2019 annual meeting of stockholders, which we intend to file within 120 days of the end of our fiscal year ended December 31, 2018.</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Information required to be disclosed by this Item about our Board, the Audit Committee of our Board, our audit committee financial expert, our Code of Ethics and Business Conduct Standards, and other corporate governance matters is incorporated into this Annual Report on Form 10-K by reference from the section entitled “Corporate Governance” contained in our definitive proxy statement for our 2019 annual meeting of stockholders, which we intend to file within 120 days of the end of our fiscal year ended December 31, 2018.</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6" w:name="page67"/>
    <w:bookmarkEnd w:id="66"/>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text of our Code of Ethics and Business Conduct Standards, which applies to our directors and employees (including our principal executive officer, principal financial officer, and principal accounting officer or controller, and persons performing similar functions), is posted in the “Corporate Governance” section of the Investors section of our website, http://www.admabiologics.com/. A copy of the Code of Ethics and Business Conduct Standards can be obtained free of charge on our website. We intend to disclose on our website any amendments to, or waivers from, our Code of Ethics and Business Conduct Standards that are required to be disclosed pursuant to the rules of the SEC and The Nasdaq Stock Market.</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presented on our website is not a part of this Annual Report on Form 10-K and the reference to our website is intended to be an inactive textual reference only.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Information required to be disclosed by this Item is incorporated into this Annual Report on Form 10-K by reference from the section entitled “Executive Officers and Director and Officer Compensation” contained in our definitive proxy statement for our 2019 annual meeting of stockholders, which we intend to file within 120 days of the end of our fiscal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Information required to be disclosed by this Item is incorporated into this Annual Report on Form 10-K by reference from the sections entitled “Security Ownership of Certain Beneficial Owners and Management and Related Stockholder Matters” contained in our definitive proxy statement for our 2019 annual meeting of stockholders, which we intend to file within 120 days of the end of our fiscal year ended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information required to be disclosed by this Item is incorporated in this Annual Report on Form 10-K by reference from the section entitled “Certain Relationships and Related Transactions, and Director Independence” contained in our definitive proxy statement for our 2019 annual meeting of stockholders, which we intend to file within 120 days of the end of our fiscal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information required to be disclosed by this Item is incorporated into this Annual Report on Form 10-K by reference from the section entitled “Audit and Other Fees” contained in our definitive proxy statement for our 2019 annual meeting of stockholders, which we intend to file within 120 days of the end of our fiscal year ended December 31, 2018.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7" w:name="page68"/>
    <w:bookmarkEnd w:id="6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5"/>
              </w:rPr>
              <w:t>Page</w:t>
            </w:r>
          </w:p>
        </w:tc>
      </w:tr>
      <w:tr>
        <w:trPr>
          <w:trHeight w:val="210"/>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F-2</w:t>
            </w: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580" w:type="dxa"/>
            <w:vAlign w:val="bottom"/>
          </w:tcPr>
          <w:p>
            <w:pPr>
              <w:ind w:left="1180"/>
              <w:spacing w:after="0"/>
              <w:rPr>
                <w:sz w:val="20"/>
                <w:szCs w:val="20"/>
                <w:color w:val="auto"/>
              </w:rPr>
            </w:pPr>
            <w:r>
              <w:rPr>
                <w:rFonts w:ascii="Arial" w:cs="Arial" w:eastAsia="Arial" w:hAnsi="Arial"/>
                <w:sz w:val="18"/>
                <w:szCs w:val="18"/>
                <w:color w:val="auto"/>
              </w:rPr>
              <w:t>F-3</w:t>
            </w: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F-4</w:t>
            </w: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Consolidated Balance Sheets as of December 31, 2018 and 2017</w:t>
            </w:r>
          </w:p>
        </w:tc>
        <w:tc>
          <w:tcPr>
            <w:tcW w:w="1580" w:type="dxa"/>
            <w:vAlign w:val="bottom"/>
          </w:tcPr>
          <w:p>
            <w:pPr>
              <w:ind w:left="1180"/>
              <w:spacing w:after="0"/>
              <w:rPr>
                <w:sz w:val="20"/>
                <w:szCs w:val="20"/>
                <w:color w:val="auto"/>
              </w:rPr>
            </w:pPr>
            <w:r>
              <w:rPr>
                <w:rFonts w:ascii="Arial" w:cs="Arial" w:eastAsia="Arial" w:hAnsi="Arial"/>
                <w:sz w:val="18"/>
                <w:szCs w:val="18"/>
                <w:color w:val="auto"/>
              </w:rPr>
              <w:t>F-5</w:t>
            </w: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2018 and 2017</w:t>
            </w: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F-6</w:t>
            </w: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 (Deficit) for the years ended December 31, 2018 and 2017</w:t>
            </w:r>
          </w:p>
        </w:tc>
        <w:tc>
          <w:tcPr>
            <w:tcW w:w="1580" w:type="dxa"/>
            <w:vAlign w:val="bottom"/>
          </w:tcPr>
          <w:p>
            <w:pPr>
              <w:ind w:left="1180"/>
              <w:spacing w:after="0"/>
              <w:rPr>
                <w:sz w:val="20"/>
                <w:szCs w:val="20"/>
                <w:color w:val="auto"/>
              </w:rPr>
            </w:pPr>
            <w:r>
              <w:rPr>
                <w:rFonts w:ascii="Arial" w:cs="Arial" w:eastAsia="Arial" w:hAnsi="Arial"/>
                <w:sz w:val="18"/>
                <w:szCs w:val="18"/>
                <w:color w:val="auto"/>
              </w:rPr>
              <w:t>F-7</w:t>
            </w: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2018 and 2017</w:t>
            </w:r>
          </w:p>
        </w:tc>
        <w:tc>
          <w:tcPr>
            <w:tcW w:w="15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F-8</w:t>
            </w:r>
          </w:p>
        </w:tc>
      </w:tr>
      <w:tr>
        <w:trPr>
          <w:trHeight w:val="230"/>
        </w:trPr>
        <w:tc>
          <w:tcPr>
            <w:tcW w:w="2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580" w:type="dxa"/>
            <w:vAlign w:val="bottom"/>
          </w:tcPr>
          <w:p>
            <w:pPr>
              <w:ind w:left="1180"/>
              <w:spacing w:after="0"/>
              <w:rPr>
                <w:sz w:val="20"/>
                <w:szCs w:val="20"/>
                <w:color w:val="auto"/>
              </w:rPr>
            </w:pPr>
            <w:r>
              <w:rPr>
                <w:rFonts w:ascii="Arial" w:cs="Arial" w:eastAsia="Arial" w:hAnsi="Arial"/>
                <w:sz w:val="18"/>
                <w:szCs w:val="18"/>
                <w:color w:val="auto"/>
              </w:rPr>
              <w:t>F-9</w:t>
            </w:r>
          </w:p>
        </w:tc>
      </w:tr>
    </w:tbl>
    <w:p>
      <w:pPr>
        <w:spacing w:after="0" w:line="18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 Financial Statement Schedules.</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Required information is included in the footnotes to the financial statements.</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 Exhibits.</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See Exhibit Index immediately following the financial statements to this Annual Report on Form 10-K.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8" w:name="page69"/>
    <w:bookmarkEnd w:id="68"/>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100"/>
              <w:spacing w:after="0"/>
              <w:rPr>
                <w:sz w:val="20"/>
                <w:szCs w:val="20"/>
                <w:color w:val="auto"/>
              </w:rPr>
            </w:pPr>
            <w:r>
              <w:rPr>
                <w:rFonts w:ascii="Arial" w:cs="Arial" w:eastAsia="Arial" w:hAnsi="Arial"/>
                <w:sz w:val="18"/>
                <w:szCs w:val="18"/>
                <w:b w:val="1"/>
                <w:bCs w:val="1"/>
                <w:color w:val="auto"/>
              </w:rPr>
              <w:t>ADMA Biologics,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March 13, 2019</w:t>
            </w:r>
          </w:p>
        </w:tc>
        <w:tc>
          <w:tcPr>
            <w:tcW w:w="2620" w:type="dxa"/>
            <w:vAlign w:val="bottom"/>
          </w:tcPr>
          <w:p>
            <w:pPr>
              <w:ind w:left="21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82"/>
        </w:trPr>
        <w:tc>
          <w:tcPr>
            <w:tcW w:w="3680" w:type="dxa"/>
            <w:vAlign w:val="bottom"/>
          </w:tcPr>
          <w:p>
            <w:pPr>
              <w:spacing w:after="0"/>
              <w:rPr>
                <w:sz w:val="15"/>
                <w:szCs w:val="15"/>
                <w:color w:val="auto"/>
              </w:rPr>
            </w:pPr>
          </w:p>
        </w:tc>
        <w:tc>
          <w:tcPr>
            <w:tcW w:w="2620" w:type="dxa"/>
            <w:vAlign w:val="bottom"/>
          </w:tcPr>
          <w:p>
            <w:pPr>
              <w:ind w:left="2100"/>
              <w:spacing w:after="0" w:line="182" w:lineRule="exact"/>
              <w:rPr>
                <w:sz w:val="20"/>
                <w:szCs w:val="20"/>
                <w:color w:val="auto"/>
              </w:rPr>
            </w:pPr>
            <w:r>
              <w:rPr>
                <w:rFonts w:ascii="Arial" w:cs="Arial" w:eastAsia="Arial" w:hAnsi="Arial"/>
                <w:sz w:val="18"/>
                <w:szCs w:val="18"/>
                <w:color w:val="auto"/>
                <w:w w:val="94"/>
              </w:rPr>
              <w:t>Name:</w:t>
            </w:r>
          </w:p>
        </w:tc>
        <w:tc>
          <w:tcPr>
            <w:tcW w:w="5120" w:type="dxa"/>
            <w:vAlign w:val="bottom"/>
          </w:tcPr>
          <w:p>
            <w:pPr>
              <w:spacing w:after="0" w:line="182" w:lineRule="exact"/>
              <w:rPr>
                <w:sz w:val="20"/>
                <w:szCs w:val="20"/>
                <w:color w:val="auto"/>
              </w:rPr>
            </w:pPr>
            <w:r>
              <w:rPr>
                <w:rFonts w:ascii="Arial" w:cs="Arial" w:eastAsia="Arial" w:hAnsi="Arial"/>
                <w:sz w:val="18"/>
                <w:szCs w:val="18"/>
                <w:color w:val="auto"/>
              </w:rPr>
              <w:t>Adam S. Grossman</w:t>
            </w:r>
          </w:p>
        </w:tc>
      </w:tr>
      <w:tr>
        <w:trPr>
          <w:trHeight w:val="244"/>
        </w:trPr>
        <w:tc>
          <w:tcPr>
            <w:tcW w:w="3680" w:type="dxa"/>
            <w:vAlign w:val="bottom"/>
          </w:tcPr>
          <w:p>
            <w:pPr>
              <w:spacing w:after="0"/>
              <w:rPr>
                <w:sz w:val="21"/>
                <w:szCs w:val="21"/>
                <w:color w:val="auto"/>
              </w:rPr>
            </w:pPr>
          </w:p>
        </w:tc>
        <w:tc>
          <w:tcPr>
            <w:tcW w:w="2620" w:type="dxa"/>
            <w:vAlign w:val="bottom"/>
          </w:tcPr>
          <w:p>
            <w:pPr>
              <w:ind w:left="2100"/>
              <w:spacing w:after="0"/>
              <w:rPr>
                <w:sz w:val="20"/>
                <w:szCs w:val="20"/>
                <w:color w:val="auto"/>
              </w:rPr>
            </w:pPr>
            <w:r>
              <w:rPr>
                <w:rFonts w:ascii="Arial" w:cs="Arial" w:eastAsia="Arial" w:hAnsi="Arial"/>
                <w:sz w:val="18"/>
                <w:szCs w:val="18"/>
                <w:color w:val="auto"/>
              </w:rPr>
              <w:t>Title:</w:t>
            </w:r>
          </w:p>
        </w:tc>
        <w:tc>
          <w:tcPr>
            <w:tcW w:w="51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640" w:type="dxa"/>
            <w:vAlign w:val="bottom"/>
            <w:gridSpan w:val="2"/>
          </w:tcPr>
          <w:p>
            <w:pPr>
              <w:ind w:left="1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26"/>
        </w:trPr>
        <w:tc>
          <w:tcPr>
            <w:tcW w:w="4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Adam S. Grossman</w:t>
            </w:r>
          </w:p>
        </w:tc>
        <w:tc>
          <w:tcPr>
            <w:tcW w:w="120" w:type="dxa"/>
            <w:vAlign w:val="bottom"/>
          </w:tcPr>
          <w:p>
            <w:pPr>
              <w:spacing w:after="0"/>
              <w:rPr>
                <w:sz w:val="24"/>
                <w:szCs w:val="24"/>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w:t>
            </w:r>
          </w:p>
        </w:tc>
        <w:tc>
          <w:tcPr>
            <w:tcW w:w="12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Adam S. Grossman</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Officer (Principal Executive Officer)</w:t>
            </w:r>
          </w:p>
        </w:tc>
        <w:tc>
          <w:tcPr>
            <w:tcW w:w="120" w:type="dxa"/>
            <w:vAlign w:val="bottom"/>
          </w:tcPr>
          <w:p>
            <w:pPr>
              <w:spacing w:after="0"/>
              <w:rPr>
                <w:sz w:val="19"/>
                <w:szCs w:val="19"/>
                <w:color w:val="auto"/>
              </w:rPr>
            </w:pPr>
          </w:p>
        </w:tc>
        <w:tc>
          <w:tcPr>
            <w:tcW w:w="3520" w:type="dxa"/>
            <w:vAlign w:val="bottom"/>
          </w:tcPr>
          <w:p>
            <w:pPr>
              <w:ind w:left="1180"/>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c>
          <w:tcPr>
            <w:tcW w:w="3660" w:type="dxa"/>
            <w:vAlign w:val="bottom"/>
            <w:gridSpan w:val="2"/>
            <w:vMerge w:val="restart"/>
          </w:tcPr>
          <w:p>
            <w:pPr>
              <w:ind w:left="120"/>
              <w:spacing w:after="0"/>
              <w:rPr>
                <w:sz w:val="20"/>
                <w:szCs w:val="20"/>
                <w:color w:val="auto"/>
              </w:rPr>
            </w:pPr>
            <w:r>
              <w:rPr>
                <w:rFonts w:ascii="Arial" w:cs="Arial" w:eastAsia="Arial" w:hAnsi="Arial"/>
                <w:sz w:val="18"/>
                <w:szCs w:val="18"/>
                <w:color w:val="auto"/>
                <w:w w:val="98"/>
              </w:rPr>
              <w:t>Executive Vice President and Chief Financial</w:t>
            </w:r>
          </w:p>
        </w:tc>
        <w:tc>
          <w:tcPr>
            <w:tcW w:w="120" w:type="dxa"/>
            <w:vAlign w:val="bottom"/>
          </w:tcPr>
          <w:p>
            <w:pPr>
              <w:spacing w:after="0"/>
              <w:rPr>
                <w:sz w:val="24"/>
                <w:szCs w:val="24"/>
                <w:color w:val="auto"/>
              </w:rPr>
            </w:pPr>
          </w:p>
        </w:tc>
        <w:tc>
          <w:tcPr>
            <w:tcW w:w="3520" w:type="dxa"/>
            <w:vAlign w:val="bottom"/>
            <w:vMerge w:val="restart"/>
          </w:tcPr>
          <w:p>
            <w:pPr>
              <w:ind w:left="1180"/>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195"/>
        </w:trPr>
        <w:tc>
          <w:tcPr>
            <w:tcW w:w="4120" w:type="dxa"/>
            <w:vAlign w:val="bottom"/>
          </w:tcPr>
          <w:p>
            <w:pPr>
              <w:spacing w:after="0" w:line="195" w:lineRule="exact"/>
              <w:rPr>
                <w:sz w:val="20"/>
                <w:szCs w:val="20"/>
                <w:color w:val="auto"/>
              </w:rPr>
            </w:pPr>
            <w:r>
              <w:rPr>
                <w:rFonts w:ascii="Arial" w:cs="Arial" w:eastAsia="Arial" w:hAnsi="Arial"/>
                <w:sz w:val="18"/>
                <w:szCs w:val="18"/>
                <w:color w:val="auto"/>
              </w:rPr>
              <w:t>Brian Lenz</w:t>
            </w:r>
          </w:p>
        </w:tc>
        <w:tc>
          <w:tcPr>
            <w:tcW w:w="3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Officer (Principal Financial Officer and</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Principal Accounting Officer)</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Elms</w:t>
            </w:r>
          </w:p>
        </w:tc>
        <w:tc>
          <w:tcPr>
            <w:tcW w:w="3660" w:type="dxa"/>
            <w:vAlign w:val="bottom"/>
            <w:gridSpan w:val="2"/>
            <w:vMerge w:val="restart"/>
          </w:tcPr>
          <w:p>
            <w:pPr>
              <w:ind w:left="120"/>
              <w:spacing w:after="0"/>
              <w:rPr>
                <w:sz w:val="20"/>
                <w:szCs w:val="20"/>
                <w:color w:val="auto"/>
              </w:rPr>
            </w:pPr>
            <w:r>
              <w:rPr>
                <w:rFonts w:ascii="Arial" w:cs="Arial" w:eastAsia="Arial" w:hAnsi="Arial"/>
                <w:sz w:val="18"/>
                <w:szCs w:val="18"/>
                <w:color w:val="auto"/>
                <w:w w:val="92"/>
              </w:rPr>
              <w:t>Chairman of the Board of Directors and Director</w:t>
            </w:r>
          </w:p>
        </w:tc>
        <w:tc>
          <w:tcPr>
            <w:tcW w:w="120" w:type="dxa"/>
            <w:vAlign w:val="bottom"/>
          </w:tcPr>
          <w:p>
            <w:pPr>
              <w:spacing w:after="0"/>
              <w:rPr>
                <w:sz w:val="24"/>
                <w:szCs w:val="24"/>
                <w:color w:val="auto"/>
              </w:rPr>
            </w:pPr>
          </w:p>
        </w:tc>
        <w:tc>
          <w:tcPr>
            <w:tcW w:w="3520" w:type="dxa"/>
            <w:vAlign w:val="bottom"/>
            <w:vMerge w:val="restart"/>
          </w:tcPr>
          <w:p>
            <w:pPr>
              <w:ind w:left="1180"/>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Steven A. Elms</w:t>
            </w:r>
          </w:p>
        </w:tc>
        <w:tc>
          <w:tcPr>
            <w:tcW w:w="36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Jerrold B. Grossman</w:t>
            </w:r>
          </w:p>
        </w:tc>
        <w:tc>
          <w:tcPr>
            <w:tcW w:w="366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Vice Chairman of the Board of Directors and</w:t>
            </w:r>
          </w:p>
        </w:tc>
        <w:tc>
          <w:tcPr>
            <w:tcW w:w="120" w:type="dxa"/>
            <w:vAlign w:val="bottom"/>
          </w:tcPr>
          <w:p>
            <w:pPr>
              <w:spacing w:after="0"/>
              <w:rPr>
                <w:sz w:val="24"/>
                <w:szCs w:val="24"/>
                <w:color w:val="auto"/>
              </w:rPr>
            </w:pPr>
          </w:p>
        </w:tc>
        <w:tc>
          <w:tcPr>
            <w:tcW w:w="3520" w:type="dxa"/>
            <w:vAlign w:val="bottom"/>
            <w:vMerge w:val="restart"/>
          </w:tcPr>
          <w:p>
            <w:pPr>
              <w:ind w:left="1180"/>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195"/>
        </w:trPr>
        <w:tc>
          <w:tcPr>
            <w:tcW w:w="4120" w:type="dxa"/>
            <w:vAlign w:val="bottom"/>
          </w:tcPr>
          <w:p>
            <w:pPr>
              <w:spacing w:after="0" w:line="195" w:lineRule="exact"/>
              <w:rPr>
                <w:sz w:val="20"/>
                <w:szCs w:val="20"/>
                <w:color w:val="auto"/>
              </w:rPr>
            </w:pPr>
            <w:r>
              <w:rPr>
                <w:rFonts w:ascii="Arial" w:cs="Arial" w:eastAsia="Arial" w:hAnsi="Arial"/>
                <w:sz w:val="18"/>
                <w:szCs w:val="18"/>
                <w:color w:val="auto"/>
              </w:rPr>
              <w:t>Dr. Jerrold B. Grossman</w:t>
            </w:r>
          </w:p>
        </w:tc>
        <w:tc>
          <w:tcPr>
            <w:tcW w:w="3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Bryant E. Fong</w:t>
            </w:r>
          </w:p>
        </w:tc>
        <w:tc>
          <w:tcPr>
            <w:tcW w:w="3660" w:type="dxa"/>
            <w:vAlign w:val="bottom"/>
            <w:gridSpan w:val="2"/>
            <w:vMerge w:val="restart"/>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3520" w:type="dxa"/>
            <w:vAlign w:val="bottom"/>
            <w:vMerge w:val="restart"/>
          </w:tcPr>
          <w:p>
            <w:pPr>
              <w:ind w:left="1180"/>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Bryant E. Fong</w:t>
            </w:r>
          </w:p>
        </w:tc>
        <w:tc>
          <w:tcPr>
            <w:tcW w:w="36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Dov A. Goldstein, M.D.</w:t>
            </w:r>
          </w:p>
        </w:tc>
        <w:tc>
          <w:tcPr>
            <w:tcW w:w="3660" w:type="dxa"/>
            <w:vAlign w:val="bottom"/>
            <w:gridSpan w:val="2"/>
            <w:vMerge w:val="restart"/>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3520" w:type="dxa"/>
            <w:vAlign w:val="bottom"/>
            <w:vMerge w:val="restart"/>
          </w:tcPr>
          <w:p>
            <w:pPr>
              <w:ind w:left="1180"/>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Dov A. Goldstein, M.D.</w:t>
            </w:r>
          </w:p>
        </w:tc>
        <w:tc>
          <w:tcPr>
            <w:tcW w:w="36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P. Guiheen</w:t>
            </w:r>
          </w:p>
        </w:tc>
        <w:tc>
          <w:tcPr>
            <w:tcW w:w="3660" w:type="dxa"/>
            <w:vAlign w:val="bottom"/>
            <w:gridSpan w:val="2"/>
            <w:vMerge w:val="restart"/>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3520" w:type="dxa"/>
            <w:vAlign w:val="bottom"/>
            <w:vMerge w:val="restart"/>
          </w:tcPr>
          <w:p>
            <w:pPr>
              <w:ind w:left="1180"/>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Lawrence P. Guiheen</w:t>
            </w:r>
          </w:p>
        </w:tc>
        <w:tc>
          <w:tcPr>
            <w:tcW w:w="36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I. Richman</w:t>
            </w:r>
          </w:p>
        </w:tc>
        <w:tc>
          <w:tcPr>
            <w:tcW w:w="3660" w:type="dxa"/>
            <w:vAlign w:val="bottom"/>
            <w:gridSpan w:val="2"/>
            <w:vMerge w:val="restart"/>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3520" w:type="dxa"/>
            <w:vAlign w:val="bottom"/>
            <w:vMerge w:val="restart"/>
          </w:tcPr>
          <w:p>
            <w:pPr>
              <w:ind w:left="1180"/>
              <w:spacing w:after="0"/>
              <w:rPr>
                <w:sz w:val="20"/>
                <w:szCs w:val="20"/>
                <w:color w:val="auto"/>
              </w:rPr>
            </w:pPr>
            <w:r>
              <w:rPr>
                <w:rFonts w:ascii="Arial" w:cs="Arial" w:eastAsia="Arial" w:hAnsi="Arial"/>
                <w:sz w:val="18"/>
                <w:szCs w:val="18"/>
                <w:color w:val="auto"/>
              </w:rPr>
              <w:t>March 13, 2019</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Eric I. Richman</w:t>
            </w:r>
          </w:p>
        </w:tc>
        <w:tc>
          <w:tcPr>
            <w:tcW w:w="36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900" w:type="dxa"/>
            <w:vAlign w:val="bottom"/>
            <w:gridSpan w:val="4"/>
          </w:tcPr>
          <w:p>
            <w:pPr>
              <w:ind w:left="860"/>
              <w:spacing w:after="0"/>
              <w:rPr>
                <w:rFonts w:ascii="Arial" w:cs="Arial" w:eastAsia="Arial" w:hAnsi="Arial"/>
                <w:sz w:val="14"/>
                <w:szCs w:val="14"/>
                <w:i w:val="1"/>
                <w:iCs w:val="1"/>
                <w:color w:val="0000EE"/>
                <w:w w:val="92"/>
              </w:rPr>
            </w:pPr>
            <w:hyperlink w:anchor="page3">
              <w:r>
                <w:rPr>
                  <w:rFonts w:ascii="Arial" w:cs="Arial" w:eastAsia="Arial" w:hAnsi="Arial"/>
                  <w:sz w:val="14"/>
                  <w:szCs w:val="14"/>
                  <w:i w:val="1"/>
                  <w:iCs w:val="1"/>
                  <w:color w:val="0000EE"/>
                  <w:w w:val="92"/>
                </w:rPr>
                <w:t>Table of Contents</w:t>
              </w:r>
            </w:hyperlink>
          </w:p>
        </w:tc>
      </w:tr>
      <w:tr>
        <w:trPr>
          <w:trHeight w:val="561"/>
        </w:trPr>
        <w:tc>
          <w:tcPr>
            <w:tcW w:w="9540" w:type="dxa"/>
            <w:vAlign w:val="bottom"/>
          </w:tcPr>
          <w:p>
            <w:pPr>
              <w:jc w:val="center"/>
              <w:ind w:left="1790"/>
              <w:spacing w:after="0"/>
              <w:rPr>
                <w:sz w:val="20"/>
                <w:szCs w:val="20"/>
                <w:color w:val="auto"/>
              </w:rPr>
            </w:pPr>
            <w:r>
              <w:rPr>
                <w:rFonts w:ascii="Arial" w:cs="Arial" w:eastAsia="Arial" w:hAnsi="Arial"/>
                <w:sz w:val="18"/>
                <w:szCs w:val="18"/>
                <w:b w:val="1"/>
                <w:bCs w:val="1"/>
                <w:color w:val="auto"/>
              </w:rPr>
              <w:t>ADMA BIOLOGICS, INC. AND SUBSIDIARIES</w:t>
            </w:r>
          </w:p>
        </w:tc>
        <w:tc>
          <w:tcPr>
            <w:tcW w:w="8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540" w:type="dxa"/>
            <w:vAlign w:val="bottom"/>
          </w:tcPr>
          <w:p>
            <w:pPr>
              <w:jc w:val="center"/>
              <w:ind w:left="1810"/>
              <w:spacing w:after="0"/>
              <w:rPr>
                <w:sz w:val="20"/>
                <w:szCs w:val="20"/>
                <w:color w:val="auto"/>
              </w:rPr>
            </w:pPr>
            <w:r>
              <w:rPr>
                <w:rFonts w:ascii="Arial" w:cs="Arial" w:eastAsia="Arial" w:hAnsi="Arial"/>
                <w:sz w:val="18"/>
                <w:szCs w:val="18"/>
                <w:b w:val="1"/>
                <w:bCs w:val="1"/>
                <w:color w:val="auto"/>
              </w:rPr>
              <w:t>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54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TABLE OF CONTENTS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Page</w:t>
            </w: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2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Consolidated Balance Sheets as of December 31, 2018 and 2017</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2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2018 and 2017</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c>
          <w:tcPr>
            <w:tcW w:w="20" w:type="dxa"/>
            <w:vAlign w:val="bottom"/>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w w:val="99"/>
              </w:rPr>
              <w:t>Consolidated Statements of Changes in Stockholders’ Equity (Deficit) for the years ended December 31, 2018 and 2017</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2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2018 and 2017</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F-8</w:t>
            </w:r>
          </w:p>
        </w:tc>
        <w:tc>
          <w:tcPr>
            <w:tcW w:w="20" w:type="dxa"/>
            <w:vAlign w:val="bottom"/>
          </w:tcPr>
          <w:p>
            <w:pPr>
              <w:spacing w:after="0"/>
              <w:rPr>
                <w:sz w:val="18"/>
                <w:szCs w:val="18"/>
                <w:color w:val="auto"/>
              </w:rPr>
            </w:pPr>
          </w:p>
        </w:tc>
      </w:tr>
      <w:tr>
        <w:trPr>
          <w:trHeight w:val="230"/>
        </w:trPr>
        <w:tc>
          <w:tcPr>
            <w:tcW w:w="95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F-9</w:t>
            </w:r>
          </w:p>
        </w:tc>
        <w:tc>
          <w:tcPr>
            <w:tcW w:w="20" w:type="dxa"/>
            <w:vAlign w:val="bottom"/>
          </w:tcPr>
          <w:p>
            <w:pPr>
              <w:spacing w:after="0"/>
              <w:rPr>
                <w:sz w:val="20"/>
                <w:szCs w:val="20"/>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70" w:name="page71"/>
    <w:bookmarkEnd w:id="7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Management’s Annual Report on Internal Control Over Financial Reporting</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Management of ADMA Biologics, Inc. (the “Company”) is responsible for establishing and maintaining adequate internal control over financial reporting for the Company.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69" w:lineRule="exact"/>
        <w:rPr>
          <w:sz w:val="20"/>
          <w:szCs w:val="20"/>
          <w:color w:val="auto"/>
        </w:rPr>
      </w:pPr>
    </w:p>
    <w:p>
      <w:pPr>
        <w:ind w:right="200" w:firstLine="1008"/>
        <w:spacing w:after="0" w:line="302"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right="180" w:firstLine="1008"/>
        <w:spacing w:after="0" w:line="279" w:lineRule="auto"/>
        <w:rPr>
          <w:sz w:val="20"/>
          <w:szCs w:val="20"/>
          <w:color w:val="auto"/>
        </w:rPr>
      </w:pPr>
      <w:r>
        <w:rPr>
          <w:rFonts w:ascii="Arial" w:cs="Arial" w:eastAsia="Arial" w:hAnsi="Arial"/>
          <w:sz w:val="17"/>
          <w:szCs w:val="17"/>
          <w:color w:val="auto"/>
        </w:rPr>
        <w:t>Management, with the participation of the Company’s Chief Executive Officer and Chief Financial Officer, assessed the effectiveness of its internal control over financial reporting as of December 31, 2018.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2018 based on those criteria.</w:t>
      </w:r>
    </w:p>
    <w:p>
      <w:pPr>
        <w:spacing w:after="0" w:line="171" w:lineRule="exact"/>
        <w:rPr>
          <w:sz w:val="20"/>
          <w:szCs w:val="20"/>
          <w:color w:val="auto"/>
        </w:rPr>
      </w:pPr>
    </w:p>
    <w:p>
      <w:pPr>
        <w:jc w:val="both"/>
        <w:ind w:right="100" w:firstLine="1008"/>
        <w:spacing w:after="0" w:line="264" w:lineRule="auto"/>
        <w:rPr>
          <w:sz w:val="20"/>
          <w:szCs w:val="20"/>
          <w:color w:val="auto"/>
        </w:rPr>
      </w:pPr>
      <w:r>
        <w:rPr>
          <w:rFonts w:ascii="Arial" w:cs="Arial" w:eastAsia="Arial" w:hAnsi="Arial"/>
          <w:sz w:val="18"/>
          <w:szCs w:val="18"/>
          <w:color w:val="auto"/>
        </w:rPr>
        <w:t>Our independent registered public accounting firm, which has audited the consolidated financial statements included in this Annual Report on Form 10-K, has also issued an audit report on the effectiveness of our internal control over financial reporting as of December 31, 2018. Their report appears on page F-3 of this Annual Report on Form 10-K.</w:t>
      </w:r>
    </w:p>
    <w:p>
      <w:pPr>
        <w:sectPr>
          <w:pgSz w:w="11900" w:h="16838" w:orient="portrait"/>
          <w:cols w:equalWidth="0" w:num="1">
            <w:col w:w="11420"/>
          </w:cols>
          <w:pgMar w:left="240" w:top="22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Adam S. Grossman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Brian Lenz</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200" w:lineRule="exact"/>
        <w:rPr>
          <w:sz w:val="20"/>
          <w:szCs w:val="20"/>
          <w:color w:val="auto"/>
        </w:rPr>
      </w:pPr>
    </w:p>
    <w:p>
      <w:pPr>
        <w:sectPr>
          <w:pgSz w:w="11900" w:h="16838" w:orient="portrait"/>
          <w:cols w:equalWidth="0" w:num="2">
            <w:col w:w="6140" w:space="720"/>
            <w:col w:w="4560"/>
          </w:cols>
          <w:pgMar w:left="240" w:top="229" w:right="239" w:bottom="1440" w:gutter="0" w:footer="0" w:header="0"/>
          <w:type w:val="continuous"/>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71" w:name="page72"/>
    <w:bookmarkEnd w:id="71"/>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ADMA Biologics,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ADMA Biologics, Inc. and subsidiaries’ internal control over financial reporting as of December 31, 2018, based on criteria established in </w:t>
      </w:r>
      <w:r>
        <w:rPr>
          <w:rFonts w:ascii="Arial" w:cs="Arial" w:eastAsia="Arial" w:hAnsi="Arial"/>
          <w:sz w:val="17"/>
          <w:szCs w:val="17"/>
          <w:i w:val="1"/>
          <w:iCs w:val="1"/>
          <w:color w:val="auto"/>
        </w:rPr>
        <w:t xml:space="preserve">Internal Control-Integrated Framework (2013) </w:t>
      </w:r>
      <w:r>
        <w:rPr>
          <w:rFonts w:ascii="Arial" w:cs="Arial" w:eastAsia="Arial" w:hAnsi="Arial"/>
          <w:sz w:val="17"/>
          <w:szCs w:val="17"/>
          <w:color w:val="auto"/>
        </w:rPr>
        <w:t>issued by the Committee of Sponsoring Organizations of the Treadway Commission (“COSO”). In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opinion, ADMA Biologics, Inc. and subsidiaries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“PCAOB”), the consolidated balance sheets as of December 31, 2018 and 2017, and the related statements of operations, stockholders’ equity(deficit), and cash flows for the years then ended of the Company, and the related notes, and our report, which includes an explanatory paragraph relating to the Company’s ability to continue as a going concern, dated March 13, 2019,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2" w:name="page73"/>
    <w:bookmarkEnd w:id="72"/>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ADMA Biologics,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ADMA Biologics, Inc. and subsidiaries (the “Company”) as of December 31, 2018 and 2017, and the related consolidated statements of operations, changes in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and our report dated March 13, 2019, expressed an unqualified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further discussed in Note 1 to the accompanying consolidated financial statements, management believes that the Company will continue to incur net losses and negative net cash flows from operating activities through the drug development, approval and commercialization preparation process. These conditions raise substantial doubt about the Company’s ability to continue as a going concern.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3" w:name="page74"/>
    <w:bookmarkEnd w:id="73"/>
    <w:p>
      <w:pPr>
        <w:ind w:left="10400"/>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40" w:right="1600"/>
        <w:spacing w:after="0" w:line="281" w:lineRule="auto"/>
        <w:rPr>
          <w:sz w:val="20"/>
          <w:szCs w:val="20"/>
          <w:color w:val="auto"/>
        </w:rPr>
      </w:pPr>
      <w:r>
        <w:rPr>
          <w:rFonts w:ascii="Arial" w:cs="Arial" w:eastAsia="Arial" w:hAnsi="Arial"/>
          <w:sz w:val="16"/>
          <w:szCs w:val="16"/>
          <w:color w:val="auto"/>
        </w:rPr>
        <w:t>Cash and cash equivalents Accounts receivable, net Inventories</w:t>
      </w:r>
    </w:p>
    <w:p>
      <w:pPr>
        <w:spacing w:after="0" w:line="2" w:lineRule="exact"/>
        <w:rPr>
          <w:sz w:val="20"/>
          <w:szCs w:val="20"/>
          <w:color w:val="auto"/>
        </w:rPr>
      </w:pPr>
    </w:p>
    <w:p>
      <w:pPr>
        <w:ind w:left="140" w:right="520"/>
        <w:spacing w:after="0" w:line="257" w:lineRule="auto"/>
        <w:rPr>
          <w:sz w:val="20"/>
          <w:szCs w:val="20"/>
          <w:color w:val="auto"/>
        </w:rPr>
      </w:pPr>
      <w:r>
        <w:rPr>
          <w:rFonts w:ascii="Arial" w:cs="Arial" w:eastAsia="Arial" w:hAnsi="Arial"/>
          <w:sz w:val="18"/>
          <w:szCs w:val="18"/>
          <w:color w:val="auto"/>
        </w:rPr>
        <w:t>Prepaid expenses and other current assets Restricted cash</w:t>
      </w:r>
    </w:p>
    <w:p>
      <w:pPr>
        <w:spacing w:after="0" w:line="2" w:lineRule="exact"/>
        <w:rPr>
          <w:sz w:val="20"/>
          <w:szCs w:val="20"/>
          <w:color w:val="auto"/>
        </w:rPr>
      </w:pPr>
    </w:p>
    <w:p>
      <w:pPr>
        <w:ind w:right="1600" w:firstLine="454"/>
        <w:spacing w:after="0" w:line="254" w:lineRule="auto"/>
        <w:rPr>
          <w:sz w:val="20"/>
          <w:szCs w:val="20"/>
          <w:color w:val="auto"/>
        </w:rPr>
      </w:pPr>
      <w:r>
        <w:rPr>
          <w:rFonts w:ascii="Arial" w:cs="Arial" w:eastAsia="Arial" w:hAnsi="Arial"/>
          <w:sz w:val="18"/>
          <w:szCs w:val="18"/>
          <w:color w:val="auto"/>
        </w:rPr>
        <w:t>Total current assets Property and equipment, net Intangible assets, net Goodwill</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Assets to be transferred under purchase agreement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Deposits and 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December 31, 2018 and 2017</w:t>
      </w:r>
    </w:p>
    <w:p>
      <w:pPr>
        <w:spacing w:after="0" w:line="207" w:lineRule="exact"/>
        <w:rPr>
          <w:sz w:val="20"/>
          <w:szCs w:val="20"/>
          <w:color w:val="auto"/>
        </w:rPr>
      </w:pPr>
    </w:p>
    <w:tbl>
      <w:tblPr>
        <w:tblLayout w:type="fixed"/>
        <w:tblInd w:w="446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627"/>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22,754,852</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43,107,574</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1,392,441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3,880,154</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18,616,169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12,628,181</w:t>
            </w:r>
          </w:p>
        </w:tc>
      </w:tr>
      <w:tr>
        <w:trPr>
          <w:trHeight w:val="230"/>
        </w:trPr>
        <w:tc>
          <w:tcPr>
            <w:tcW w:w="1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1,766,163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1,225,654</w:t>
            </w:r>
          </w:p>
        </w:tc>
      </w:tr>
      <w:tr>
        <w:trPr>
          <w:trHeight w:val="230"/>
        </w:trPr>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1,500,000</w:t>
            </w:r>
          </w:p>
        </w:tc>
      </w:tr>
      <w:tr>
        <w:trPr>
          <w:trHeight w:val="195"/>
        </w:trPr>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44,529,625</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62,341,563</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30,115,730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30,466,858</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4,004,412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4,849,350</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3,529,509</w:t>
            </w:r>
          </w:p>
        </w:tc>
      </w:tr>
      <w:tr>
        <w:trPr>
          <w:trHeight w:val="216"/>
        </w:trPr>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1,153,508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1,496,410</w:t>
            </w:r>
          </w:p>
        </w:tc>
      </w:tr>
      <w:tr>
        <w:trPr>
          <w:trHeight w:val="230"/>
        </w:trPr>
        <w:tc>
          <w:tcPr>
            <w:tcW w:w="1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4,000,000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4,000,000</w:t>
            </w:r>
          </w:p>
        </w:tc>
      </w:tr>
      <w:tr>
        <w:trPr>
          <w:trHeight w:val="230"/>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1,543,737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1,335,143</w:t>
            </w:r>
          </w:p>
        </w:tc>
      </w:tr>
      <w:tr>
        <w:trPr>
          <w:trHeight w:val="223"/>
        </w:trPr>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88,876,521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108,018,833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-2134870</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-1851660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-1577340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-1303020</wp:posOffset>
            </wp:positionV>
            <wp:extent cx="72466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-1011555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-736600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-462280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-179705</wp:posOffset>
            </wp:positionV>
            <wp:extent cx="72466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140"/>
            <w:col w:w="7640"/>
          </w:cols>
          <w:pgMar w:left="240" w:top="229"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5,900,394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3,551,835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3,376,476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deferred revenue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capital lease obligation</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29,983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9,625,046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Notes payable, net of discount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26,440,830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25,368,458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End of term liability, notes payable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2,404,365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Note payable - related party, net of discount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14,874,184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14,842,396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Obligation to transfer assets under purchase agreement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12,621,844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12,621,844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119,080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260,734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69,106,083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67,686,076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8"/>
              </w:rPr>
              <w:t>Preferred Stock, $0.0001 par value, 10,000,000 shares authorized, no shares issued and outstanding</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 voting, $0.0001 par value, 75,000,000 shares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authorized, 46,353,068 and 36,725,499 shares issued and outstanding</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rPr>
              <w:t>Common Stock - non-voting, $0.0001 par value, 8,591,160 shares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20"/>
              <w:spacing w:after="0"/>
              <w:rPr>
                <w:sz w:val="20"/>
                <w:szCs w:val="20"/>
                <w:color w:val="auto"/>
              </w:rPr>
            </w:pPr>
            <w:r>
              <w:rPr>
                <w:rFonts w:ascii="Arial" w:cs="Arial" w:eastAsia="Arial" w:hAnsi="Arial"/>
                <w:sz w:val="18"/>
                <w:szCs w:val="18"/>
                <w:color w:val="auto"/>
              </w:rPr>
              <w:t>authorized, 0 and 8,591,160 shares issued and outstanding</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236,203,041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191,022,018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(216,437,238)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(150,693,793)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19,770,438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40,332,757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88,876,521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108,018,833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rPr>
              <w:t>ADMA BIOLOGICS, INC. AND SUBSIDIARIES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Years Ended December 31, 2018 and 2017</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9"/>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16,842,456</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15,617,726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16,985,290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22,760,560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42,194,635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29,164,321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3,926,120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Plasma center operating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7,805,619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6,503,750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impairment charge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844,938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1,234,674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22,502,922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18,752,393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77,274,234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62,070,556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(60,288,944)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(39,309,996)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195,403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(5,522,783)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(3,285,847)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(127,121)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Other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(5,454,501)</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(4,448,979)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(65,743,445)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(43,758,975)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tcPr>
          <w:p>
            <w:pPr>
              <w:ind w:left="120"/>
              <w:spacing w:after="0"/>
              <w:rPr>
                <w:sz w:val="20"/>
                <w:szCs w:val="20"/>
                <w:color w:val="auto"/>
              </w:rPr>
            </w:pPr>
            <w:r>
              <w:rPr>
                <w:rFonts w:ascii="Arial" w:cs="Arial" w:eastAsia="Arial" w:hAnsi="Arial"/>
                <w:sz w:val="18"/>
                <w:szCs w:val="18"/>
                <w:b w:val="1"/>
                <w:bCs w:val="1"/>
                <w:color w:val="auto"/>
              </w:rPr>
              <w:t>Basic and Diluted</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45,188,899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22,896,042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0000EE"/>
            </w:tcBorders>
            <w:gridSpan w:val="2"/>
          </w:tcPr>
          <w:p>
            <w:pPr>
              <w:jc w:val="center"/>
              <w:spacing w:after="0"/>
              <w:rPr>
                <w:rFonts w:ascii="Arial" w:cs="Arial" w:eastAsia="Arial" w:hAnsi="Arial"/>
                <w:sz w:val="14"/>
                <w:szCs w:val="14"/>
                <w:i w:val="1"/>
                <w:iCs w:val="1"/>
                <w:color w:val="0000EE"/>
                <w:w w:val="92"/>
              </w:rPr>
            </w:pPr>
            <w:hyperlink w:anchor="page3">
              <w:r>
                <w:rPr>
                  <w:rFonts w:ascii="Arial" w:cs="Arial" w:eastAsia="Arial" w:hAnsi="Arial"/>
                  <w:sz w:val="14"/>
                  <w:szCs w:val="14"/>
                  <w:i w:val="1"/>
                  <w:iCs w:val="1"/>
                  <w:color w:val="0000EE"/>
                  <w:w w:val="92"/>
                </w:rPr>
                <w:t>Table of Contents</w:t>
              </w:r>
            </w:hyperlink>
          </w:p>
        </w:tc>
      </w:tr>
      <w:tr>
        <w:trPr>
          <w:trHeight w:val="515"/>
        </w:trPr>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gridSpan w:val="9"/>
          </w:tcPr>
          <w:p>
            <w:pPr>
              <w:jc w:val="center"/>
              <w:ind w:left="42"/>
              <w:spacing w:after="0"/>
              <w:rPr>
                <w:sz w:val="20"/>
                <w:szCs w:val="20"/>
                <w:color w:val="auto"/>
              </w:rPr>
            </w:pPr>
            <w:r>
              <w:rPr>
                <w:rFonts w:ascii="Arial" w:cs="Arial" w:eastAsia="Arial" w:hAnsi="Arial"/>
                <w:sz w:val="18"/>
                <w:szCs w:val="18"/>
                <w:b w:val="1"/>
                <w:bCs w:val="1"/>
                <w:color w:val="auto"/>
              </w:rPr>
              <w:t>ADMA BIOLOGICS, INC. AND SUBSIDIARIES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8440" w:type="dxa"/>
            <w:vAlign w:val="bottom"/>
            <w:gridSpan w:val="18"/>
          </w:tcPr>
          <w:p>
            <w:pPr>
              <w:jc w:val="center"/>
              <w:ind w:right="900"/>
              <w:spacing w:after="0"/>
              <w:rPr>
                <w:sz w:val="20"/>
                <w:szCs w:val="20"/>
                <w:color w:val="auto"/>
              </w:rPr>
            </w:pPr>
            <w:r>
              <w:rPr>
                <w:rFonts w:ascii="Arial" w:cs="Arial" w:eastAsia="Arial" w:hAnsi="Arial"/>
                <w:sz w:val="18"/>
                <w:szCs w:val="18"/>
                <w:b w:val="1"/>
                <w:bCs w:val="1"/>
                <w:color w:val="auto"/>
              </w:rPr>
              <w:t>CONSOLIDATED STATEMENTS OF CHANGES IN STOCKHOLDERS’ EQUITY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7"/>
          </w:tcPr>
          <w:p>
            <w:pPr>
              <w:jc w:val="center"/>
              <w:ind w:left="362"/>
              <w:spacing w:after="0"/>
              <w:rPr>
                <w:sz w:val="20"/>
                <w:szCs w:val="20"/>
                <w:color w:val="auto"/>
              </w:rPr>
            </w:pPr>
            <w:r>
              <w:rPr>
                <w:rFonts w:ascii="Arial" w:cs="Arial" w:eastAsia="Arial" w:hAnsi="Arial"/>
                <w:sz w:val="18"/>
                <w:szCs w:val="18"/>
                <w:b w:val="1"/>
                <w:bCs w:val="1"/>
                <w:color w:val="auto"/>
                <w:w w:val="89"/>
              </w:rPr>
              <w:t>Years Ended December 31, 2018 and 2017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723"/>
              <w:spacing w:after="0"/>
              <w:rPr>
                <w:sz w:val="20"/>
                <w:szCs w:val="20"/>
                <w:color w:val="auto"/>
              </w:rPr>
            </w:pPr>
            <w:r>
              <w:rPr>
                <w:rFonts w:ascii="Arial" w:cs="Arial" w:eastAsia="Arial" w:hAnsi="Arial"/>
                <w:sz w:val="15"/>
                <w:szCs w:val="15"/>
                <w:b w:val="1"/>
                <w:bCs w:val="1"/>
                <w:color w:val="auto"/>
              </w:rPr>
              <w:t>Common Stock</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5"/>
              </w:rPr>
              <w:t>Additional</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83"/>
              <w:spacing w:after="0"/>
              <w:rPr>
                <w:sz w:val="20"/>
                <w:szCs w:val="20"/>
                <w:color w:val="auto"/>
              </w:rPr>
            </w:pPr>
            <w:r>
              <w:rPr>
                <w:rFonts w:ascii="Arial" w:cs="Arial" w:eastAsia="Arial" w:hAnsi="Arial"/>
                <w:sz w:val="15"/>
                <w:szCs w:val="15"/>
                <w:b w:val="1"/>
                <w:bCs w:val="1"/>
                <w:color w:val="auto"/>
                <w:w w:val="89"/>
              </w:rPr>
              <w:t>Total</w:t>
            </w:r>
          </w:p>
        </w:tc>
      </w:tr>
      <w:tr>
        <w:trPr>
          <w:trHeight w:val="152"/>
        </w:trPr>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ind w:right="23"/>
              <w:spacing w:after="0" w:line="152" w:lineRule="exact"/>
              <w:rPr>
                <w:sz w:val="20"/>
                <w:szCs w:val="20"/>
                <w:color w:val="auto"/>
              </w:rPr>
            </w:pPr>
            <w:r>
              <w:rPr>
                <w:rFonts w:ascii="Arial" w:cs="Arial" w:eastAsia="Arial" w:hAnsi="Arial"/>
                <w:sz w:val="15"/>
                <w:szCs w:val="15"/>
                <w:b w:val="1"/>
                <w:bCs w:val="1"/>
                <w:color w:val="auto"/>
              </w:rPr>
              <w:t>Voting</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3"/>
          </w:tcPr>
          <w:p>
            <w:pPr>
              <w:jc w:val="right"/>
              <w:spacing w:after="0" w:line="152" w:lineRule="exact"/>
              <w:rPr>
                <w:sz w:val="20"/>
                <w:szCs w:val="20"/>
                <w:color w:val="auto"/>
              </w:rPr>
            </w:pPr>
            <w:r>
              <w:rPr>
                <w:rFonts w:ascii="Arial" w:cs="Arial" w:eastAsia="Arial" w:hAnsi="Arial"/>
                <w:sz w:val="15"/>
                <w:szCs w:val="15"/>
                <w:b w:val="1"/>
                <w:bCs w:val="1"/>
                <w:color w:val="auto"/>
              </w:rPr>
              <w:t>Non-Voting</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400"/>
              <w:spacing w:after="0" w:line="152" w:lineRule="exact"/>
              <w:rPr>
                <w:sz w:val="20"/>
                <w:szCs w:val="20"/>
                <w:color w:val="auto"/>
              </w:rPr>
            </w:pPr>
            <w:r>
              <w:rPr>
                <w:rFonts w:ascii="Arial" w:cs="Arial" w:eastAsia="Arial" w:hAnsi="Arial"/>
                <w:sz w:val="15"/>
                <w:szCs w:val="15"/>
                <w:b w:val="1"/>
                <w:bCs w:val="1"/>
                <w:color w:val="auto"/>
                <w:w w:val="95"/>
              </w:rPr>
              <w:t>Paid-in</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2" w:lineRule="exact"/>
              <w:rPr>
                <w:sz w:val="20"/>
                <w:szCs w:val="20"/>
                <w:color w:val="auto"/>
              </w:rPr>
            </w:pPr>
            <w:r>
              <w:rPr>
                <w:rFonts w:ascii="Arial" w:cs="Arial" w:eastAsia="Arial" w:hAnsi="Arial"/>
                <w:sz w:val="15"/>
                <w:szCs w:val="15"/>
                <w:b w:val="1"/>
                <w:bCs w:val="1"/>
                <w:color w:val="auto"/>
                <w:w w:val="93"/>
              </w:rPr>
              <w:t>Accumulated</w:t>
            </w:r>
          </w:p>
        </w:tc>
        <w:tc>
          <w:tcPr>
            <w:tcW w:w="20" w:type="dxa"/>
            <w:vAlign w:val="bottom"/>
          </w:tcPr>
          <w:p>
            <w:pPr>
              <w:spacing w:after="0"/>
              <w:rPr>
                <w:sz w:val="13"/>
                <w:szCs w:val="13"/>
                <w:color w:val="auto"/>
              </w:rPr>
            </w:pPr>
          </w:p>
        </w:tc>
        <w:tc>
          <w:tcPr>
            <w:tcW w:w="1020" w:type="dxa"/>
            <w:vAlign w:val="bottom"/>
            <w:gridSpan w:val="2"/>
          </w:tcPr>
          <w:p>
            <w:pPr>
              <w:jc w:val="center"/>
              <w:spacing w:after="0" w:line="152" w:lineRule="exact"/>
              <w:rPr>
                <w:sz w:val="20"/>
                <w:szCs w:val="20"/>
                <w:color w:val="auto"/>
              </w:rPr>
            </w:pPr>
            <w:r>
              <w:rPr>
                <w:rFonts w:ascii="Arial" w:cs="Arial" w:eastAsia="Arial" w:hAnsi="Arial"/>
                <w:sz w:val="15"/>
                <w:szCs w:val="15"/>
                <w:b w:val="1"/>
                <w:bCs w:val="1"/>
                <w:color w:val="auto"/>
                <w:w w:val="89"/>
              </w:rPr>
              <w:t>Stockholders'</w:t>
            </w:r>
          </w:p>
        </w:tc>
      </w:tr>
      <w:tr>
        <w:trPr>
          <w:trHeight w:val="179"/>
        </w:trPr>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5"/>
                <w:szCs w:val="15"/>
                <w:b w:val="1"/>
                <w:bCs w:val="1"/>
                <w:color w:val="auto"/>
              </w:rPr>
              <w:t>Amount</w:t>
            </w:r>
          </w:p>
        </w:tc>
        <w:tc>
          <w:tcPr>
            <w:tcW w:w="1260" w:type="dxa"/>
            <w:vAlign w:val="bottom"/>
          </w:tcPr>
          <w:p>
            <w:pPr>
              <w:jc w:val="right"/>
              <w:ind w:right="343"/>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Capital</w:t>
            </w:r>
          </w:p>
        </w:tc>
        <w:tc>
          <w:tcPr>
            <w:tcW w:w="16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Deficit</w:t>
            </w:r>
          </w:p>
        </w:tc>
        <w:tc>
          <w:tcPr>
            <w:tcW w:w="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4"/>
              </w:rPr>
              <w:t>Equity (Deficit)</w:t>
            </w:r>
          </w:p>
        </w:tc>
      </w:tr>
      <w:tr>
        <w:trPr>
          <w:trHeight w:val="156"/>
        </w:trPr>
        <w:tc>
          <w:tcPr>
            <w:tcW w:w="19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w w:val="92"/>
              </w:rPr>
              <w:t>Balance at December 31, 2016</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12,886,741</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2"/>
              <w:spacing w:after="0" w:line="156" w:lineRule="exact"/>
              <w:rPr>
                <w:sz w:val="20"/>
                <w:szCs w:val="20"/>
                <w:color w:val="auto"/>
              </w:rPr>
            </w:pPr>
            <w:r>
              <w:rPr>
                <w:rFonts w:ascii="Arial" w:cs="Arial" w:eastAsia="Arial" w:hAnsi="Arial"/>
                <w:sz w:val="15"/>
                <w:szCs w:val="15"/>
                <w:color w:val="auto"/>
              </w:rPr>
              <w:t>1,289</w:t>
            </w:r>
          </w:p>
        </w:tc>
        <w:tc>
          <w:tcPr>
            <w:tcW w:w="16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rPr>
              <w:t>102,476,267</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(106,934,818)</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(4,457,262)</w:t>
            </w:r>
          </w:p>
        </w:tc>
      </w:tr>
      <w:tr>
        <w:trPr>
          <w:trHeight w:val="162"/>
        </w:trPr>
        <w:tc>
          <w:tcPr>
            <w:tcW w:w="1940" w:type="dxa"/>
            <w:vAlign w:val="bottom"/>
          </w:tcPr>
          <w:p>
            <w:pPr>
              <w:spacing w:after="0" w:line="162" w:lineRule="exact"/>
              <w:rPr>
                <w:sz w:val="20"/>
                <w:szCs w:val="20"/>
                <w:color w:val="auto"/>
              </w:rPr>
            </w:pPr>
            <w:r>
              <w:rPr>
                <w:rFonts w:ascii="Arial" w:cs="Arial" w:eastAsia="Arial" w:hAnsi="Arial"/>
                <w:sz w:val="15"/>
                <w:szCs w:val="15"/>
                <w:color w:val="auto"/>
              </w:rPr>
              <w:t>Stock-based compensation</w:t>
            </w:r>
          </w:p>
        </w:tc>
        <w:tc>
          <w:tcPr>
            <w:tcW w:w="100" w:type="dxa"/>
            <w:vAlign w:val="bottom"/>
          </w:tcPr>
          <w:p>
            <w:pPr>
              <w:spacing w:after="0"/>
              <w:rPr>
                <w:sz w:val="14"/>
                <w:szCs w:val="14"/>
                <w:color w:val="auto"/>
              </w:rPr>
            </w:pPr>
          </w:p>
        </w:tc>
        <w:tc>
          <w:tcPr>
            <w:tcW w:w="13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1,561,659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1,561,659</w:t>
            </w: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Shares issued in connection</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5"/>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with acquisition</w:t>
            </w:r>
          </w:p>
        </w:tc>
        <w:tc>
          <w:tcPr>
            <w:tcW w:w="13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4,295,580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430</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8,591,160</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859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47,164,179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47,165,468</w:t>
            </w: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5"/>
                <w:szCs w:val="15"/>
                <w:color w:val="auto"/>
                <w:w w:val="95"/>
              </w:rPr>
              <w:t>Warrants issued in connection</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5"/>
        </w:trPr>
        <w:tc>
          <w:tcPr>
            <w:tcW w:w="1940" w:type="dxa"/>
            <w:vAlign w:val="bottom"/>
          </w:tcPr>
          <w:p>
            <w:pPr>
              <w:spacing w:after="0"/>
              <w:rPr>
                <w:sz w:val="20"/>
                <w:szCs w:val="20"/>
                <w:color w:val="auto"/>
              </w:rPr>
            </w:pPr>
            <w:r>
              <w:rPr>
                <w:rFonts w:ascii="Arial" w:cs="Arial" w:eastAsia="Arial" w:hAnsi="Arial"/>
                <w:sz w:val="15"/>
                <w:szCs w:val="15"/>
                <w:color w:val="auto"/>
              </w:rPr>
              <w:t>with note payable</w:t>
            </w:r>
          </w:p>
        </w:tc>
        <w:tc>
          <w:tcPr>
            <w:tcW w:w="10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614,513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614,513</w:t>
            </w: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2"/>
              </w:rPr>
              <w:t>Issuance of common stock, net</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5"/>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of offering expenses</w:t>
            </w:r>
          </w:p>
        </w:tc>
        <w:tc>
          <w:tcPr>
            <w:tcW w:w="13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19,523,255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1,952</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39,197,898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39,199,850</w:t>
            </w:r>
          </w:p>
        </w:tc>
      </w:tr>
      <w:tr>
        <w:trPr>
          <w:trHeight w:val="162"/>
        </w:trPr>
        <w:tc>
          <w:tcPr>
            <w:tcW w:w="1940" w:type="dxa"/>
            <w:vAlign w:val="bottom"/>
          </w:tcPr>
          <w:p>
            <w:pPr>
              <w:spacing w:after="0" w:line="162" w:lineRule="exact"/>
              <w:rPr>
                <w:sz w:val="20"/>
                <w:szCs w:val="20"/>
                <w:color w:val="auto"/>
              </w:rPr>
            </w:pPr>
            <w:r>
              <w:rPr>
                <w:rFonts w:ascii="Arial" w:cs="Arial" w:eastAsia="Arial" w:hAnsi="Arial"/>
                <w:sz w:val="15"/>
                <w:szCs w:val="15"/>
                <w:color w:val="auto"/>
              </w:rPr>
              <w:t>Stock options exercised</w:t>
            </w:r>
          </w:p>
        </w:tc>
        <w:tc>
          <w:tcPr>
            <w:tcW w:w="130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19,923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
              <w:spacing w:after="0" w:line="162" w:lineRule="exact"/>
              <w:rPr>
                <w:sz w:val="20"/>
                <w:szCs w:val="20"/>
                <w:color w:val="auto"/>
              </w:rPr>
            </w:pPr>
            <w:r>
              <w:rPr>
                <w:rFonts w:ascii="Arial" w:cs="Arial" w:eastAsia="Arial" w:hAnsi="Arial"/>
                <w:sz w:val="15"/>
                <w:szCs w:val="15"/>
                <w:color w:val="auto"/>
              </w:rPr>
              <w:t>2</w:t>
            </w:r>
          </w:p>
        </w:tc>
        <w:tc>
          <w:tcPr>
            <w:tcW w:w="160" w:type="dxa"/>
            <w:vAlign w:val="bottom"/>
          </w:tcPr>
          <w:p>
            <w:pPr>
              <w:spacing w:after="0"/>
              <w:rPr>
                <w:sz w:val="14"/>
                <w:szCs w:val="14"/>
                <w:color w:val="auto"/>
              </w:rPr>
            </w:pPr>
          </w:p>
        </w:tc>
        <w:tc>
          <w:tcPr>
            <w:tcW w:w="12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
              <w:spacing w:after="0" w:line="162" w:lineRule="exact"/>
              <w:rPr>
                <w:sz w:val="20"/>
                <w:szCs w:val="20"/>
                <w:color w:val="auto"/>
              </w:rPr>
            </w:pPr>
            <w:r>
              <w:rPr>
                <w:rFonts w:ascii="Arial" w:cs="Arial" w:eastAsia="Arial" w:hAnsi="Arial"/>
                <w:sz w:val="15"/>
                <w:szCs w:val="15"/>
                <w:color w:val="auto"/>
              </w:rPr>
              <w:t>7,502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7,504</w:t>
            </w:r>
          </w:p>
        </w:tc>
      </w:tr>
      <w:tr>
        <w:trPr>
          <w:trHeight w:val="176"/>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(43,758,975)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(43,758,975)</w:t>
            </w:r>
          </w:p>
        </w:tc>
      </w:tr>
      <w:tr>
        <w:trPr>
          <w:trHeight w:val="156"/>
        </w:trPr>
        <w:tc>
          <w:tcPr>
            <w:tcW w:w="1940" w:type="dxa"/>
            <w:vAlign w:val="bottom"/>
          </w:tcPr>
          <w:p>
            <w:pPr>
              <w:spacing w:after="0" w:line="156" w:lineRule="exact"/>
              <w:rPr>
                <w:sz w:val="20"/>
                <w:szCs w:val="20"/>
                <w:color w:val="auto"/>
              </w:rPr>
            </w:pPr>
            <w:r>
              <w:rPr>
                <w:rFonts w:ascii="Arial" w:cs="Arial" w:eastAsia="Arial" w:hAnsi="Arial"/>
                <w:sz w:val="15"/>
                <w:szCs w:val="15"/>
                <w:color w:val="auto"/>
                <w:w w:val="92"/>
              </w:rPr>
              <w:t>Balance at December 31, 2017</w:t>
            </w:r>
          </w:p>
        </w:tc>
        <w:tc>
          <w:tcPr>
            <w:tcW w:w="100" w:type="dxa"/>
            <w:vAlign w:val="bottom"/>
          </w:tcPr>
          <w:p>
            <w:pPr>
              <w:spacing w:after="0"/>
              <w:rPr>
                <w:sz w:val="13"/>
                <w:szCs w:val="13"/>
                <w:color w:val="auto"/>
              </w:rPr>
            </w:pPr>
          </w:p>
        </w:tc>
        <w:tc>
          <w:tcPr>
            <w:tcW w:w="1200" w:type="dxa"/>
            <w:vAlign w:val="bottom"/>
            <w:tcBorders>
              <w:top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36,725,499</w:t>
            </w: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
              <w:spacing w:after="0" w:line="156" w:lineRule="exact"/>
              <w:rPr>
                <w:sz w:val="20"/>
                <w:szCs w:val="20"/>
                <w:color w:val="auto"/>
              </w:rPr>
            </w:pPr>
            <w:r>
              <w:rPr>
                <w:rFonts w:ascii="Arial" w:cs="Arial" w:eastAsia="Arial" w:hAnsi="Arial"/>
                <w:sz w:val="15"/>
                <w:szCs w:val="15"/>
                <w:color w:val="auto"/>
              </w:rPr>
              <w:t>3,673</w:t>
            </w:r>
          </w:p>
        </w:tc>
        <w:tc>
          <w:tcPr>
            <w:tcW w:w="160" w:type="dxa"/>
            <w:vAlign w:val="bottom"/>
          </w:tcPr>
          <w:p>
            <w:pPr>
              <w:spacing w:after="0"/>
              <w:rPr>
                <w:sz w:val="13"/>
                <w:szCs w:val="13"/>
                <w:color w:val="auto"/>
              </w:rPr>
            </w:pPr>
          </w:p>
        </w:tc>
        <w:tc>
          <w:tcPr>
            <w:tcW w:w="1260" w:type="dxa"/>
            <w:vAlign w:val="bottom"/>
            <w:tcBorders>
              <w:top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8,591,160</w:t>
            </w: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859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191,022,018</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(150,693,793)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40,332,757</w:t>
            </w:r>
          </w:p>
        </w:tc>
      </w:tr>
      <w:tr>
        <w:trPr>
          <w:trHeight w:val="162"/>
        </w:trPr>
        <w:tc>
          <w:tcPr>
            <w:tcW w:w="19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2,223,288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2,223,288</w:t>
            </w: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5"/>
                <w:szCs w:val="15"/>
                <w:color w:val="auto"/>
                <w:w w:val="92"/>
              </w:rPr>
              <w:t>Issuance of common stock, net</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5"/>
        </w:trPr>
        <w:tc>
          <w:tcPr>
            <w:tcW w:w="1940" w:type="dxa"/>
            <w:vAlign w:val="bottom"/>
          </w:tcPr>
          <w:p>
            <w:pPr>
              <w:spacing w:after="0"/>
              <w:rPr>
                <w:sz w:val="20"/>
                <w:szCs w:val="20"/>
                <w:color w:val="auto"/>
              </w:rPr>
            </w:pPr>
            <w:r>
              <w:rPr>
                <w:rFonts w:ascii="Arial" w:cs="Arial" w:eastAsia="Arial" w:hAnsi="Arial"/>
                <w:sz w:val="15"/>
                <w:szCs w:val="15"/>
                <w:color w:val="auto"/>
              </w:rPr>
              <w:t>of offering expenses</w:t>
            </w:r>
          </w:p>
        </w:tc>
        <w:tc>
          <w:tcPr>
            <w:tcW w:w="1300" w:type="dxa"/>
            <w:vAlign w:val="bottom"/>
            <w:gridSpan w:val="2"/>
          </w:tcPr>
          <w:p>
            <w:pPr>
              <w:jc w:val="right"/>
              <w:ind w:right="23"/>
              <w:spacing w:after="0"/>
              <w:rPr>
                <w:sz w:val="20"/>
                <w:szCs w:val="20"/>
                <w:color w:val="auto"/>
              </w:rPr>
            </w:pPr>
            <w:r>
              <w:rPr>
                <w:rFonts w:ascii="Arial" w:cs="Arial" w:eastAsia="Arial" w:hAnsi="Arial"/>
                <w:sz w:val="15"/>
                <w:szCs w:val="15"/>
                <w:color w:val="auto"/>
              </w:rPr>
              <w:t>9,623,430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
              <w:spacing w:after="0"/>
              <w:rPr>
                <w:sz w:val="20"/>
                <w:szCs w:val="20"/>
                <w:color w:val="auto"/>
              </w:rPr>
            </w:pPr>
            <w:r>
              <w:rPr>
                <w:rFonts w:ascii="Arial" w:cs="Arial" w:eastAsia="Arial" w:hAnsi="Arial"/>
                <w:sz w:val="15"/>
                <w:szCs w:val="15"/>
                <w:color w:val="auto"/>
              </w:rPr>
              <w:t>962</w:t>
            </w:r>
          </w:p>
        </w:tc>
        <w:tc>
          <w:tcPr>
            <w:tcW w:w="160" w:type="dxa"/>
            <w:vAlign w:val="bottom"/>
          </w:tcPr>
          <w:p>
            <w:pPr>
              <w:spacing w:after="0"/>
              <w:rPr>
                <w:sz w:val="15"/>
                <w:szCs w:val="15"/>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42,943,869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42,944,831</w:t>
            </w:r>
          </w:p>
        </w:tc>
      </w:tr>
      <w:tr>
        <w:trPr>
          <w:trHeight w:val="162"/>
        </w:trPr>
        <w:tc>
          <w:tcPr>
            <w:tcW w:w="19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 options exercised</w:t>
            </w:r>
          </w:p>
        </w:tc>
        <w:tc>
          <w:tcPr>
            <w:tcW w:w="1300" w:type="dxa"/>
            <w:vAlign w:val="bottom"/>
            <w:gridSpan w:val="2"/>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4,139</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13,007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13,007</w:t>
            </w: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5"/>
                <w:szCs w:val="15"/>
                <w:color w:val="auto"/>
              </w:rPr>
              <w:t>Retirement of non-voting</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5"/>
        </w:trPr>
        <w:tc>
          <w:tcPr>
            <w:tcW w:w="1940" w:type="dxa"/>
            <w:vAlign w:val="bottom"/>
          </w:tcPr>
          <w:p>
            <w:pPr>
              <w:spacing w:after="0"/>
              <w:rPr>
                <w:sz w:val="20"/>
                <w:szCs w:val="20"/>
                <w:color w:val="auto"/>
              </w:rPr>
            </w:pPr>
            <w:r>
              <w:rPr>
                <w:rFonts w:ascii="Arial" w:cs="Arial" w:eastAsia="Arial" w:hAnsi="Arial"/>
                <w:sz w:val="15"/>
                <w:szCs w:val="15"/>
                <w:color w:val="auto"/>
              </w:rPr>
              <w:t>common stock</w:t>
            </w:r>
          </w:p>
        </w:tc>
        <w:tc>
          <w:tcPr>
            <w:tcW w:w="10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(8,591,160)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859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(65,743,445)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(65,743,445)</w:t>
            </w:r>
          </w:p>
        </w:tc>
      </w:tr>
      <w:tr>
        <w:trPr>
          <w:trHeight w:val="169"/>
        </w:trPr>
        <w:tc>
          <w:tcPr>
            <w:tcW w:w="1940" w:type="dxa"/>
            <w:vAlign w:val="bottom"/>
          </w:tcPr>
          <w:p>
            <w:pPr>
              <w:spacing w:after="0" w:line="169" w:lineRule="exact"/>
              <w:rPr>
                <w:sz w:val="20"/>
                <w:szCs w:val="20"/>
                <w:color w:val="auto"/>
              </w:rPr>
            </w:pPr>
            <w:r>
              <w:rPr>
                <w:rFonts w:ascii="Arial" w:cs="Arial" w:eastAsia="Arial" w:hAnsi="Arial"/>
                <w:sz w:val="15"/>
                <w:szCs w:val="15"/>
                <w:color w:val="auto"/>
                <w:w w:val="92"/>
              </w:rPr>
              <w:t>Balance at December 31, 2018</w:t>
            </w:r>
          </w:p>
        </w:tc>
        <w:tc>
          <w:tcPr>
            <w:tcW w:w="1300" w:type="dxa"/>
            <w:vAlign w:val="bottom"/>
            <w:gridSpan w:val="2"/>
          </w:tcPr>
          <w:p>
            <w:pPr>
              <w:jc w:val="right"/>
              <w:ind w:right="23"/>
              <w:spacing w:after="0" w:line="169" w:lineRule="exact"/>
              <w:rPr>
                <w:sz w:val="20"/>
                <w:szCs w:val="20"/>
                <w:color w:val="auto"/>
              </w:rPr>
            </w:pPr>
            <w:r>
              <w:rPr>
                <w:rFonts w:ascii="Arial" w:cs="Arial" w:eastAsia="Arial" w:hAnsi="Arial"/>
                <w:sz w:val="15"/>
                <w:szCs w:val="15"/>
                <w:color w:val="auto"/>
              </w:rPr>
              <w:t>46,353,068</w:t>
            </w:r>
          </w:p>
        </w:tc>
        <w:tc>
          <w:tcPr>
            <w:tcW w:w="140" w:type="dxa"/>
            <w:vAlign w:val="bottom"/>
          </w:tcPr>
          <w:p>
            <w:pPr>
              <w:spacing w:after="0"/>
              <w:rPr>
                <w:sz w:val="14"/>
                <w:szCs w:val="14"/>
                <w:color w:val="auto"/>
              </w:rPr>
            </w:pPr>
          </w:p>
        </w:tc>
        <w:tc>
          <w:tcPr>
            <w:tcW w:w="220" w:type="dxa"/>
            <w:vAlign w:val="bottom"/>
          </w:tcPr>
          <w:p>
            <w:pPr>
              <w:jc w:val="right"/>
              <w:ind w:right="63"/>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line="169" w:lineRule="exact"/>
              <w:rPr>
                <w:sz w:val="20"/>
                <w:szCs w:val="20"/>
                <w:color w:val="auto"/>
              </w:rPr>
            </w:pPr>
            <w:r>
              <w:rPr>
                <w:rFonts w:ascii="Arial" w:cs="Arial" w:eastAsia="Arial" w:hAnsi="Arial"/>
                <w:sz w:val="15"/>
                <w:szCs w:val="15"/>
                <w:color w:val="auto"/>
              </w:rPr>
              <w:t>4,635</w:t>
            </w:r>
          </w:p>
        </w:tc>
        <w:tc>
          <w:tcPr>
            <w:tcW w:w="160" w:type="dxa"/>
            <w:vAlign w:val="bottom"/>
          </w:tcPr>
          <w:p>
            <w:pPr>
              <w:spacing w:after="0"/>
              <w:rPr>
                <w:sz w:val="14"/>
                <w:szCs w:val="14"/>
                <w:color w:val="auto"/>
              </w:rPr>
            </w:pPr>
          </w:p>
        </w:tc>
        <w:tc>
          <w:tcPr>
            <w:tcW w:w="1260" w:type="dxa"/>
            <w:vAlign w:val="bottom"/>
          </w:tcPr>
          <w:p>
            <w:pPr>
              <w:jc w:val="right"/>
              <w:ind w:right="23"/>
              <w:spacing w:after="0" w:line="169"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71"/>
              <w:spacing w:after="0" w:line="169"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03"/>
              <w:spacing w:after="0" w:line="169"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3"/>
              <w:spacing w:after="0" w:line="169" w:lineRule="exact"/>
              <w:rPr>
                <w:sz w:val="20"/>
                <w:szCs w:val="20"/>
                <w:color w:val="auto"/>
              </w:rPr>
            </w:pPr>
            <w:r>
              <w:rPr>
                <w:rFonts w:ascii="Arial" w:cs="Arial" w:eastAsia="Arial" w:hAnsi="Arial"/>
                <w:sz w:val="15"/>
                <w:szCs w:val="15"/>
                <w:color w:val="auto"/>
              </w:rPr>
              <w:t>236,203,041</w:t>
            </w:r>
          </w:p>
        </w:tc>
        <w:tc>
          <w:tcPr>
            <w:tcW w:w="160" w:type="dxa"/>
            <w:vAlign w:val="bottom"/>
          </w:tcPr>
          <w:p>
            <w:pPr>
              <w:spacing w:after="0"/>
              <w:rPr>
                <w:sz w:val="14"/>
                <w:szCs w:val="14"/>
                <w:color w:val="auto"/>
              </w:rPr>
            </w:pPr>
          </w:p>
        </w:tc>
        <w:tc>
          <w:tcPr>
            <w:tcW w:w="160" w:type="dxa"/>
            <w:vAlign w:val="bottom"/>
          </w:tcPr>
          <w:p>
            <w:pPr>
              <w:jc w:val="right"/>
              <w:ind w:right="3"/>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(216,437,238)</w:t>
            </w:r>
          </w:p>
        </w:tc>
        <w:tc>
          <w:tcPr>
            <w:tcW w:w="160" w:type="dxa"/>
            <w:vAlign w:val="bottom"/>
          </w:tcPr>
          <w:p>
            <w:pPr>
              <w:spacing w:after="0"/>
              <w:rPr>
                <w:sz w:val="14"/>
                <w:szCs w:val="14"/>
                <w:color w:val="auto"/>
              </w:rPr>
            </w:pPr>
          </w:p>
        </w:tc>
        <w:tc>
          <w:tcPr>
            <w:tcW w:w="160" w:type="dxa"/>
            <w:vAlign w:val="bottom"/>
            <w:gridSpan w:val="2"/>
          </w:tcPr>
          <w:p>
            <w:pPr>
              <w:jc w:val="right"/>
              <w:ind w:right="11"/>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19,770,438</w:t>
            </w: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rPr>
              <w:t>ADMA BIOLOGICS, INC. AND SUBSIDIARIES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Years Ended December 31, 2018 and 2017</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w w:val="99"/>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(65,743,445)</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(43,758,975)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3,446,398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2,692,301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Loss on disposal of fixed assets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122,190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2,223,288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Asset impairment charge</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845,389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debt discount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1,104,161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1,021,216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license 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 net of acquisition:</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2,487,713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(5,987,988)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589,318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(540,509)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Deposits and other assets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(208,594)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2,812,066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406,984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614,483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174,434</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(62,678,682)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(37,271,774)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of short-term investments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5,390,184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(2,095,600)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(2,676,328)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acquired in acquisition transaction</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(2,095,600)</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15,213,856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notes payable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Payment of end of end of term fee</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offering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42,944,831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39,199,850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13,007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related party note payable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Proceeds from issuance of note payable</w:t>
            </w: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80"/>
              <w:spacing w:after="0"/>
              <w:rPr>
                <w:sz w:val="20"/>
                <w:szCs w:val="20"/>
                <w:color w:val="auto"/>
              </w:rPr>
            </w:pPr>
            <w:r>
              <w:rPr>
                <w:rFonts w:ascii="Arial" w:cs="Arial" w:eastAsia="Arial" w:hAnsi="Arial"/>
                <w:sz w:val="18"/>
                <w:szCs w:val="18"/>
                <w:color w:val="auto"/>
              </w:rPr>
              <w:t>Payments on capital lease obligations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leasehold improvement loan</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(19,697)</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42,921,560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60,750,625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1" w:right="239" w:bottom="1440" w:gutter="0" w:footer="0" w:header="0"/>
        </w:sectPr>
      </w:pPr>
    </w:p>
    <w:p>
      <w:pPr>
        <w:spacing w:after="0"/>
        <w:rPr>
          <w:sz w:val="20"/>
          <w:szCs w:val="20"/>
          <w:color w:val="auto"/>
        </w:rPr>
      </w:pPr>
      <w:r>
        <w:rPr>
          <w:rFonts w:ascii="Arial" w:cs="Arial" w:eastAsia="Arial" w:hAnsi="Arial"/>
          <w:sz w:val="18"/>
          <w:szCs w:val="18"/>
          <w:b w:val="1"/>
          <w:bCs w:val="1"/>
          <w:color w:val="auto"/>
        </w:rPr>
        <w:t>Net (decrease) increase in cash and cash equivalents</w:t>
      </w:r>
    </w:p>
    <w:p>
      <w:pPr>
        <w:spacing w:after="0" w:line="9" w:lineRule="exact"/>
        <w:rPr>
          <w:sz w:val="20"/>
          <w:szCs w:val="20"/>
          <w:color w:val="auto"/>
        </w:rPr>
      </w:pPr>
    </w:p>
    <w:p>
      <w:pPr>
        <w:ind w:right="2020"/>
        <w:spacing w:after="0" w:line="341" w:lineRule="auto"/>
        <w:rPr>
          <w:sz w:val="20"/>
          <w:szCs w:val="20"/>
          <w:color w:val="auto"/>
        </w:rPr>
      </w:pPr>
      <w:r>
        <w:rPr>
          <w:rFonts w:ascii="Arial" w:cs="Arial" w:eastAsia="Arial" w:hAnsi="Arial"/>
          <w:sz w:val="16"/>
          <w:szCs w:val="16"/>
          <w:b w:val="1"/>
          <w:bCs w:val="1"/>
          <w:color w:val="auto"/>
        </w:rPr>
        <w:t>Cash and cash equivalents, including restricted cash - beginning of year Cash and cash equivalents, including restricted 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(21,852,722)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38,692,707</w:t>
            </w:r>
          </w:p>
        </w:tc>
      </w:tr>
      <w:tr>
        <w:trPr>
          <w:trHeight w:val="230"/>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48,607,574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9,914,867</w:t>
            </w:r>
          </w:p>
        </w:tc>
      </w:tr>
      <w:tr>
        <w:trPr>
          <w:trHeight w:val="223"/>
        </w:trPr>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26,754,852</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48,607,574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7520" w:space="720"/>
            <w:col w:w="3180"/>
          </w:cols>
          <w:pgMar w:left="240" w:top="221"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1" w:right="239" w:bottom="1440" w:gutter="0" w:footer="0" w:header="0"/>
          <w:type w:val="continuous"/>
        </w:sectPr>
      </w:pPr>
    </w:p>
    <w:bookmarkStart w:id="77" w:name="page78"/>
    <w:bookmarkEnd w:id="7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0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ADMA Biologics, Inc. (“ADMA” or the “Company”) is a vertically integrated commercial biopharmaceutical and specialty immunoglobulin company that manufactures, markets and develops specialty plasma-derived biologics for the treatment of immune deficiencies and the prevention and treatment of certain infectious diseases. The Company’s targeted patient populations include immune-compromised individuals who suffer from an underlying immune deficiency disorder or who may be immune-suppressed for medical reasons. ADMA operates through its wholly-owned subsidiaries ADMA BioManufacturing, LLC (“ADMA BioManufacturing”) and ADMA Bio Centers Georgia Inc. (“ADMA Bio Centers”). ADMA BioManufacturing was formed in January 2017 to facilitate the acquisition of the Biotest Therapy Business Unit (“BTBU”) from Biotest Pharmaceuticals Corporation (“BPC” and, together with Biotest AG, “Biotest”) as more fully described below. ADMA Bio Centers is the Company’s source plasma collection business with, as of December 31, 2018, plasma collection facilities located in Norcross, GA, Marietta, GA and Kennesaw, GA, all of which hold approved licenses with the U.S. Food and Drug Administration (the “FDA”). Effective January 1, 2019, in connection with the Biotest Transaction defined below, the Company transferred its Norcross, GA and Marietta, GA plasma collection facilities to BPC (see Notes 3 and 17).</w:t>
      </w:r>
    </w:p>
    <w:p>
      <w:pPr>
        <w:spacing w:after="0" w:line="178" w:lineRule="exact"/>
        <w:rPr>
          <w:sz w:val="20"/>
          <w:szCs w:val="20"/>
          <w:color w:val="auto"/>
        </w:rPr>
      </w:pPr>
    </w:p>
    <w:p>
      <w:pPr>
        <w:ind w:right="440" w:firstLine="648"/>
        <w:spacing w:after="0" w:line="293" w:lineRule="auto"/>
        <w:rPr>
          <w:sz w:val="20"/>
          <w:szCs w:val="20"/>
          <w:color w:val="auto"/>
        </w:rPr>
      </w:pPr>
      <w:r>
        <w:rPr>
          <w:rFonts w:ascii="Arial" w:cs="Arial" w:eastAsia="Arial" w:hAnsi="Arial"/>
          <w:sz w:val="16"/>
          <w:szCs w:val="16"/>
          <w:color w:val="auto"/>
        </w:rPr>
        <w:t>As more fully discussed in Note 3, on June 6, 2017, ADMA completed the acquisition of certain assets (the “Biotest Assets”) of BTBU, which included two FDA-licensed products, Nabi-HB (Hepatitis B Immune Globulin, Human) and BIVIGAM (Immune Globulin Intravenous, Human), and a plasma fractionation manufacturing facility located in Boca Raton, FL (the “Boca Facility”) (the “Biotest Transaction”). In addition to Nabi-HB and BIVIGAM, the Company provides contract manufacturing services for certain clients and expects to generate revenues from the sale of intermediate by-products which result from the immunoglobulin production process. The Boca Facility is FDA-licensed and certified by the German Health Authority. Immediately following the closing of the Biotest Transaction, the Biotest Assets were contributed into ADMA BioManufacturing.</w:t>
      </w:r>
    </w:p>
    <w:p>
      <w:pPr>
        <w:spacing w:after="0" w:line="16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Nabi-HB is a hyperimmune globulin that is rich in antibodies to the Hepatitis B virus. Nabi-HB is indicated for the treatment of acute exposure to blood containing hepatitis B surface antigen (“HBsAg”), prenatal exposure to infants born to HBsAg-positive mothers, sexual exposure to HBsAg-positive persons and household exposure to persons with acute Hepatitis B virus infection. FDA approval for Nabi-HB was received on March 24, 1999. Under ADMA’s ownership, production of Nabi-HB resumed during the third quarter of 2017, resulting in ongoing commercial revenues.</w:t>
      </w:r>
    </w:p>
    <w:p>
      <w:pPr>
        <w:spacing w:after="0" w:line="15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BIVIGAM is an intravenous immune globulin indicated for the treatment of primary humoral immunodeficiency. FDA approval for BIVIGAM was received on December 19, 2012, and product sales commenced in the first quarter of 2013. In December 2016, Biotest temporarily suspended the commercial production of BIVIGAM in order to focus on the completion of planned improvements to the manufacturing process. ADMA resumed production of BIVIGAM during the fourth quarter of 2017. During the second half of 2018, the Company submitted a Prior Approval Supplement (the “PAS”) with the FDA for BIVIGAM to amend its FDA-approved Biologics License Application (“BLA”) which, once approved, would enable the Company to relaunch and commercialize this product in the U.S. Although the Company believes that the FDA is actively reviewing the PAS submission for BIVIGAM drug substance and the related documents that the Company has provided to the FDA subsequent to the original PAS submission, the Company cannot provide any assurance or predict with certainty the schedule for when the Company will, if at all, receive authorization from the FDA with respect to the PAS. In addition, the anticipated relaunch of BIVIGAM is dependent upon the timing of certain FDA decisions, production slots available with the Company’s contract fill/finish provider, approvals that may need to be obtained for product labeling as well as other commercial requirements and regulatory factors.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8" w:name="page79"/>
    <w:bookmarkEnd w:id="78"/>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Prior to the closing of the Biotest Transaction in June 2017, BTBU was the Company’s third-party manufacturer for its lead pipeline product candidate, RI-002, for the treatment of Primary Immune Deficiency Disease (“PIDD”). In the third quarter of 2015, the FDA accepted for review the Company’s BLA for RI-002 (the “RI-002 BLA”) for the treatment of PIDD. In July 2016, the FDA issued a Complete Response Letter (the “CRL”) to the Company for the RI-002 BLA (the “RI-002 CRL”). The RI-002 CRL reaffirmed the issues set forth in the November 2014 warning letter (the “Warning Letter”) that had been issued by the FDA to Biotest related to certain compliance issues identified at the Boca Facility, but did not cite any concerns with the clinical safety or efficacy data for RI-002 submitted in the RI-002 BLA, nor did the FDA request any additional clinical studies be completed prior to FDA approval of RI-002. The FDA identified in the RI-002 CRL, among other things, certain outstanding inspection issues and deficiencies related to chemistry, manufacturing and controls and Good Manufacturing Practices at the Boca Facility and certain of the Company’s third-party vendors, and requested documentation of corrections for a number of these issues. The FDA indicated in the RI-002 CRL that it cannot grant final approval of the RI-002 BLA until, among other things, these deficiencies are resolved. Upon the completion of the Biotest Transaction, ADMA gained control over the regulatory, quality, general operations and drug substance manufacturing process at the Boca Facility. In April 2018, the FDA inspected the Boca Facility and in July 2018 the Company’s FDA status with respect to the Boca Facility improved from Official Action Indicated to Voluntary Action Indicated, and the Company determined that this inspection of the Boca Facility was been successfully closed out. Upon the Company’s receipt of the improved FDA compliance status, the Company responded to the CRL through resubmitting the RI-002 BLA on September 28, 2018. Upon approval of the RI-002 BLA by the FDA, if received, the Company intends to commercialize RI-002. The Company cannot provide any assurances or predict with certainty the schedule for when the Company will, if at all, receive approval from the FDA for the RI-002 BLA.</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As of December 31, 2018, the Company had working capital of $34.9 million, including $22.8 million of cash and cash equivalents. Based upon the Company’s projected revenue and expenditures for 2019, including continued implementation of the Company’s commercialization and expansion activities, the proceeds from the refinancing of the Company’s senior debt and release of funds from the debt service reserve account in February 2019 (see Notes 7 and 17), as well as certain other assumptions, the Company’s management currently believes that its cash, cash equivalents, projected revenue and accounts receivable, along with the $27.5 million it anticipates being able to draw down under its senior credit facility, which is contingent upon, among other things, the FDA approval of either the BIVIGAM PAS or the RI-002 BLA (see Note 17), will be sufficient to fund ADMA’s operations, as currently conducted, into the fourth quarter of 2019. In order to have sufficient cash to fund its operations thereafter and to continue as a going concern, the Company will need to raise additional capital by the fourth quarter of 2019. However, if the Company does not receive FDA approval of either the BIVIGAM PAS or the RI-002 BLA, management believes that the Company’s cash balance will be sufficient to fund ADMA’s operations, as currently conducted, into the third quarter of 2019, and the Company will be required to raise additional capital by the third quarter of 2019. These estimates may change based upon how quickly the Company is able to obtain FDA approval for BIVIGAM and RI-002, commercial manufacturing ramp-up activities and the various financing options being explored. The Company currently has no firm commitments for additional financing, and there can be no assurances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17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Due to numerous risks and uncertainties associated with FDA approval of the Company’s products, ongoing remediation and capacity expansion efforts at the Company’s Boca Facility and potential future commercialization of the Company’s products and product candidates, the Company is unable to estimate with certainty the amounts of increased capital outlays and operating expenditures required to fund its development activities. The Company’s current estimates may be subject to change as circumstances regarding its business requirements evolve. The Company may decide to raise capital through public or private equity offerings or debt financings, or obtain a bank credit facility or corporate collaboration and licensing arrangements. The sale of additional equity or debt securities, if convertible, could result in dilution to the Company’s stockholders and, in such event, the value and potential future market price of its common stock may decline. The incurrence of additional indebtedness would result in increased fixed obligations and could also result in covenants that would restrict the Company’s operations or other financing alternatives. Failure to secure any necessary financing in a timely manner and on commercially reasonable terms could have a material adverse effect on the Company’s business plan and financial performance and it could be forced to delay or discontinue its product development, clinical trial or commercialization activities, delay or discontinue the approval efforts for any of the Company’s potential products or potentially cease operations. The Company has reported cumulative losses since inception in June 2004 through December 31, 2018 of $216.4 million. Management believes that the Company will continue to incur net losses and negative net cash flows from operating activities to fund its operations and meet its obligations on a timely basis through the foreseeable future.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9" w:name="page80"/>
    <w:bookmarkEnd w:id="79"/>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February 2019, the Company refinanced its senior debt (see Note 17) whereby the Company received net proceeds of approximately $4.4 million, and an additional $4.0 million, which was reflected as restricted cash in the accompanying consolidated balance sheet at December 31, 2018 (see Notes 2 and 7), was released by the Company’s then-senior creditor to the Company.</w:t>
      </w:r>
    </w:p>
    <w:p>
      <w:pPr>
        <w:spacing w:after="0" w:line="17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Basis of presentation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ADMA and its wholly-owned subsidiaries, and have been prepared in conformity with accounting principles generally accepted in the United States of America (“U.S. GAAP”) and in accordance with Article 8 of Regulation S-X of the Securities and Exchange Commission (the “SEC”). All intercompany balances have been eliminated in consolidation. Any reference in these notes to applicable guidance is meant to refer to U.S. GAAP as found in the Accounting Standards Codification (“ASC”) and Accounting Standards Updates (“ASU”) of the Financial Accounting Standards Board (the “FASB”).</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years ended December 31, 2018 and 2017, comprehensive loss was equal to the net loss amounts presented for the respective periods in the accompanying consolidated statements of operations. In addition, certain prior year balances have been reclassified to conform to the current presentation. Specifically, spare parts used for the Company’s manufacturing and laboratory equipment in the amount of $0.8 million at December 31, 2017 have been reclassified from Prepaid expenses and other current assets to Deposits and other assets in the accompanying consolidated balance sheets, and $0.7 million of operating expenses for the year ended December 31, 2017 have been reclassified from Research and development expenses to Selling, general and administrative expenses in the accompanying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fair value of assets acquired and liabilities assumed in a business combination, realizable value of accounts receivable, valuation of inventory, assumptions used in the fair value of awards granted under the Company’s equity incentive plans and warrants issued in connection with the issuance of notes payable and the valuation allowance for the Company’s deferred tax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considers all highly-liquid instruments purchased with a maturity of three months or less to be cash equivalents. From time to time, the Company may purchase certificates of deposit with maturity schedules of three, six, nine and twelve months. Instruments with original maturities greater than three months but less than twelve months are included in short-term investments.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0" w:name="page81"/>
    <w:bookmarkEnd w:id="8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 regularly maintains cash and cash equivalents at third-party financial institutions in excess of the Federal Deposit Insurance Corporation insurance limit. Although the Company monitors the daily cash balances in the operating accounts and adjusts the balances as appropriate, these balances could be impacted, and there could be a material adverse effect on the Company’s business, if one or more of the financial institutions with which the Company has deposits fails or is subject to other adverse conditions in the financial or credit markets. To date, the Company has not experienced a loss or lack of access to its invested cash or cash equivalents; however, the Company cannot provide assurance that access to its invested cash and cash equivalents will not be impacted by adverse conditions in the financial and credit markets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Restricted cash consists of cash held in a reserve account as required by the terms of the Company’s senior lending agreement (see Note 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Inventories, including plasma intended for resale and plasma intended for internal use in the Company’s research and development and future anticipated commercialization activities, are carried at the lower of cost or net realizable value determined by the first-in, first-out method. Although the Company expects that BIVIGAM and RI-002 inventory manufactured during 2017 and 2018 will ultimately be available for commercial sale, due to uncertainties surrounding the Warning Letter, the PAS and the RI-002 BLA, resolution of which are dependent upon action by the FDA prior to this inventory being available for commercial sale, all costs related to the production of BIVIGAM and RI-002 during the years ended December 31, 2018 and 2017 have been charged to cost of product revenue in the accompanying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Assets comprising property and equipment (see Note 5) are stated at cost less accumulated depreciation. Depreciation is calculated using the straight-line method over the asset’s estimated useful life. Land is not depreciated. The buildings have been assigned a useful life of 30 years. Property and equipment other than land and buildings have useful lives ranging from 3 to 15 years. Leasehold improvements are amortized over the lesser of the lease term or their estimated useful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December 31, 2018 and 2017 was $3.5 million, all of which is attributable to the Company’s ADMA BioManufacturing business segment. The following table presents the changes in the carrying amount of goodwill during the years ended December 31, 2018 and 2017:</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23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 recorded in connection with the acquistion of the Biotest Assets</w:t>
            </w:r>
          </w:p>
        </w:tc>
        <w:tc>
          <w:tcPr>
            <w:tcW w:w="2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3,529,509</w:t>
            </w:r>
          </w:p>
        </w:tc>
      </w:tr>
      <w:tr>
        <w:trPr>
          <w:trHeight w:val="223"/>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 and 2017</w:t>
            </w:r>
          </w:p>
        </w:tc>
        <w:tc>
          <w:tcPr>
            <w:tcW w:w="2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3,529,509</w:t>
            </w:r>
          </w:p>
        </w:tc>
      </w:tr>
      <w:tr>
        <w:trPr>
          <w:trHeight w:val="20"/>
        </w:trPr>
        <w:tc>
          <w:tcPr>
            <w:tcW w:w="7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The impairment loss recognized would not exceed the total amount of goodwill allocated to that reporting unit. The Company’s impairment analyses as of October 1, 2018 and 2017 did not result in any impairment charges related to goodwill for the years ending December 31, 2018 and 2017.</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1" w:name="page82"/>
    <w:bookmarkEnd w:id="81"/>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 ended December 31, 2018, the Company determined that there was no impairment of its long-lived assets. For the year ended December 31, 2017, the Company recorded an impairment charge in the amount of $0.8 million related to assets acquired in the Biotest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Revenues for the years ended December 31, 2018 and 2017 are comprised of (i) revenues from the sale of Nabi-HB, (ii) product revenues from the sale of human plasma collected from the Company’s Plasma Collection Centers business segment; and (iii) license and other revenues primarily attributable to the out-licensing of RI-002 to Biotest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22 years, the term of the Biotest license agreement. In addition, revenues for the year ended December 31, 2017 also include revenues related to a contract manufacturing agreement (see Note 6)</w:t>
      </w:r>
    </w:p>
    <w:p>
      <w:pPr>
        <w:spacing w:after="0" w:line="16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Nabi-HB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the Company believes that such estimates are reasonable. For revenues associated with contract manufacturing, control transfers to the customer and the performance obligation is satisfied when the customer takes possession of the product from the Boca Facility.</w:t>
      </w:r>
    </w:p>
    <w:p>
      <w:pPr>
        <w:spacing w:after="0" w:line="16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product revenue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in the Warning Letter for the years ended December 31, 2018 and 2017 of approximately $1.5 million and $3.8 million, respectively, are expensed as incurred and are reflected in cost of product revenue in the accompanying consolidated statements of operations. In addition, for the years ended December 31, 2018 and 2017, all operating expenses associated with the Boca Facility, other than the limited Nabi-HB production and contract manufacturing production that was capitalized into inventory, have been expensed as incurred since the date of the Biotest Transaction.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2" w:name="page83"/>
    <w:bookmarkEnd w:id="82"/>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expenses</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Research and development expenses consist of clinical research organization costs, costs related to clinical trials, assay development and testing, storage and transportation costs for high-titer plasma used in the manufacture of RI-002, as well as wages, benefits and stock-based compensation for employees directly related to research and development activities. All research and development costs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marketing expenses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Advertising and marketing expense includes cost for promotional materials and trade show expenses for the marketing of the Company’s products and services. Advertising and marketing expenses were $0.8 million and $0.6 million for the years ended December 31, 2018 and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follows recognized accounting guidance which requires all equity-based payments, including grants of stock options, to be recognized in the statement of operations as compensation expense based on their fair values on the grant date. Compensation expense related to awards to employees and directors with service-based vesting conditions is recognized on a straight-line basis based on the grant date fair value over the associated vesting period of the award, which is generally four years. Stock options granted under the Company’s equity incentive plans generally have a term of 10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(see Note 11). The Company is subject to income tax examinations by major taxing authorities for all tax years since 2014 and for previous periods as it relates to the Company’s net operating loss carryforwards.</w:t>
      </w:r>
    </w:p>
    <w:p>
      <w:pPr>
        <w:spacing w:after="0" w:line="16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In December 2017, the SEC staff issued Staff Accounting Bulletin (“SAB”) 118 to provide guidance for companies that had not completed their accounting for the income tax effects of the Tax Cuts and Job Act (the “TCJA”). Due to the complexities involved in accounting for the enactment of the TCJA, SAB 118 allowed for a provisional estimate of the impacts of the TCJA on the Company’s consolidated financial statements for the year ended December 31, 2017, as well as up to a one year measurement period that ended on December 22, 2018, for any subsequent adjustments to such provisional estimate. Pursuant to SAB 118, in 2017 the Company recorded a provisional estimate of $17.3 million, before valuation allowances, for the impacts of the TCJA, primarily due to the re-measurement of its U.S. deferred income tax liabilities at the lower 21% U.S. federal corporate income tax rate (see Note 11), with no other significant impacts for other provisions within the TCJA. The Company has completed its analysis of the impacts of the TCJA, including analyzing the effects of any Internal Revenue Service and U.S. Treasury guidance issued, as well as state tax law changes enacted, within the maximum one year measurement period. The Company’s analysis resulted in no significant adjustments to the $17.3 million provisional amount previously recorded.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Share</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Basic net loss per share is computed by dividing net loss attributable to common stockholders by the weighted average number of shares of common stock outstanding during the period. For purposes of computing basic and diluted loss per share, the non-voting class of common stock (see Notes 3 and 8) is included in the common stock outstanding as the characteristics of the non-voting class are substantially the same as the voting class of common stock.</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Diluted net loss per share is calculated by dividing net loss attributable to common stockholders as adjusted for the effect of dilutive securities, if any, by the weighted average number of shares of common stock, including the non-voting class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in the diluted net loss per share computation is excluded to the extent that it would be anti-dilutive. No potentially dilutive securities are included in the computation of any diluted per share amounts as the Company reported a net loss for all periods presented. For the years ended December 31, 2018 and 2017, the following securities were excluded from the calculation of diluted loss per common share because of their anti-dilutive effects: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r>
      <w:tr>
        <w:trPr>
          <w:trHeight w:val="515"/>
        </w:trPr>
        <w:tc>
          <w:tcPr>
            <w:tcW w:w="2180" w:type="dxa"/>
            <w:vAlign w:val="bottom"/>
          </w:tcPr>
          <w:p>
            <w:pPr>
              <w:spacing w:after="0"/>
              <w:rPr>
                <w:sz w:val="24"/>
                <w:szCs w:val="24"/>
                <w:color w:val="auto"/>
              </w:rPr>
            </w:pPr>
          </w:p>
        </w:tc>
        <w:tc>
          <w:tcPr>
            <w:tcW w:w="778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rPr>
              <w:t>ADMA BIOLOGICS, INC. AND SUBSIDIARIES</w:t>
            </w:r>
          </w:p>
        </w:tc>
        <w:tc>
          <w:tcPr>
            <w:tcW w:w="44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77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rPr>
              <w:t>NOTES TO CONSOLIDATED FINANCIAL STATEMENTS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77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5"/>
              </w:rPr>
              <w:t>DECEMBER 31, 2018 AND 2017</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6"/>
        </w:trPr>
        <w:tc>
          <w:tcPr>
            <w:tcW w:w="21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1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97"/>
              </w:rPr>
              <w:t>For the Years Ended December 31,</w:t>
            </w:r>
          </w:p>
        </w:tc>
      </w:tr>
      <w:tr>
        <w:trPr>
          <w:trHeight w:val="223"/>
        </w:trPr>
        <w:tc>
          <w:tcPr>
            <w:tcW w:w="218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2017</w:t>
            </w: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0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4,342,231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3,276,043</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Warrants</w:t>
            </w:r>
          </w:p>
        </w:tc>
        <w:tc>
          <w:tcPr>
            <w:tcW w:w="7560" w:type="dxa"/>
            <w:vAlign w:val="bottom"/>
            <w:gridSpan w:val="2"/>
          </w:tcPr>
          <w:p>
            <w:pPr>
              <w:jc w:val="right"/>
              <w:ind w:right="30"/>
              <w:spacing w:after="0"/>
              <w:rPr>
                <w:sz w:val="20"/>
                <w:szCs w:val="20"/>
                <w:color w:val="auto"/>
              </w:rPr>
            </w:pPr>
            <w:r>
              <w:rPr>
                <w:rFonts w:ascii="Arial" w:cs="Arial" w:eastAsia="Arial" w:hAnsi="Arial"/>
                <w:sz w:val="18"/>
                <w:szCs w:val="18"/>
                <w:color w:val="auto"/>
              </w:rPr>
              <w:t>528,160</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528,160</w:t>
            </w:r>
          </w:p>
        </w:tc>
      </w:tr>
      <w:tr>
        <w:trPr>
          <w:trHeight w:val="223"/>
        </w:trPr>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60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4,870,391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3,804,203</w:t>
            </w:r>
          </w:p>
        </w:tc>
      </w:tr>
      <w:tr>
        <w:trPr>
          <w:trHeight w:val="20"/>
        </w:trPr>
        <w:tc>
          <w:tcPr>
            <w:tcW w:w="21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The Company accounts for business combinations using the acquisition method of accounting in accordance with FASB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Identifiable assets acquired, liabilities assumed, and contingent consideration are recorded at their acquisition date fair values. Any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acquisition-related contingent consideration subsequent to the acquisition date, including changes from events after the acquisition date, will be recognized in the period of the estimated fair value change. Goodwill represents the excess of the purchase price over the fair value of identifiable assets acquired and liabilities assumed as a result of the business combination. Identifiable assets with finite lives are amortized over their useful lives. Acquisition related costs are expensed as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The carrying amounts of certain of the Company’s financial instruments, including cash and cash equivalents, accounts payable, and notes payable are shown at cost, which approximates fair value due to the short-term nature of these instruments. The debt outstanding under the Company’s senior notes payable (see Note 7) approximates fair value due to the variable interest rate on this debt. With respect to the related party note payable in the amount of $15.0 million as of December 31, 2018 and 2017 (see Notes 3 and 7), which is held by a principal stockholder of the Company and was issued concurrent with an acquisition transaction with such stockholder, the Company has concluded that an estimation of fair value for this note is not practicable.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In July 2017, the Financial Accounting Standards Board (the “FASB”) issued Accounting Standards Update (“ASU”) No. 2017-11,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 (Topic 260), Distinguishing Liabilities from Equity (Topic 480), Derivatives and Hedging (Topic 815)</w:t>
      </w:r>
      <w:r>
        <w:rPr>
          <w:rFonts w:ascii="Arial" w:cs="Arial" w:eastAsia="Arial" w:hAnsi="Arial"/>
          <w:sz w:val="16"/>
          <w:szCs w:val="16"/>
          <w:color w:val="auto"/>
        </w:rPr>
        <w:t>” (“ASU 2017-11”). ASU 2017-11 changed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analysis of certain 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would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6"/>
          <w:szCs w:val="16"/>
          <w:i w:val="1"/>
          <w:iCs w:val="1"/>
          <w:color w:val="auto"/>
        </w:rPr>
        <w:t>Debt—Debt with Conversion and Other Options.</w:t>
      </w:r>
      <w:r>
        <w:rPr>
          <w:rFonts w:ascii="Arial" w:cs="Arial" w:eastAsia="Arial" w:hAnsi="Arial"/>
          <w:sz w:val="16"/>
          <w:szCs w:val="16"/>
          <w:color w:val="auto"/>
        </w:rPr>
        <w:t>” ASU 2017-11 became effective for the Company on January 1, 2019, and the Company does not believe this update will have a significant impact on its consolidated financial statements.</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Modification Accounting for Share-Based Payment Arrangements</w:t>
      </w:r>
      <w:r>
        <w:rPr>
          <w:rFonts w:ascii="Arial" w:cs="Arial" w:eastAsia="Arial" w:hAnsi="Arial"/>
          <w:sz w:val="17"/>
          <w:szCs w:val="17"/>
          <w:color w:val="auto"/>
        </w:rPr>
        <w:t>,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ASU is effective for annual reporting periods, including interim periods within those annual reporting periods, beginning after December 15, 2017. Adoption of this new guidance did not have a material impact on the Company’s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84" w:name="page85"/>
    <w:bookmarkEnd w:id="8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The Company will adopt ASU 2016-02 on January 1, 2019 using the option to recognize the cumulative-effect adjustment, if any, as of the date of application, which will also be January 1, 2019. As a result, there will be no restatement of comparative periods. The Company expects to recognize right-to-use assets and corresponding lease liabilities of approximately $1.4 million at the date of adoption. The Company also expects to elect the “package of practical expedients”, which permits the Company to not reassess under the new standard its prior conclusions about lease identification, lease classification and initial direct costs. In addition, the Company expects to elect the short-term lease recognition exemption for all leases that qualify.</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May 2014, the FASB issued new guidance related to revenue recognition,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became effective in calendar year 2018.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March 2016, April 2016 and December 2016, the FASB issued ASU No. 2016-08,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Versus Agent Considerations</w:t>
      </w:r>
      <w:r>
        <w:rPr>
          <w:rFonts w:ascii="Arial" w:cs="Arial" w:eastAsia="Arial" w:hAnsi="Arial"/>
          <w:sz w:val="18"/>
          <w:szCs w:val="18"/>
          <w:color w:val="auto"/>
        </w:rPr>
        <w:t>, ASU No. 2016-10,</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(ASC 606): Identifying Performance Obligations and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ASU No. 2016-20, Technical Corrections and Improvements to Topic 606, Revenue From Contracts with Customers, respectively, which further clarify the implementation guidance on principal versus agent considerations contained in ASU No. 2014-09. In May 2016, the FASB issued ASU 2016-12, Revenue from Contracts with Customers, narrow-scope improvements and practical expedients which provides clarification on assessing the collectability criterion, presentation of sales taxes, measurement date for non-cash consideration and completed contracts at transition. These standards became effective for the Company beginning in the first quarter of 2018.</w:t>
      </w:r>
    </w:p>
    <w:p>
      <w:pPr>
        <w:spacing w:after="0" w:line="18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ADMA adopted the new revenue recognition standard and related updates effective January 1, 2018, using the modified retrospective method of adoption. Adoption of the new revenue recognition guidance did not have a material impact on the Company’s consolidated financial statements.</w:t>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June 6, 2017, ADMA completed the acquisition of the Biotest Assets from BPC. As a result of the Biotest Transaction, the Company acquired Nabi-HB, BIVIGAM, the Boca Facility and certain other assets of BTBU. The acquisition of the Biotest Assets expanded the Company’s product offering with two FDA-approved products while providing direct control over the manufacturing and regulatory processes impacting the Company’s RI-002 product candidate, including remediation of the Warning Letter as well as certain other remediation matters affecting the Boca Facility. Pursuant to the Biotest Transaction, the Company issued to BPC 4,295,580 voting shares of its common stock and 8,591,160 shares of non-voting common stock (the “NV Biotest Shares”). The Company also transferred ownership of two of its plasma centers to BPC on January 1, 2019 as additional consideration, which are reflected as non-current assets in the accompanying consolidated balance sheets at December 31, 2018 and December 31, 2017 in the amount of $1.2 million and $1.5 million, respectively.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ind w:left="380"/>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0" w:type="dxa"/>
            <w:vAlign w:val="bottom"/>
          </w:tcPr>
          <w:p>
            <w:pPr>
              <w:spacing w:after="0"/>
              <w:rPr>
                <w:sz w:val="1"/>
                <w:szCs w:val="1"/>
                <w:color w:val="auto"/>
              </w:rPr>
            </w:pPr>
          </w:p>
        </w:tc>
      </w:tr>
      <w:tr>
        <w:trPr>
          <w:trHeight w:val="515"/>
        </w:trPr>
        <w:tc>
          <w:tcPr>
            <w:tcW w:w="300" w:type="dxa"/>
            <w:vAlign w:val="bottom"/>
          </w:tcPr>
          <w:p>
            <w:pPr>
              <w:spacing w:after="0"/>
              <w:rPr>
                <w:sz w:val="24"/>
                <w:szCs w:val="24"/>
                <w:color w:val="auto"/>
              </w:rPr>
            </w:pPr>
          </w:p>
        </w:tc>
        <w:tc>
          <w:tcPr>
            <w:tcW w:w="8600" w:type="dxa"/>
            <w:vAlign w:val="bottom"/>
          </w:tcPr>
          <w:p>
            <w:pPr>
              <w:jc w:val="center"/>
              <w:ind w:left="2130"/>
              <w:spacing w:after="0"/>
              <w:rPr>
                <w:sz w:val="20"/>
                <w:szCs w:val="20"/>
                <w:color w:val="auto"/>
              </w:rPr>
            </w:pPr>
            <w:r>
              <w:rPr>
                <w:rFonts w:ascii="Arial" w:cs="Arial" w:eastAsia="Arial" w:hAnsi="Arial"/>
                <w:sz w:val="18"/>
                <w:szCs w:val="18"/>
                <w:b w:val="1"/>
                <w:bCs w:val="1"/>
                <w:color w:val="auto"/>
              </w:rPr>
              <w:t>ADMA BIOLOGICS, INC. AND SUBSIDIARIES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0" w:type="dxa"/>
            <w:vAlign w:val="bottom"/>
          </w:tcPr>
          <w:p>
            <w:pPr>
              <w:jc w:val="center"/>
              <w:ind w:left="2150"/>
              <w:spacing w:after="0"/>
              <w:rPr>
                <w:sz w:val="20"/>
                <w:szCs w:val="20"/>
                <w:color w:val="auto"/>
              </w:rPr>
            </w:pPr>
            <w:r>
              <w:rPr>
                <w:rFonts w:ascii="Arial" w:cs="Arial" w:eastAsia="Arial" w:hAnsi="Arial"/>
                <w:sz w:val="18"/>
                <w:szCs w:val="18"/>
                <w:b w:val="1"/>
                <w:bCs w:val="1"/>
                <w:color w:val="auto"/>
              </w:rPr>
              <w:t>NOTES TO CONSOLIDATED FINANCIAL STATEMENTS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600" w:type="dxa"/>
            <w:vAlign w:val="bottom"/>
          </w:tcPr>
          <w:p>
            <w:pPr>
              <w:jc w:val="center"/>
              <w:ind w:left="2150"/>
              <w:spacing w:after="0"/>
              <w:rPr>
                <w:sz w:val="20"/>
                <w:szCs w:val="20"/>
                <w:color w:val="auto"/>
              </w:rPr>
            </w:pPr>
            <w:r>
              <w:rPr>
                <w:rFonts w:ascii="Arial" w:cs="Arial" w:eastAsia="Arial" w:hAnsi="Arial"/>
                <w:sz w:val="18"/>
                <w:szCs w:val="18"/>
                <w:b w:val="1"/>
                <w:bCs w:val="1"/>
                <w:color w:val="auto"/>
                <w:w w:val="95"/>
              </w:rPr>
              <w:t>DECEMBER 31, 2018 AND 2017</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The purchase price was calculated as follows: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vMerge w:val="restart"/>
          </w:tcPr>
          <w:p>
            <w:pPr>
              <w:spacing w:after="0"/>
              <w:rPr>
                <w:sz w:val="24"/>
                <w:szCs w:val="24"/>
                <w:color w:val="auto"/>
              </w:rPr>
            </w:pPr>
          </w:p>
        </w:tc>
        <w:tc>
          <w:tcPr>
            <w:tcW w:w="8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Issuance of 12,886,740 shares of common stock (voting and non-voting) valued at $3.66 per share</w:t>
            </w:r>
          </w:p>
        </w:tc>
        <w:tc>
          <w:tcPr>
            <w:tcW w:w="11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47,165,468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 of two plasma collection centers at fair value</w:t>
            </w:r>
          </w:p>
        </w:tc>
        <w:tc>
          <w:tcPr>
            <w:tcW w:w="8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12,621,844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8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59,787,312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consideration to the assets acquired and liabilities assumed based on their estimated fair values: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12,500,000</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8,197,354</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20,000,000</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8,209,800</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845,389</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795,553</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Trademark and other intangible rights to Nabi-HB</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4,100,046</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Right to intermediates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907,421</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1,076,557</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3,529,509</w:t>
            </w:r>
          </w:p>
        </w:tc>
      </w:tr>
      <w:tr>
        <w:trPr>
          <w:trHeight w:val="230"/>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(374,317)</w:t>
            </w:r>
          </w:p>
        </w:tc>
      </w:tr>
      <w:tr>
        <w:trPr>
          <w:trHeight w:val="223"/>
        </w:trPr>
        <w:tc>
          <w:tcPr>
            <w:tcW w:w="994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59,787,312</w:t>
            </w:r>
          </w:p>
        </w:tc>
      </w:tr>
      <w:tr>
        <w:trPr>
          <w:trHeight w:val="20"/>
        </w:trPr>
        <w:tc>
          <w:tcPr>
            <w:tcW w:w="9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engaged various third party valuation specialists to determine the fair value of the land and buildings, property and equipment, right to intermediates, customer contract and Nabi-HB intangible assets, as well as the assets held for sale. Goodwill is being deducted for tax purposes.</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Assets held for sale reflects certain manufacturing equipment acquired in the transaction that will not be utilized in the manufacture or development of any of the Company’s current products or product candidates, and the Company’s plans as of the date of acquisition was to complete the sale of these assets within one year from the date of the Biotest Transaction. These sales efforts were unsuccessful and at December 31, 2017, the Company recorded an impairment charge for the full carrying value of these assets in the amount of $0.8 million.</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As a result of the foregoing transaction, BPC became a principal stockholder and Biotest became a related party of the Company (see Note 9). Therefore, all of the Company’s transactions with Biotest between June 6, 2017 and December 31, 2018, including product and license revenues attributable to Biotest, were related party transactions. The results from BTBU’s operations are included in the Company’s consolidated financial statements from the date of acquisition. For the year ended December 31, 2017, the Company incurred a total of approximately $3.9 million in transaction closing costs, which were expensed as incurred as selling, general and administrative expenses in the consolidated statement of operations.</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Concurrent with the closing of the Biotest Transaction, the Company received $27.5 million in cash from Biotest, comprised of $12.5 million in cash from BPC and a $15.0 million loan from Biotest evidenced by a 6% subordinated note payable to BPC, which was subsequently assigned to Biotest AG on July 20, 2018, with a maturity of 5 years (see Note 7). In addition, BPC committed to participate in any future equity offering or private placement undertaken by the Company in an amount equal to up to $12.5 million on a pro-rata basis. The entire $12.5 million commitment was invested in the follow-on public offering of the Company’s common stock, which closed on November 13, 2017 (see Note 8).</w:t>
      </w:r>
    </w:p>
    <w:p>
      <w:pPr>
        <w:spacing w:after="0" w:line="188"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The following unaudited pro forma summary presents consolidated information of the Company as if the business combination had occurred on January 1, 2017. The pro forma information is presented for informational purposes only and is not necessarily indicative of the results of operations that would have been achieved had the acquisition been consummated as of that time or that may result in the future.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86" w:name="page87"/>
    <w:bookmarkEnd w:id="86"/>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80" w:type="dxa"/>
            <w:vAlign w:val="bottom"/>
            <w:gridSpan w:val="3"/>
          </w:tcPr>
          <w:p>
            <w:pPr>
              <w:ind w:left="1160"/>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98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rPr>
              <w:t>ADMA BIOLOGICS, INC. AND SUBSIDIARIES</w:t>
            </w:r>
          </w:p>
        </w:tc>
        <w:tc>
          <w:tcPr>
            <w:tcW w:w="116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98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rPr>
              <w:t>NOTES TO CONSOLIDATED FINANCIAL STATEMENTS</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98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5"/>
              </w:rPr>
              <w:t>DECEMBER 31, 2018 AND 2017</w:t>
            </w: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4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55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Arial" w:cs="Arial" w:eastAsia="Arial" w:hAnsi="Arial"/>
                <w:sz w:val="18"/>
                <w:szCs w:val="18"/>
                <w:color w:val="auto"/>
              </w:rPr>
              <w:t>As reported</w:t>
            </w:r>
          </w:p>
        </w:tc>
        <w:tc>
          <w:tcPr>
            <w:tcW w:w="59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22,760,560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59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41,024,330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Arial" w:cs="Arial" w:eastAsia="Arial" w:hAnsi="Arial"/>
                <w:sz w:val="18"/>
                <w:szCs w:val="18"/>
                <w:color w:val="auto"/>
              </w:rPr>
              <w:t>As reported</w:t>
            </w:r>
          </w:p>
        </w:tc>
        <w:tc>
          <w:tcPr>
            <w:tcW w:w="59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(43,758,975)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59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(52,928,428)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0"/>
              </w:rPr>
              <w:t>Basic and diluted net loss per share:</w:t>
            </w:r>
          </w:p>
        </w:tc>
        <w:tc>
          <w:tcPr>
            <w:tcW w:w="5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280"/>
              <w:spacing w:after="0"/>
              <w:rPr>
                <w:sz w:val="20"/>
                <w:szCs w:val="20"/>
                <w:color w:val="auto"/>
              </w:rPr>
            </w:pPr>
            <w:r>
              <w:rPr>
                <w:rFonts w:ascii="Arial" w:cs="Arial" w:eastAsia="Arial" w:hAnsi="Arial"/>
                <w:sz w:val="18"/>
                <w:szCs w:val="18"/>
                <w:color w:val="auto"/>
              </w:rPr>
              <w:t>As reported</w:t>
            </w:r>
          </w:p>
        </w:tc>
        <w:tc>
          <w:tcPr>
            <w:tcW w:w="59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59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On May 14, 2018, the Company, ADMA BioManufacturing and ADMA Bio Centers entered into a Share Transfer, Amendment and Release Agreement with BPC, Biotest AG, Biotest US Corporation and The Biotest Divestiture Trust (the “Biotest Trust”) (the “Biotest Transfer Agreement”) whereby BPC transferred to the Company, for no cash consideration, the NV Biotest Shares. Immediately upon transfer of the NV Biotest Shares to the Company, the shares were retired and are no longer available for issuance. The retired NV Biotest Shares comprised approximately 19% of the total outstanding common stock of the Company as of May 14, 2018, and approximately 67% of the total shares issued to BPC in the Biotest Transaction. In exchange for the transfer and retirement of the NV Biotest Shares, the Company (i) granted Biotest and its successors and assigns a release from all potential past, present and future indemnity claims arising under the Master Purchase and Sale Agreement, dated as of January 21, 2017, which governs the Biotest Transaction, and (ii) relinquished its rights to, under certain circumstances, repurchase the two FDA-approved plasma collection centers which were transferred to BPC on January 1, 2019. In addition, pursuant to the Biotest Transfer Agreement, BPC waived and terminated its rights to name a director and an observer to the Company’s Board of Directors (the “Board”). As BPC has made public statements regarding the U.S. Government required divestiture of all of BPC’s U.S. assets in connection with the sale of Biotest AG to CREAT Group Corporation, pursuant to the Biotest Transfer Agreement, BPC transferred its remaining 10,109,534 shares of the Company’s common stock to the Biotest Trust on July 24, 2018, and the Biotest Trust is bound by all obligations of and has all of the remaining rights of BPC under that certain Stockholders Agreement dated as of June 6, 2017, by and between the Company and BPC, as amended by the Biotest Transfer Agreement. Furthermore, subject to the terms contained in the Biotest Transfer Agreement, for a 90-day period following BPC’s transfer of the remaining shares of ADMA common stock to the Biotest Trust, the Biotest Trust granted the Company a right of first negotiation for the purchase of the remaining shares of common stock held by the Biotest Trust, which right expired on October 22, 2018.</w:t>
      </w:r>
    </w:p>
    <w:p>
      <w:pPr>
        <w:sectPr>
          <w:pgSz w:w="11900" w:h="16838" w:orient="portrait"/>
          <w:cols w:equalWidth="0" w:num="1">
            <w:col w:w="11420"/>
          </w:cols>
          <w:pgMar w:left="240" w:top="222" w:right="239" w:bottom="1440" w:gutter="0" w:footer="0" w:header="0"/>
        </w:sectPr>
      </w:pPr>
    </w:p>
    <w:p>
      <w:pPr>
        <w:spacing w:after="0" w:line="17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sz w:val="20"/>
          <w:szCs w:val="20"/>
          <w:color w:val="auto"/>
        </w:rPr>
      </w:pPr>
    </w:p>
    <w:p>
      <w:pPr>
        <w:jc w:val="right"/>
        <w:ind w:right="2500"/>
        <w:spacing w:after="0"/>
        <w:rPr>
          <w:sz w:val="20"/>
          <w:szCs w:val="20"/>
          <w:color w:val="auto"/>
        </w:rPr>
      </w:pPr>
      <w:r>
        <w:rPr>
          <w:rFonts w:ascii="Arial" w:cs="Arial" w:eastAsia="Arial" w:hAnsi="Arial"/>
          <w:sz w:val="18"/>
          <w:szCs w:val="18"/>
          <w:color w:val="auto"/>
        </w:rPr>
        <w:t>The following table provides the components of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Work-in-progress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20" w:type="dxa"/>
            <w:vAlign w:val="bottom"/>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2017</w:t>
            </w:r>
          </w:p>
        </w:tc>
      </w:tr>
      <w:tr>
        <w:trPr>
          <w:trHeight w:val="42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ind w:left="400"/>
              <w:spacing w:after="0"/>
              <w:rPr>
                <w:sz w:val="20"/>
                <w:szCs w:val="20"/>
                <w:color w:val="auto"/>
              </w:rPr>
            </w:pPr>
            <w:r>
              <w:rPr>
                <w:rFonts w:ascii="Arial" w:cs="Arial" w:eastAsia="Arial" w:hAnsi="Arial"/>
                <w:sz w:val="18"/>
                <w:szCs w:val="18"/>
                <w:color w:val="auto"/>
              </w:rPr>
              <w:t>14,019,668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ind w:left="400"/>
              <w:spacing w:after="0"/>
              <w:rPr>
                <w:sz w:val="20"/>
                <w:szCs w:val="20"/>
                <w:color w:val="auto"/>
              </w:rPr>
            </w:pPr>
            <w:r>
              <w:rPr>
                <w:rFonts w:ascii="Arial" w:cs="Arial" w:eastAsia="Arial" w:hAnsi="Arial"/>
                <w:sz w:val="18"/>
                <w:szCs w:val="18"/>
                <w:color w:val="auto"/>
                <w:w w:val="99"/>
              </w:rPr>
              <w:t>10,143,149</w:t>
            </w:r>
          </w:p>
        </w:tc>
      </w:tr>
    </w:tbl>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1,265,339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4,596,501</w:t>
      </w:r>
      <w:r>
        <w:rPr>
          <w:rFonts w:ascii="Arial" w:cs="Arial" w:eastAsia="Arial" w:hAnsi="Arial"/>
          <w:sz w:val="16"/>
          <w:szCs w:val="16"/>
          <w:color w:val="auto"/>
        </w:rPr>
        <w:t>1,219,693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237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5" w:lineRule="exact"/>
        <w:rPr>
          <w:sz w:val="20"/>
          <w:szCs w:val="20"/>
          <w:color w:val="auto"/>
        </w:rPr>
      </w:pPr>
    </w:p>
    <w:p>
      <w:pPr>
        <w:spacing w:after="0"/>
        <w:tabs>
          <w:tab w:leader="none" w:pos="540" w:val="left"/>
          <w:tab w:leader="none" w:pos="1700" w:val="left"/>
          <w:tab w:leader="none" w:pos="2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18,616,169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12,628,181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2374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2374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20" w:space="720"/>
            <w:col w:w="3180"/>
          </w:cols>
          <w:pgMar w:left="240" w:top="222" w:right="239" w:bottom="1440" w:gutter="0" w:footer="0" w:header="0"/>
          <w:type w:val="continuous"/>
        </w:sectPr>
      </w:pPr>
    </w:p>
    <w:p>
      <w:pPr>
        <w:spacing w:after="0" w:line="6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Inventories are stated at the lower of cost or net realizable value with cost being determined on the first-in, first-out method. Raw materials includes plasma and other materials expected to be used in the production of RI-002 and BIVIGAM, as there are alternative uses for these materials which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87" w:name="page88"/>
    <w:bookmarkEnd w:id="8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Finished goods inventory at December 31, 2018 includes $2.3 million of Nabi-HB, $1.2 million of product manufactured under a contract manufacturing agreement and $1.1 million of plasma collected at the Company’s plasma collection centers. Finished goods inventory as of December 31, 2017 is comprised of Nabi-HB, and was recorded at fair value as part of the purchase price allocation of the Biotest Assets acquired.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160" w:type="dxa"/>
            <w:vAlign w:val="bottom"/>
          </w:tcPr>
          <w:p>
            <w:pPr>
              <w:spacing w:after="0"/>
              <w:rPr>
                <w:sz w:val="17"/>
                <w:szCs w:val="17"/>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PROPERTY AND EQUIPMENT</w:t>
            </w:r>
          </w:p>
        </w:tc>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at December 31, 2018 and 2017 is summarized as follows: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00" w:type="dxa"/>
            <w:vAlign w:val="bottom"/>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50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0"/>
        </w:trPr>
        <w:tc>
          <w:tcPr>
            <w:tcW w:w="30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8,233,203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7,148,405</w:t>
            </w:r>
          </w:p>
        </w:tc>
      </w:tr>
      <w:tr>
        <w:trPr>
          <w:trHeight w:val="216"/>
        </w:trPr>
        <w:tc>
          <w:tcPr>
            <w:tcW w:w="30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1,608,994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1,086,756</w:t>
            </w:r>
          </w:p>
        </w:tc>
      </w:tr>
      <w:tr>
        <w:trPr>
          <w:trHeight w:val="216"/>
        </w:trPr>
        <w:tc>
          <w:tcPr>
            <w:tcW w:w="30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1,163,552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1,136,623</w:t>
            </w:r>
          </w:p>
        </w:tc>
      </w:tr>
      <w:tr>
        <w:trPr>
          <w:trHeight w:val="216"/>
        </w:trPr>
        <w:tc>
          <w:tcPr>
            <w:tcW w:w="30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845,538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738,093</w:t>
            </w:r>
          </w:p>
        </w:tc>
      </w:tr>
      <w:tr>
        <w:trPr>
          <w:trHeight w:val="216"/>
        </w:trPr>
        <w:tc>
          <w:tcPr>
            <w:tcW w:w="300" w:type="dxa"/>
            <w:vAlign w:val="bottom"/>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1,660,709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1,642,903</w:t>
            </w:r>
          </w:p>
        </w:tc>
      </w:tr>
      <w:tr>
        <w:trPr>
          <w:trHeight w:val="216"/>
        </w:trPr>
        <w:tc>
          <w:tcPr>
            <w:tcW w:w="30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4,339,441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4,339,441</w:t>
            </w:r>
          </w:p>
        </w:tc>
      </w:tr>
      <w:tr>
        <w:trPr>
          <w:trHeight w:val="230"/>
        </w:trPr>
        <w:tc>
          <w:tcPr>
            <w:tcW w:w="300" w:type="dxa"/>
            <w:vAlign w:val="bottom"/>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15,685,325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15,660,559</w:t>
            </w: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33,536,762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31,752,780</w:t>
            </w:r>
          </w:p>
        </w:tc>
      </w:tr>
      <w:tr>
        <w:trPr>
          <w:trHeight w:val="230"/>
        </w:trPr>
        <w:tc>
          <w:tcPr>
            <w:tcW w:w="300" w:type="dxa"/>
            <w:vAlign w:val="bottom"/>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(3,421,032)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(1,285,922)</w:t>
            </w:r>
          </w:p>
        </w:tc>
      </w:tr>
      <w:tr>
        <w:trPr>
          <w:trHeight w:val="223"/>
        </w:trPr>
        <w:tc>
          <w:tcPr>
            <w:tcW w:w="30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Total property, plant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30,115,730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30,466,858</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recorded depreciation expense on property and equipment of $2.6 million and $1.5 million for the years ended December 31, 2018 and 2017, respectively, which includes $0.3 million and $0.4 million of depreciation expense on the plasma assets to be transferred (see Note 3) for the years ended December 31, 2018 and 2017, respectively.</w:t>
      </w:r>
    </w:p>
    <w:p>
      <w:pPr>
        <w:spacing w:after="0" w:line="17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December 31, 2018 and 2017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8"/>
              </w:rPr>
              <w:t>December 31, 2018</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4"/>
              </w:rPr>
              <w:t>December 31, 2017</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5"/>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Net</w:t>
            </w:r>
          </w:p>
        </w:tc>
      </w:tr>
      <w:tr>
        <w:trPr>
          <w:trHeight w:val="182"/>
        </w:trPr>
        <w:tc>
          <w:tcPr>
            <w:tcW w:w="2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Trademark and other intangible</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rights related to Nabi-HB</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4,100,046</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927,391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3,172,655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4,100,046</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341,670</w:t>
            </w:r>
          </w:p>
        </w:tc>
        <w:tc>
          <w:tcPr>
            <w:tcW w:w="2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3,758,376</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205,250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702,171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75,618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831,803</w:t>
            </w: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946,971</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129,586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1,076,557</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817,386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259,171</w:t>
            </w:r>
          </w:p>
        </w:tc>
      </w:tr>
      <w:tr>
        <w:trPr>
          <w:trHeight w:val="223"/>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6,084,024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2,079,612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4,004,412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6,084,024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1,234,674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4,849,350</w:t>
            </w: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Under the previous contract manufacturing agreement between ADMA and BPC, intermediate by-products derived from the manufacture of RI-002 were property of Biotest. As a result of the Biotest Transaction, ADMA obtained the right to these intermediate products, which are being amortized over a period of 7 years. The intangible rights to Nabi-HB is also being amortized over a period of 7 years.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8" w:name="page89"/>
    <w:bookmarkEnd w:id="88"/>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customer contract pertains to a contract manufacturing agreement with a third party that the Company assumed upon the consummation of the Biotest Transaction. On December 22, 2017, Company and the customer entered into an amendment to this contract which reduced the number of batches the Company was committed to supply to the customer. In connection with this amendment, the customer agreed to pay the Company an aggregate compensation fee of $7.0 million, which was recognized as other revenue in the accompanying consolidated statement of operations for the year ended December 31, 2017. The remaining required production volume is 13 batches over 2018 and 2019, and the Company recorded additional amortization expense of approximately $0.6 million in connection with the reduced volume. The net unamortized balance of this asset as of December 31, 2018 and 2017 is being amortized through the end of the contract period.</w:t>
      </w:r>
    </w:p>
    <w:p>
      <w:pPr>
        <w:spacing w:after="0" w:line="17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Amortization expense related to the Company’s intangible assets for the years ended December 31, 2018 and 2017 was $0.8 million and $1.2 million, respectively. Estimated aggregate future aggregate amortization expense for the next five years is expected to be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84"/>
              </w:rPr>
              <w:t>2019</w:t>
            </w:r>
          </w:p>
        </w:tc>
        <w:tc>
          <w:tcPr>
            <w:tcW w:w="36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810"/>
              <w:spacing w:after="0"/>
              <w:rPr>
                <w:sz w:val="20"/>
                <w:szCs w:val="20"/>
                <w:color w:val="auto"/>
              </w:rPr>
            </w:pPr>
            <w:r>
              <w:rPr>
                <w:rFonts w:ascii="Arial" w:cs="Arial" w:eastAsia="Arial" w:hAnsi="Arial"/>
                <w:sz w:val="18"/>
                <w:szCs w:val="18"/>
                <w:color w:val="auto"/>
                <w:w w:val="84"/>
              </w:rPr>
              <w:t>2020</w:t>
            </w:r>
          </w:p>
        </w:tc>
        <w:tc>
          <w:tcPr>
            <w:tcW w:w="3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715,352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84"/>
              </w:rPr>
              <w:t>2021</w:t>
            </w:r>
          </w:p>
        </w:tc>
        <w:tc>
          <w:tcPr>
            <w:tcW w:w="36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810"/>
              <w:spacing w:after="0"/>
              <w:rPr>
                <w:sz w:val="20"/>
                <w:szCs w:val="20"/>
                <w:color w:val="auto"/>
              </w:rPr>
            </w:pPr>
            <w:r>
              <w:rPr>
                <w:rFonts w:ascii="Arial" w:cs="Arial" w:eastAsia="Arial" w:hAnsi="Arial"/>
                <w:sz w:val="18"/>
                <w:szCs w:val="18"/>
                <w:color w:val="auto"/>
                <w:w w:val="84"/>
              </w:rPr>
              <w:t>2022</w:t>
            </w:r>
          </w:p>
        </w:tc>
        <w:tc>
          <w:tcPr>
            <w:tcW w:w="3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715,352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84"/>
              </w:rPr>
              <w:t>2023</w:t>
            </w:r>
          </w:p>
        </w:tc>
        <w:tc>
          <w:tcPr>
            <w:tcW w:w="36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24"/>
                <w:szCs w:val="24"/>
                <w:color w:val="auto"/>
              </w:rPr>
            </w:pPr>
          </w:p>
        </w:tc>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NOTES PAYABLE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40" w:type="dxa"/>
            <w:vAlign w:val="bottom"/>
            <w:gridSpan w:val="6"/>
          </w:tcPr>
          <w:p>
            <w:pPr>
              <w:spacing w:after="0"/>
              <w:rPr>
                <w:sz w:val="20"/>
                <w:szCs w:val="20"/>
                <w:color w:val="auto"/>
              </w:rPr>
            </w:pPr>
            <w:r>
              <w:rPr>
                <w:rFonts w:ascii="Arial" w:cs="Arial" w:eastAsia="Arial" w:hAnsi="Arial"/>
                <w:sz w:val="18"/>
                <w:szCs w:val="18"/>
                <w:color w:val="auto"/>
              </w:rPr>
              <w:t>Senior Notes Payable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Arial" w:cs="Arial" w:eastAsia="Arial" w:hAnsi="Arial"/>
                <w:sz w:val="18"/>
                <w:szCs w:val="18"/>
                <w:color w:val="auto"/>
              </w:rPr>
              <w:t>A summary of outstanding senior notes payable as of December 31, 2018 and 2017 is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2018</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88"/>
              </w:rPr>
              <w:t>December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 discount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(3,559,170)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(4,631,542)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5"/>
          </w:tcPr>
          <w:p>
            <w:pPr>
              <w:spacing w:after="0"/>
              <w:rPr>
                <w:sz w:val="20"/>
                <w:szCs w:val="20"/>
                <w:color w:val="auto"/>
              </w:rPr>
            </w:pPr>
            <w:r>
              <w:rPr>
                <w:rFonts w:ascii="Arial" w:cs="Arial" w:eastAsia="Arial" w:hAnsi="Arial"/>
                <w:sz w:val="18"/>
                <w:szCs w:val="18"/>
                <w:color w:val="auto"/>
              </w:rPr>
              <w:t>Senior notes payable</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26,440,830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25,368,458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On October 10, 2017 (the “Marathon Closing Date”), the Company entered into a Credit Agreement (the “Marathon Credit Agreement”) with Marathon Healthcare Finance Fund, L.P. (“Marathon” or the “Lender”) and Wilmington Trust, National Association, as the administrative agent for the Lender (the “Administrative Agent”). The Marathon Credit Agreement provided for a senior secured term loan facility in an aggregate amount of up to $40.0 million (collectively, the “Marathon Credit Facility”), comprised of (i) a term loan made on the Marathon Closing Date in the principal amount of $30.0 million evidenced by a secured promissory note (the “Tranche One Note”), and (ii) an additional term loan evidenced by a secured promissory note to be made in the maximum principal amount not to exceed $10.0 million (the “Tranche Two Note” and, together with the Tranche One Note, the “Notes”), which Tranche Two Note availability was subject to the satisfaction of certain conditions. The Notes each had a maturity date of April 10, 2022 (the “Maturity Date”), subject to acceleration pursuant to the Marathon Credit Agreement, including upon an Event of Default (as defined in the Marathon Credit Agreement).</w:t>
      </w:r>
    </w:p>
    <w:p>
      <w:pPr>
        <w:spacing w:after="0" w:line="19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Borrowings under the Marathon Credit Agreement bore interest at a rate per annum equal to LIBOR plus 9.50% with a 1% LIBOR floor. During an Event of Default under the Marathon Credit Agreement, the outstanding amount of indebtedness under the Marathon Credit Agreement would bear interest at a rate per annum equal to the interest rate then applicable to the borrowings under the Marathon Credit Agreement plus 5% per annum. Quarterly cash interest payments were due the first business day of each March, June, September and December, beginning on December 1, 2017. During the years ended December 31, 2018 and 2017, the interest rate on the Tranche One Note ranged from 10.86% to 12.24%.</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9" w:name="page90"/>
    <w:bookmarkEnd w:id="89"/>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Marathon Credit Agreement required payment of a facility fee to Marathon in an amount equal to 9.20% of the amount of the Tranche One Note, payment of which was deferred until the earlier of the prepayment date or the Maturity Date. Commencing on October 10, 2020, the Company would have been required to make principal payments on the Tranche One Note in equal monthly installments over 18 months, subject to certain conditions in the Marathon Credit Agreement.</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Marathon Credit Agreement contained market representations and warranties, affirmative covenants, negative covenants, financial covenants, and conditions that are customarily required for similar financings. The affirmative covenants, among other things, required the Company to undertake various reporting requirements. The negative covenants restricted or limited the ability of the Company and its subsidiaries to, among other things, incur new indebtedness; create liens on assets; engage in certain fundamental corporate changes or changes to the Company’s business activities; sell or otherwise dispose of assets; repurchase stock, pay dividends; repay certain other indebtedness; engage in certain affiliate transactions; or enter into any other agreements that restrict the Company’s ability to make loan repayments.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Marathon Credit Agreement also required the establishment of a debt service reserve account, and the Company was required to maintain a certain minimum level of liquidity at all times. Liquidity is defined in the Marathon Credit Agreement as cash held in the debt service reserve account and any other deposit account subject to a control agreement with the Administrative Agent, and the required liquidity amount is reflected as restricted cash in the accompanying consolidated balance sheets as of December 31, 2018 and December 31, 2017. The minimum liquidity requirement was $4.0 million and $5.5 million as of December 31, 2018 and December 31, 2017, respectively. On May 31, 2018, the Marathon Credit Agreement was amended to reduce the minimum liquidity requirement to $5.25 million, and $250,000 was released from the debt service reserve account to the Company on June 25, 2018. On June 26, 2018, the Lender and the Administrative Agent acknowledged that the Company had met the requirements regarding its leased properties as set forth in the Marathon Credit Agreement, and an additional $1.25 million was released from the debt service reserve account to the Company.</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accompanying consolidated balance sheets and statements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2018</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2017</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22,754,852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43,107,574</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Restricted cash included in current assets</w:t>
            </w:r>
          </w:p>
        </w:tc>
        <w:tc>
          <w:tcPr>
            <w:tcW w:w="3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1,500,000</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included in long-term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4,000,000</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w w:val="99"/>
              </w:rPr>
              <w:t>Total cash, cash equivalents and restricted cash as shown in the consolidated statements of cash flows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26,754,852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48,607,574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The Marathon Credit Agreement also contained customary Events of Default which include, among others, non-payment of principal, interest or fees, violation of covenants, inaccuracy of representations and warranties, bankruptcy and insolvency events, material judgments, cross-defaults to material contracts and events constituting a change of control. The occurrence of an Event of Default could have resulted in, among other things, the termination of commitments under the Marathon Credit Facility and the declaration that all outstanding Loans were immediately due and payable in whole or in part. At December 31, 2018 and December 31, 2017, the Company was in compliance with all of the covenants contained in the Marathon Credit Agreement.</w:t>
      </w:r>
    </w:p>
    <w:p>
      <w:pPr>
        <w:spacing w:after="0" w:line="15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As consideration for the Marathon Credit Agreement, the Company issued warrants to purchase an aggregate of 339,301 shares of the Company’s common stock to the Lender and certain of its affiliates (the “Tranche One Warrants”). The Tranche One Warrants, which the Company valued at $0.6 million, have (i) an exercise price equal to $3.0946, which was the trailing 10-day volume weighted-average price of the Company’s common stock prior to the Marathon Closing Date, and (ii) an expiration date of October 10, 2024. The Company issued the Tranche One Warrants in reliance upon an exemption from registration contained in Section 4(2) under the Securities Act of 1933, as amended (the “Securities Act”). The Tranche One Warrants and the shares of common stock issuable thereunder may not be offered, sold, pledged or otherwise transferred in the U.S. absent registration or an applicable exemption from the registration requirements under the Securities Act.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0" w:name="page91"/>
    <w:bookmarkEnd w:id="9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As a result of the diligence fees, legal and other expenses associated with the Marathon Credit Facility, the Tranche One Warrants and the facility fee, the Company recognized a discount on the Tranche One Note on the Marathon Closing Date in the amount of $4.8 million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Facility fee</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2,760,000</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1,475,330</w:t>
            </w:r>
          </w:p>
        </w:tc>
      </w:tr>
      <w:tr>
        <w:trPr>
          <w:trHeight w:val="230"/>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Tranche One Warrants</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614,513</w:t>
            </w:r>
          </w:p>
        </w:tc>
      </w:tr>
      <w:tr>
        <w:trPr>
          <w:trHeight w:val="223"/>
        </w:trPr>
        <w:tc>
          <w:tcPr>
            <w:tcW w:w="9940" w:type="dxa"/>
            <w:vAlign w:val="bottom"/>
          </w:tcPr>
          <w:p>
            <w:pPr>
              <w:spacing w:after="0"/>
              <w:rPr>
                <w:sz w:val="20"/>
                <w:szCs w:val="20"/>
                <w:color w:val="auto"/>
              </w:rPr>
            </w:pPr>
            <w:r>
              <w:rPr>
                <w:rFonts w:ascii="Arial" w:cs="Arial" w:eastAsia="Arial" w:hAnsi="Arial"/>
                <w:sz w:val="18"/>
                <w:szCs w:val="18"/>
                <w:color w:val="auto"/>
              </w:rPr>
              <w:t>Total debt discount at Marathon Closing Date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4,849,843</w:t>
            </w:r>
          </w:p>
        </w:tc>
      </w:tr>
      <w:tr>
        <w:trPr>
          <w:trHeight w:val="20"/>
        </w:trPr>
        <w:tc>
          <w:tcPr>
            <w:tcW w:w="9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90"/>
        <w:spacing w:after="0" w:line="297" w:lineRule="auto"/>
        <w:rPr>
          <w:sz w:val="20"/>
          <w:szCs w:val="20"/>
          <w:color w:val="auto"/>
        </w:rPr>
      </w:pPr>
      <w:r>
        <w:rPr>
          <w:rFonts w:ascii="Arial" w:cs="Arial" w:eastAsia="Arial" w:hAnsi="Arial"/>
          <w:sz w:val="16"/>
          <w:szCs w:val="16"/>
          <w:color w:val="auto"/>
        </w:rPr>
        <w:t>The Company records debt discount as a reduction to the face amount of the debt, and debt discount is amortized as interest expense over the life of the debt using the interest method. Based on the fair value of the Tranche One Warrants, the facility fee and the fees and expenses associated with obtaining the Credit Facility, the effective interest rate on the Tranche One Note as of the Marathon Closing Date was approximately 16.5%. The Company’s obligations under the Marathon Credit Agreement were secured by a first-priority lien and security interest in substantially all of the Company’s assets, including a mortgage on the Boca Facility, and those of the Company’s subsidiaries as well as all of the equity interests in each subsidiary.</w:t>
      </w:r>
    </w:p>
    <w:p>
      <w:pPr>
        <w:spacing w:after="0" w:line="15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February 11, 2019, the Company entered into a new senior credit facility with another lender, as more fully described in Note 17, whereby the Company repaid in full all of the outstanding obligations under the Marathon Credit Facility, including the deferred facility fee, and Marathon released to the Company the remaining $4.0 million contained in the debt service reserve account.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Related Party Note Payable</w:t>
            </w:r>
          </w:p>
        </w:tc>
        <w:tc>
          <w:tcPr>
            <w:tcW w:w="6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53"/>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A summary of the outstanding related party note payable is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20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2018</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2017</w:t>
            </w:r>
          </w:p>
        </w:tc>
      </w:tr>
      <w:tr>
        <w:trPr>
          <w:trHeight w:val="210"/>
        </w:trPr>
        <w:tc>
          <w:tcPr>
            <w:tcW w:w="8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party note payable to Biotest</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discount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(125,816)</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(157,604)</w:t>
            </w: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Note payable - related party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14,874,184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14,842,396</w:t>
            </w:r>
          </w:p>
        </w:tc>
      </w:tr>
      <w:tr>
        <w:trPr>
          <w:trHeight w:val="20"/>
        </w:trPr>
        <w:tc>
          <w:tcPr>
            <w:tcW w:w="2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acquisition of the Biotest Assets (see Note 3), ADMA BioManufacturing issued a subordinated note payable to BPC and in connection therewith received cash proceeds of $15.0 million. The note bears interest at a rate of 6.0% per annum and matures on June 6, 2022. The Company is obligated to make semi-annual interest payments, with all principal and unpaid interest due at maturity. The note is subordinate to the amounts outstanding under the Company’s existing senior credit facility. In the event of default, all principal and unpaid interest is due on demand. The subordinated note also contains several non-financial covenants with which the Company was in compliance as of December 31, 2018 and 2017. The Company incurred $0.2 million of debt issuance costs in connection with the issuance of this note, which were recorded as a debt discount. The debt discount is being amortized as interest expense over the term of the note.</w:t>
      </w:r>
    </w:p>
    <w:p>
      <w:pPr>
        <w:spacing w:after="0" w:line="18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On July 20, 2018, in connection with the U.S. Government required divestiture of all of BPC’s U.S. assets in connection with the sale of Biotest AG to CREAT Group Corporation, Biotest AG, BPC, ADMA BioManufacturing and the Company entered into an Assignment and Assumption Agreement whereby BPC transferred to Biotest AG all of its obligations, rights, title and interest in the subordinated note and the related loan agreements.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1" w:name="page92"/>
    <w:bookmarkEnd w:id="91"/>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0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As of December 31, 2018 and 2017, the Company was authorized to issue 75 million shares of its common stock, $0.0001 par value per share, and 46,353,068 and 36,725,499 shares of common stock were outstanding as of December 31, 2018 and 2017, respectively. After giving effect to shares reserved for the issuance of warrants and stock options, 23,776,541 shares of common stock were available for issuance as of December 31, 2018.</w:t>
      </w:r>
    </w:p>
    <w:p>
      <w:pPr>
        <w:spacing w:after="0" w:line="147" w:lineRule="exact"/>
        <w:rPr>
          <w:sz w:val="20"/>
          <w:szCs w:val="20"/>
          <w:color w:val="auto"/>
        </w:rPr>
      </w:pPr>
    </w:p>
    <w:p>
      <w:pPr>
        <w:jc w:val="both"/>
        <w:ind w:right="100" w:firstLine="648"/>
        <w:spacing w:after="0" w:line="308" w:lineRule="auto"/>
        <w:rPr>
          <w:sz w:val="20"/>
          <w:szCs w:val="20"/>
          <w:color w:val="auto"/>
        </w:rPr>
      </w:pPr>
      <w:r>
        <w:rPr>
          <w:rFonts w:ascii="Arial" w:cs="Arial" w:eastAsia="Arial" w:hAnsi="Arial"/>
          <w:sz w:val="17"/>
          <w:szCs w:val="17"/>
          <w:color w:val="auto"/>
        </w:rPr>
        <w:t>As of December 31, 2018 and 2017, the Company was also authorized to issue 8,591,160 shares of its non-voting common stock, $0.0001 par value per share, and 0 and 8,591,160 shares of its non-voting common stock were outstanding as of December 31, 2018 and 2017,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2018, the Company completed an underwritten public offering of 9,623,430 shares of common stock for gross proceeds of $46.0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net proceeds from this offering, after underwriters’ commissions and other offering expenses, of $42.9 million.</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On November 13, 2017, the Company completed an underwritten public offering of 19,523,255 shares of its common stock for gross proceeds of $42.0 million. Net proceeds from this offering, after payment of underwriting discounts and offering expenses of $2.8 million, were $39.2 million.</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June 6, 2017, the Company issued 4,295,580 shares of common stock and the NV Biotest Shares to Biotest in connection with the Biotest Transaction (see Note 3). On May 14, 2018, pursuant to the Biotest Transfer Agreement, the NV Biotest Shares were transferred from Biotest to the Company and the shares were immediately retired and are no longer available for issuance.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On October 10, 2017, the Company issued to Marathon the Tranche One Warrants (see Note 7) whereby Marathon may purchase an aggregate of 339,301 shares of common stock with an exercise price $3.0946 per share. The Tranche One Warrants became exercisable on the Marathon Closing Date, were valued at $0.6 million and were recorded as discount to the Tranche One Note. The Tranche One Warrants were valued using the Black-Scholes option-pricing model assuming an expected term of seven years, a volatility of 57%, a dividend yield of 0% and a risk-free interest rate of 2.18%. No warrants were issued during the year ended December 31, 2018.</w:t>
      </w:r>
    </w:p>
    <w:p>
      <w:pPr>
        <w:spacing w:after="0" w:line="188"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At December 31, 2018 and 2017, the Company had outstanding warrants to purchase an aggregate of 528,160 shares of common stock, with a weighted average exercise price of $4.76 per share and with expiration dates ranging between June 2022 and October 2024.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From time to time the Company grants stock options or other equity-based awards under the Company’s 2007 Employee Stock Option Plan (the “2007 Plan”) and the Amended and Restated 2014 Omnibus Incentive Compensation Plan (the “2014 Plan”).</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2014 Plan, as amended, was approved by the Board on March 15, 2017 and by the Company’s stockholders on May 25, 2017. Currently, the maximum number of shares reserved for grant under the 2014 Plan is: (a) 2,334,940 shares, less any shares available as of such date for issuance under the 2007 Plan; plus (b) an annual increase as of the first day of the Company’s fiscal year, beginning in 2018 and occurring each year thereafter through 2022, equal to 4% of the outstanding shares of common stock as of the end of the Company’s immediately preceding fiscal year, or any lesser number of shares determined by the Board; provided, however, that no more than an aggregate of 10 million shares of common stock may be issued pursuant to incentive stock options intended to qualify under Section 422 of the Internal Revenue Code. As of December 31, 2018, an aggregate of 1,395,610 shares were available for issuance under the 2007 Plan and the 2014 Plan. In accordance with the foregoing, on January 1, 2019 the aggregate number of shares available for issuance increased to 3,249,732.</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2" w:name="page93"/>
    <w:bookmarkEnd w:id="92"/>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During the years ended December 31, 2018 and 2017, the Company recorded stock-based compensation expense to employees of $2.2 million and $1.6 million, respectively. The fair value of employee options granted was determined on the date of grant using the Black-Scholes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the Company utilized the U.S. Treasury yield curve in effect at the time of the grant with a term consistent with the expected term of the Company’s awards. The expected term of the options granted is in accordance with Staff Accounting Bulletins 107 and 110, which is based on the average between vesting terms and contractual terms. The expected dividend yield reflects the Company’s current and expected future policy for dividends on the Company’s common stock. For the year ended December 31, 2018, the expected stock price volatility for the Company’s stock options was calculated by examining the historical volatility of the Company’s common stock since the stock became publicly traded in the fourth quarter of 2013. For the year ended December 31, 2017, the expected stock price volatility for the Company’s stock options was calculated by examining the pro rata historical volatilities for similar publicly traded industry peers and the trading history for the Company’s common stock.</w:t>
      </w:r>
    </w:p>
    <w:p>
      <w:pPr>
        <w:spacing w:after="0" w:line="18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grant date fair values of stock options awarded during the years ended December 31, 2018 and 2017 were determined using the Black-Scholes option-pricing model with the following assumptions: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620" w:type="dxa"/>
            <w:vAlign w:val="bottom"/>
          </w:tcPr>
          <w:p>
            <w:pPr>
              <w:spacing w:after="0"/>
              <w:rPr>
                <w:sz w:val="20"/>
                <w:szCs w:val="20"/>
                <w:color w:val="auto"/>
              </w:rPr>
            </w:pPr>
          </w:p>
        </w:tc>
        <w:tc>
          <w:tcPr>
            <w:tcW w:w="45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2018</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0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5.8-6.3 years</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5.8-6.3 years</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Volatility</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54-57%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56-64%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1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2.40-3.11%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1.77-2.29%</w:t>
            </w:r>
          </w:p>
        </w:tc>
      </w:tr>
    </w:tbl>
    <w:p>
      <w:pPr>
        <w:spacing w:after="0" w:line="2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2007 Plan and 2014 Plan provide for the Board or a Committee of the Board (the “Committee”) to grant awards to optionees and to determine the exercise price, vesting term, expiration date and all other terms and conditions of the awards, including acceleration of the vesting of an award at any time. All options granted under the 2007 and 2014 Plans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The following table summarizes information about stock options outstanding as of December 31, 2018 and 2017:</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18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rPr>
              <w:t>ADMA BIOLOGICS, INC. AND SUBSIDIARIES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18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rPr>
              <w:t>NOTES TO CONSOLIDATED FINANCIAL STATEMENTS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18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5"/>
              </w:rPr>
              <w:t>DECEMBER 31, 2018 AND 2017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54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1,535,187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Forfeited</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(94,024)</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Granted</w:t>
            </w:r>
          </w:p>
        </w:tc>
        <w:tc>
          <w:tcPr>
            <w:tcW w:w="6960" w:type="dxa"/>
            <w:vAlign w:val="bottom"/>
            <w:gridSpan w:val="2"/>
          </w:tcPr>
          <w:p>
            <w:pPr>
              <w:jc w:val="right"/>
              <w:ind w:right="30"/>
              <w:spacing w:after="0"/>
              <w:rPr>
                <w:sz w:val="20"/>
                <w:szCs w:val="20"/>
                <w:color w:val="auto"/>
              </w:rPr>
            </w:pPr>
            <w:r>
              <w:rPr>
                <w:rFonts w:ascii="Arial" w:cs="Arial" w:eastAsia="Arial" w:hAnsi="Arial"/>
                <w:sz w:val="18"/>
                <w:szCs w:val="18"/>
                <w:color w:val="auto"/>
              </w:rPr>
              <w:t>1,976,295</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(93,939)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5460" w:type="dxa"/>
            <w:vAlign w:val="bottom"/>
          </w:tcPr>
          <w:p>
            <w:pPr>
              <w:spacing w:after="0"/>
              <w:rPr>
                <w:sz w:val="18"/>
                <w:szCs w:val="18"/>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3,276,043</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Expired</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(34,489)</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1,167,044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Exercised</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(5,513)</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54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4,342,231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6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2,192,663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weighted average remaining contractual term of stock options outstanding and expected to vest at December 31, 2018 is 7.5 years. The weighted average remaining contractual term of stock options exercisable at December 31, 2018 is 6.2 years. The following table summarizes additional information regarding outstanding and exercisable options under the stock option plans at December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ind w:left="320"/>
              <w:spacing w:after="0"/>
              <w:rPr>
                <w:sz w:val="20"/>
                <w:szCs w:val="20"/>
                <w:color w:val="auto"/>
              </w:rPr>
            </w:pPr>
            <w:r>
              <w:rPr>
                <w:rFonts w:ascii="Arial" w:cs="Arial" w:eastAsia="Arial" w:hAnsi="Arial"/>
                <w:sz w:val="15"/>
                <w:szCs w:val="15"/>
                <w:b w:val="1"/>
                <w:bCs w:val="1"/>
                <w:color w:val="auto"/>
              </w:rPr>
              <w:t>Stock Options Outstanding</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jc w:val="right"/>
              <w:ind w:right="230"/>
              <w:spacing w:after="0"/>
              <w:rPr>
                <w:sz w:val="20"/>
                <w:szCs w:val="20"/>
                <w:color w:val="auto"/>
              </w:rPr>
            </w:pPr>
            <w:r>
              <w:rPr>
                <w:rFonts w:ascii="Arial" w:cs="Arial" w:eastAsia="Arial" w:hAnsi="Arial"/>
                <w:sz w:val="15"/>
                <w:szCs w:val="15"/>
                <w:b w:val="1"/>
                <w:bCs w:val="1"/>
                <w:color w:val="auto"/>
              </w:rPr>
              <w:t>Stock Options Exercisable</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5"/>
                <w:szCs w:val="15"/>
                <w:color w:val="auto"/>
                <w:w w:val="91"/>
              </w:rPr>
              <w:t>Weighted</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left="23"/>
              <w:spacing w:after="0" w:line="142" w:lineRule="exact"/>
              <w:rPr>
                <w:sz w:val="20"/>
                <w:szCs w:val="20"/>
                <w:color w:val="auto"/>
              </w:rPr>
            </w:pPr>
            <w:r>
              <w:rPr>
                <w:rFonts w:ascii="Arial" w:cs="Arial" w:eastAsia="Arial" w:hAnsi="Arial"/>
                <w:sz w:val="15"/>
                <w:szCs w:val="15"/>
                <w:color w:val="auto"/>
                <w:w w:val="91"/>
              </w:rPr>
              <w:t>Weighted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89"/>
              </w:rPr>
              <w:t>Average</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left="3"/>
              <w:spacing w:after="0" w:line="162" w:lineRule="exact"/>
              <w:rPr>
                <w:sz w:val="20"/>
                <w:szCs w:val="20"/>
                <w:color w:val="auto"/>
              </w:rPr>
            </w:pPr>
            <w:r>
              <w:rPr>
                <w:rFonts w:ascii="Arial" w:cs="Arial" w:eastAsia="Arial" w:hAnsi="Arial"/>
                <w:sz w:val="15"/>
                <w:szCs w:val="15"/>
                <w:color w:val="auto"/>
                <w:w w:val="93"/>
              </w:rPr>
              <w:t>Average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1"/>
              </w:rPr>
              <w:t>Remaining</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1"/>
              </w:rPr>
              <w:t>Weighted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left="3"/>
              <w:spacing w:after="0" w:line="162" w:lineRule="exact"/>
              <w:rPr>
                <w:sz w:val="20"/>
                <w:szCs w:val="20"/>
                <w:color w:val="auto"/>
              </w:rPr>
            </w:pPr>
            <w:r>
              <w:rPr>
                <w:rFonts w:ascii="Arial" w:cs="Arial" w:eastAsia="Arial" w:hAnsi="Arial"/>
                <w:sz w:val="15"/>
                <w:szCs w:val="15"/>
                <w:color w:val="auto"/>
                <w:w w:val="94"/>
              </w:rPr>
              <w:t>Remaining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spacing w:after="0" w:line="162" w:lineRule="exact"/>
              <w:rPr>
                <w:sz w:val="20"/>
                <w:szCs w:val="20"/>
                <w:color w:val="auto"/>
              </w:rPr>
            </w:pPr>
            <w:r>
              <w:rPr>
                <w:rFonts w:ascii="Arial" w:cs="Arial" w:eastAsia="Arial" w:hAnsi="Arial"/>
                <w:sz w:val="15"/>
                <w:szCs w:val="15"/>
                <w:color w:val="auto"/>
                <w:w w:val="91"/>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Range of</w:t>
            </w:r>
          </w:p>
        </w:tc>
        <w:tc>
          <w:tcPr>
            <w:tcW w:w="1160" w:type="dxa"/>
            <w:vAlign w:val="bottom"/>
          </w:tcPr>
          <w:p>
            <w:pPr>
              <w:jc w:val="right"/>
              <w:ind w:right="243"/>
              <w:spacing w:after="0" w:line="162" w:lineRule="exact"/>
              <w:rPr>
                <w:sz w:val="20"/>
                <w:szCs w:val="20"/>
                <w:color w:val="auto"/>
              </w:rPr>
            </w:pPr>
            <w:r>
              <w:rPr>
                <w:rFonts w:ascii="Arial" w:cs="Arial" w:eastAsia="Arial" w:hAnsi="Arial"/>
                <w:sz w:val="15"/>
                <w:szCs w:val="15"/>
                <w:color w:val="auto"/>
              </w:rPr>
              <w:t>Options</w:t>
            </w:r>
          </w:p>
        </w:tc>
        <w:tc>
          <w:tcPr>
            <w:tcW w:w="140" w:type="dxa"/>
            <w:vAlign w:val="bottom"/>
          </w:tcPr>
          <w:p>
            <w:pPr>
              <w:spacing w:after="0"/>
              <w:rPr>
                <w:sz w:val="14"/>
                <w:szCs w:val="14"/>
                <w:color w:val="auto"/>
              </w:rPr>
            </w:pPr>
          </w:p>
        </w:tc>
        <w:tc>
          <w:tcPr>
            <w:tcW w:w="12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1"/>
              </w:rPr>
              <w:t>Contractual</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Average</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92"/>
              </w:rPr>
              <w:t>Aggregate</w:t>
            </w:r>
          </w:p>
        </w:tc>
        <w:tc>
          <w:tcPr>
            <w:tcW w:w="1120" w:type="dxa"/>
            <w:vAlign w:val="bottom"/>
          </w:tcPr>
          <w:p>
            <w:pPr>
              <w:jc w:val="right"/>
              <w:ind w:right="243"/>
              <w:spacing w:after="0" w:line="162" w:lineRule="exact"/>
              <w:rPr>
                <w:sz w:val="20"/>
                <w:szCs w:val="20"/>
                <w:color w:val="auto"/>
              </w:rPr>
            </w:pPr>
            <w:r>
              <w:rPr>
                <w:rFonts w:ascii="Arial" w:cs="Arial" w:eastAsia="Arial" w:hAnsi="Arial"/>
                <w:sz w:val="15"/>
                <w:szCs w:val="15"/>
                <w:color w:val="auto"/>
              </w:rPr>
              <w:t>Options</w:t>
            </w:r>
          </w:p>
        </w:tc>
        <w:tc>
          <w:tcPr>
            <w:tcW w:w="100" w:type="dxa"/>
            <w:vAlign w:val="bottom"/>
          </w:tcPr>
          <w:p>
            <w:pPr>
              <w:spacing w:after="0"/>
              <w:rPr>
                <w:sz w:val="14"/>
                <w:szCs w:val="14"/>
                <w:color w:val="auto"/>
              </w:rPr>
            </w:pPr>
          </w:p>
        </w:tc>
        <w:tc>
          <w:tcPr>
            <w:tcW w:w="1040" w:type="dxa"/>
            <w:vAlign w:val="bottom"/>
            <w:gridSpan w:val="2"/>
          </w:tcPr>
          <w:p>
            <w:pPr>
              <w:jc w:val="center"/>
              <w:ind w:left="3"/>
              <w:spacing w:after="0" w:line="162" w:lineRule="exact"/>
              <w:rPr>
                <w:sz w:val="20"/>
                <w:szCs w:val="20"/>
                <w:color w:val="auto"/>
              </w:rPr>
            </w:pPr>
            <w:r>
              <w:rPr>
                <w:rFonts w:ascii="Arial" w:cs="Arial" w:eastAsia="Arial" w:hAnsi="Arial"/>
                <w:sz w:val="15"/>
                <w:szCs w:val="15"/>
                <w:color w:val="auto"/>
                <w:w w:val="93"/>
              </w:rPr>
              <w:t>Contractual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spacing w:after="0" w:line="162" w:lineRule="exact"/>
              <w:rPr>
                <w:sz w:val="20"/>
                <w:szCs w:val="20"/>
                <w:color w:val="auto"/>
              </w:rPr>
            </w:pPr>
            <w:r>
              <w:rPr>
                <w:rFonts w:ascii="Arial" w:cs="Arial" w:eastAsia="Arial" w:hAnsi="Arial"/>
                <w:sz w:val="15"/>
                <w:szCs w:val="15"/>
                <w:color w:val="auto"/>
                <w:w w:val="89"/>
              </w:rPr>
              <w:t>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57"/>
              <w:spacing w:after="0" w:line="162" w:lineRule="exact"/>
              <w:rPr>
                <w:sz w:val="20"/>
                <w:szCs w:val="20"/>
                <w:color w:val="auto"/>
              </w:rPr>
            </w:pPr>
            <w:r>
              <w:rPr>
                <w:rFonts w:ascii="Arial" w:cs="Arial" w:eastAsia="Arial" w:hAnsi="Arial"/>
                <w:sz w:val="15"/>
                <w:szCs w:val="15"/>
                <w:color w:val="auto"/>
              </w:rPr>
              <w:t>Aggregate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gridSpan w:val="3"/>
          </w:tcPr>
          <w:p>
            <w:pPr>
              <w:ind w:left="140"/>
              <w:spacing w:after="0"/>
              <w:rPr>
                <w:sz w:val="20"/>
                <w:szCs w:val="20"/>
                <w:color w:val="auto"/>
              </w:rPr>
            </w:pPr>
            <w:r>
              <w:rPr>
                <w:rFonts w:ascii="Arial" w:cs="Arial" w:eastAsia="Arial" w:hAnsi="Arial"/>
                <w:sz w:val="15"/>
                <w:szCs w:val="15"/>
                <w:color w:val="auto"/>
              </w:rPr>
              <w:t>Exercise Prices</w:t>
            </w:r>
          </w:p>
        </w:tc>
        <w:tc>
          <w:tcPr>
            <w:tcW w:w="1160" w:type="dxa"/>
            <w:vAlign w:val="bottom"/>
          </w:tcPr>
          <w:p>
            <w:pPr>
              <w:jc w:val="right"/>
              <w:ind w:right="123"/>
              <w:spacing w:after="0"/>
              <w:rPr>
                <w:sz w:val="20"/>
                <w:szCs w:val="20"/>
                <w:color w:val="auto"/>
              </w:rPr>
            </w:pPr>
            <w:r>
              <w:rPr>
                <w:rFonts w:ascii="Arial" w:cs="Arial" w:eastAsia="Arial" w:hAnsi="Arial"/>
                <w:sz w:val="15"/>
                <w:szCs w:val="15"/>
                <w:color w:val="auto"/>
              </w:rPr>
              <w:t>Outstanding</w:t>
            </w:r>
          </w:p>
        </w:tc>
        <w:tc>
          <w:tcPr>
            <w:tcW w:w="14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5"/>
                <w:szCs w:val="15"/>
                <w:color w:val="auto"/>
                <w:w w:val="95"/>
              </w:rPr>
              <w:t>Life (Years)</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w w:val="91"/>
              </w:rPr>
              <w:t>Exercise Price</w:t>
            </w: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Intrinsic Value</w:t>
            </w:r>
          </w:p>
        </w:tc>
        <w:tc>
          <w:tcPr>
            <w:tcW w:w="1120" w:type="dxa"/>
            <w:vAlign w:val="bottom"/>
          </w:tcPr>
          <w:p>
            <w:pPr>
              <w:jc w:val="right"/>
              <w:ind w:right="123"/>
              <w:spacing w:after="0"/>
              <w:rPr>
                <w:sz w:val="20"/>
                <w:szCs w:val="20"/>
                <w:color w:val="auto"/>
              </w:rPr>
            </w:pPr>
            <w:r>
              <w:rPr>
                <w:rFonts w:ascii="Arial" w:cs="Arial" w:eastAsia="Arial" w:hAnsi="Arial"/>
                <w:sz w:val="15"/>
                <w:szCs w:val="15"/>
                <w:color w:val="auto"/>
              </w:rPr>
              <w:t>Outstanding</w:t>
            </w:r>
          </w:p>
        </w:tc>
        <w:tc>
          <w:tcPr>
            <w:tcW w:w="100" w:type="dxa"/>
            <w:vAlign w:val="bottom"/>
          </w:tcPr>
          <w:p>
            <w:pPr>
              <w:spacing w:after="0"/>
              <w:rPr>
                <w:sz w:val="15"/>
                <w:szCs w:val="15"/>
                <w:color w:val="auto"/>
              </w:rPr>
            </w:pPr>
          </w:p>
        </w:tc>
        <w:tc>
          <w:tcPr>
            <w:tcW w:w="1040" w:type="dxa"/>
            <w:vAlign w:val="bottom"/>
            <w:gridSpan w:val="2"/>
          </w:tcPr>
          <w:p>
            <w:pPr>
              <w:jc w:val="center"/>
              <w:ind w:left="3"/>
              <w:spacing w:after="0"/>
              <w:rPr>
                <w:sz w:val="20"/>
                <w:szCs w:val="20"/>
                <w:color w:val="auto"/>
              </w:rPr>
            </w:pPr>
            <w:r>
              <w:rPr>
                <w:rFonts w:ascii="Arial" w:cs="Arial" w:eastAsia="Arial" w:hAnsi="Arial"/>
                <w:sz w:val="15"/>
                <w:szCs w:val="15"/>
                <w:color w:val="auto"/>
                <w:w w:val="92"/>
              </w:rPr>
              <w:t>Life (Years)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5"/>
                <w:szCs w:val="15"/>
                <w:color w:val="auto"/>
                <w:w w:val="91"/>
              </w:rPr>
              <w:t>Exercise Price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5"/>
                <w:szCs w:val="15"/>
                <w:color w:val="auto"/>
                <w:w w:val="93"/>
              </w:rPr>
              <w:t>Intrinsic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0"/>
              </w:rPr>
              <w:t>$1.34</w:t>
            </w:r>
          </w:p>
        </w:tc>
        <w:tc>
          <w:tcPr>
            <w:tcW w:w="10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 $2.06</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35,168</w:t>
            </w:r>
          </w:p>
        </w:tc>
        <w:tc>
          <w:tcPr>
            <w:tcW w:w="14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7.9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1.96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14,966</w:t>
            </w: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12,928</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6.2</w:t>
            </w: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gridSpan w:val="2"/>
            <w:shd w:val="clear" w:color="auto" w:fill="CCEEFF"/>
          </w:tcPr>
          <w:p>
            <w:pPr>
              <w:jc w:val="right"/>
              <w:ind w:right="30"/>
              <w:spacing w:after="0" w:line="156" w:lineRule="exact"/>
              <w:rPr>
                <w:sz w:val="20"/>
                <w:szCs w:val="20"/>
                <w:color w:val="auto"/>
              </w:rPr>
            </w:pPr>
            <w:r>
              <w:rPr>
                <w:rFonts w:ascii="Arial" w:cs="Arial" w:eastAsia="Arial" w:hAnsi="Arial"/>
                <w:sz w:val="15"/>
                <w:szCs w:val="15"/>
                <w:color w:val="auto"/>
              </w:rPr>
              <w:t>1.80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17"/>
              <w:spacing w:after="0" w:line="156" w:lineRule="exact"/>
              <w:rPr>
                <w:sz w:val="20"/>
                <w:szCs w:val="20"/>
                <w:color w:val="auto"/>
              </w:rPr>
            </w:pPr>
            <w:r>
              <w:rPr>
                <w:rFonts w:ascii="Arial" w:cs="Arial" w:eastAsia="Arial" w:hAnsi="Arial"/>
                <w:sz w:val="15"/>
                <w:szCs w:val="15"/>
                <w:color w:val="auto"/>
              </w:rPr>
              <w:t>7,627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line="162" w:lineRule="exact"/>
              <w:rPr>
                <w:sz w:val="20"/>
                <w:szCs w:val="20"/>
                <w:color w:val="auto"/>
              </w:rPr>
            </w:pPr>
            <w:r>
              <w:rPr>
                <w:rFonts w:ascii="Arial" w:cs="Arial" w:eastAsia="Arial" w:hAnsi="Arial"/>
                <w:sz w:val="15"/>
                <w:szCs w:val="15"/>
                <w:color w:val="auto"/>
                <w:w w:val="90"/>
              </w:rPr>
              <w:t>$2.96</w:t>
            </w:r>
          </w:p>
        </w:tc>
        <w:tc>
          <w:tcPr>
            <w:tcW w:w="1000" w:type="dxa"/>
            <w:vAlign w:val="bottom"/>
          </w:tcPr>
          <w:p>
            <w:pPr>
              <w:ind w:left="20"/>
              <w:spacing w:after="0" w:line="162" w:lineRule="exact"/>
              <w:rPr>
                <w:sz w:val="20"/>
                <w:szCs w:val="20"/>
                <w:color w:val="auto"/>
              </w:rPr>
            </w:pPr>
            <w:r>
              <w:rPr>
                <w:rFonts w:ascii="Arial" w:cs="Arial" w:eastAsia="Arial" w:hAnsi="Arial"/>
                <w:sz w:val="15"/>
                <w:szCs w:val="15"/>
                <w:color w:val="auto"/>
              </w:rPr>
              <w:t>- $4.60</w:t>
            </w:r>
          </w:p>
        </w:tc>
        <w:tc>
          <w:tcPr>
            <w:tcW w:w="120" w:type="dxa"/>
            <w:vAlign w:val="bottom"/>
          </w:tcPr>
          <w:p>
            <w:pPr>
              <w:spacing w:after="0"/>
              <w:rPr>
                <w:sz w:val="14"/>
                <w:szCs w:val="14"/>
                <w:color w:val="auto"/>
              </w:rPr>
            </w:pPr>
          </w:p>
        </w:tc>
        <w:tc>
          <w:tcPr>
            <w:tcW w:w="11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2,563,017</w:t>
            </w:r>
          </w:p>
        </w:tc>
        <w:tc>
          <w:tcPr>
            <w:tcW w:w="1300" w:type="dxa"/>
            <w:vAlign w:val="bottom"/>
            <w:gridSpan w:val="2"/>
          </w:tcPr>
          <w:p>
            <w:pPr>
              <w:jc w:val="right"/>
              <w:ind w:right="43"/>
              <w:spacing w:after="0" w:line="162" w:lineRule="exact"/>
              <w:rPr>
                <w:sz w:val="20"/>
                <w:szCs w:val="20"/>
                <w:color w:val="auto"/>
              </w:rPr>
            </w:pPr>
            <w:r>
              <w:rPr>
                <w:rFonts w:ascii="Arial" w:cs="Arial" w:eastAsia="Arial" w:hAnsi="Arial"/>
                <w:sz w:val="15"/>
                <w:szCs w:val="15"/>
                <w:color w:val="auto"/>
              </w:rPr>
              <w:t>8.7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3.66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line="162" w:lineRule="exact"/>
              <w:rPr>
                <w:sz w:val="20"/>
                <w:szCs w:val="20"/>
                <w:color w:val="auto"/>
              </w:rPr>
            </w:pPr>
            <w:r>
              <w:rPr>
                <w:rFonts w:ascii="Arial" w:cs="Arial" w:eastAsia="Arial" w:hAnsi="Arial"/>
                <w:sz w:val="15"/>
                <w:szCs w:val="15"/>
                <w:color w:val="auto"/>
              </w:rPr>
              <w:t>789,901</w:t>
            </w:r>
          </w:p>
        </w:tc>
        <w:tc>
          <w:tcPr>
            <w:tcW w:w="114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8.4</w:t>
            </w:r>
          </w:p>
        </w:tc>
        <w:tc>
          <w:tcPr>
            <w:tcW w:w="860" w:type="dxa"/>
            <w:vAlign w:val="bottom"/>
            <w:gridSpan w:val="3"/>
          </w:tcPr>
          <w:p>
            <w:pPr>
              <w:jc w:val="right"/>
              <w:ind w:right="530"/>
              <w:spacing w:after="0" w:line="162" w:lineRule="exact"/>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30"/>
              <w:spacing w:after="0" w:line="162" w:lineRule="exact"/>
              <w:rPr>
                <w:sz w:val="20"/>
                <w:szCs w:val="20"/>
                <w:color w:val="auto"/>
              </w:rPr>
            </w:pPr>
            <w:r>
              <w:rPr>
                <w:rFonts w:ascii="Arial" w:cs="Arial" w:eastAsia="Arial" w:hAnsi="Arial"/>
                <w:sz w:val="15"/>
                <w:szCs w:val="15"/>
                <w:color w:val="auto"/>
              </w:rPr>
              <w:t>3.64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7"/>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0"/>
              </w:rPr>
              <w:t>$4.72</w:t>
            </w:r>
          </w:p>
        </w:tc>
        <w:tc>
          <w:tcPr>
            <w:tcW w:w="10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 $7.21</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593,893</w:t>
            </w:r>
          </w:p>
        </w:tc>
        <w:tc>
          <w:tcPr>
            <w:tcW w:w="1300" w:type="dxa"/>
            <w:vAlign w:val="bottom"/>
            <w:gridSpan w:val="2"/>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8.4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5.52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262,908</w:t>
            </w:r>
          </w:p>
        </w:tc>
        <w:tc>
          <w:tcPr>
            <w:tcW w:w="11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7.4</w:t>
            </w:r>
          </w:p>
        </w:tc>
        <w:tc>
          <w:tcPr>
            <w:tcW w:w="860" w:type="dxa"/>
            <w:vAlign w:val="bottom"/>
            <w:gridSpan w:val="3"/>
            <w:shd w:val="clear" w:color="auto" w:fill="CCEEFF"/>
          </w:tcPr>
          <w:p>
            <w:pPr>
              <w:jc w:val="right"/>
              <w:ind w:right="530"/>
              <w:spacing w:after="0" w:line="162"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30"/>
              <w:spacing w:after="0" w:line="162" w:lineRule="exact"/>
              <w:rPr>
                <w:sz w:val="20"/>
                <w:szCs w:val="20"/>
                <w:color w:val="auto"/>
              </w:rPr>
            </w:pPr>
            <w:r>
              <w:rPr>
                <w:rFonts w:ascii="Arial" w:cs="Arial" w:eastAsia="Arial" w:hAnsi="Arial"/>
                <w:sz w:val="15"/>
                <w:szCs w:val="15"/>
                <w:color w:val="auto"/>
              </w:rPr>
              <w:t>5.66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7"/>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80" w:type="dxa"/>
            <w:vAlign w:val="bottom"/>
            <w:gridSpan w:val="2"/>
          </w:tcPr>
          <w:p>
            <w:pPr>
              <w:spacing w:after="0"/>
              <w:rPr>
                <w:sz w:val="20"/>
                <w:szCs w:val="20"/>
                <w:color w:val="auto"/>
              </w:rPr>
            </w:pPr>
            <w:r>
              <w:rPr>
                <w:rFonts w:ascii="Arial" w:cs="Arial" w:eastAsia="Arial" w:hAnsi="Arial"/>
                <w:sz w:val="15"/>
                <w:szCs w:val="15"/>
                <w:color w:val="auto"/>
                <w:w w:val="95"/>
              </w:rPr>
              <w:t>$7.56</w:t>
            </w:r>
          </w:p>
        </w:tc>
        <w:tc>
          <w:tcPr>
            <w:tcW w:w="1000" w:type="dxa"/>
            <w:vAlign w:val="bottom"/>
          </w:tcPr>
          <w:p>
            <w:pPr>
              <w:ind w:left="20"/>
              <w:spacing w:after="0"/>
              <w:rPr>
                <w:sz w:val="20"/>
                <w:szCs w:val="20"/>
                <w:color w:val="auto"/>
              </w:rPr>
            </w:pPr>
            <w:r>
              <w:rPr>
                <w:rFonts w:ascii="Arial" w:cs="Arial" w:eastAsia="Arial" w:hAnsi="Arial"/>
                <w:sz w:val="15"/>
                <w:szCs w:val="15"/>
                <w:color w:val="auto"/>
              </w:rPr>
              <w:t>- $10.80</w:t>
            </w:r>
          </w:p>
        </w:tc>
        <w:tc>
          <w:tcPr>
            <w:tcW w:w="120" w:type="dxa"/>
            <w:vAlign w:val="bottom"/>
          </w:tcPr>
          <w:p>
            <w:pPr>
              <w:spacing w:after="0"/>
              <w:rPr>
                <w:sz w:val="15"/>
                <w:szCs w:val="15"/>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1,150,153</w:t>
            </w:r>
          </w:p>
        </w:tc>
        <w:tc>
          <w:tcPr>
            <w:tcW w:w="1300" w:type="dxa"/>
            <w:vAlign w:val="bottom"/>
            <w:gridSpan w:val="2"/>
          </w:tcPr>
          <w:p>
            <w:pPr>
              <w:jc w:val="right"/>
              <w:ind w:right="43"/>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8.39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1,126,926</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4.3</w:t>
            </w:r>
          </w:p>
        </w:tc>
        <w:tc>
          <w:tcPr>
            <w:tcW w:w="860" w:type="dxa"/>
            <w:vAlign w:val="bottom"/>
            <w:gridSpan w:val="3"/>
          </w:tcPr>
          <w:p>
            <w:pPr>
              <w:jc w:val="right"/>
              <w:ind w:right="530"/>
              <w:spacing w:after="0"/>
              <w:rPr>
                <w:sz w:val="20"/>
                <w:szCs w:val="20"/>
                <w:color w:val="auto"/>
              </w:rPr>
            </w:pPr>
            <w:r>
              <w:rPr>
                <w:rFonts w:ascii="Arial" w:cs="Arial" w:eastAsia="Arial" w:hAnsi="Arial"/>
                <w:sz w:val="15"/>
                <w:szCs w:val="15"/>
                <w:color w:val="auto"/>
              </w:rPr>
              <w:t>$</w:t>
            </w:r>
          </w:p>
        </w:tc>
        <w:tc>
          <w:tcPr>
            <w:tcW w:w="460" w:type="dxa"/>
            <w:vAlign w:val="bottom"/>
            <w:gridSpan w:val="2"/>
          </w:tcPr>
          <w:p>
            <w:pPr>
              <w:jc w:val="right"/>
              <w:ind w:right="30"/>
              <w:spacing w:after="0"/>
              <w:rPr>
                <w:sz w:val="20"/>
                <w:szCs w:val="20"/>
                <w:color w:val="auto"/>
              </w:rPr>
            </w:pPr>
            <w:r>
              <w:rPr>
                <w:rFonts w:ascii="Arial" w:cs="Arial" w:eastAsia="Arial" w:hAnsi="Arial"/>
                <w:sz w:val="15"/>
                <w:szCs w:val="15"/>
                <w:color w:val="auto"/>
              </w:rPr>
              <w:t>8.37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4,342,231</w:t>
            </w:r>
          </w:p>
        </w:tc>
        <w:tc>
          <w:tcPr>
            <w:tcW w:w="130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14,966</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2,192,663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60" w:type="dxa"/>
            <w:vAlign w:val="bottom"/>
            <w:gridSpan w:val="3"/>
            <w:shd w:val="clear" w:color="auto" w:fill="CCEEFF"/>
          </w:tcPr>
          <w:p>
            <w:pPr>
              <w:jc w:val="right"/>
              <w:ind w:right="530"/>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rPr>
              <w:t>6.30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rPr>
              <w:t>7,627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gridSpan w:val="15"/>
          </w:tcPr>
          <w:p>
            <w:pPr>
              <w:spacing w:after="0"/>
              <w:rPr>
                <w:sz w:val="20"/>
                <w:szCs w:val="20"/>
                <w:color w:val="auto"/>
              </w:rPr>
            </w:pPr>
            <w:r>
              <w:rPr>
                <w:rFonts w:ascii="Arial" w:cs="Arial" w:eastAsia="Arial" w:hAnsi="Arial"/>
                <w:sz w:val="18"/>
                <w:szCs w:val="18"/>
                <w:color w:val="auto"/>
                <w:w w:val="94"/>
              </w:rPr>
              <w:t>Stock-based compensation expense for the years ended December 31, 2018 and 2017 was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gridSpan w:val="6"/>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457"/>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292,736</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Plasma centers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34,797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Selling, general and administrative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89"/>
              </w:rPr>
              <w:t>1,739,037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1,081,236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jc w:val="right"/>
              <w:ind w:right="50"/>
              <w:spacing w:after="0"/>
              <w:rPr>
                <w:sz w:val="20"/>
                <w:szCs w:val="20"/>
                <w:color w:val="auto"/>
              </w:rPr>
            </w:pPr>
            <w:r>
              <w:rPr>
                <w:rFonts w:ascii="Arial" w:cs="Arial" w:eastAsia="Arial" w:hAnsi="Arial"/>
                <w:sz w:val="18"/>
                <w:szCs w:val="18"/>
                <w:color w:val="auto"/>
              </w:rPr>
              <w:t>156,718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52,168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7"/>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7"/>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9"/>
              </w:rPr>
              <w:t>2,223,288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1,561,659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December 31, 2018, the total unrecognized compensation expense related to unvested options was $4.3 million, which is expected to be recognized over a weighted-average period of 2.6 years. The Company’s outstanding and exercisable options had an intrinsic value of approximately $8,000 as of December 31, 2018.</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94" w:name="page95"/>
    <w:bookmarkEnd w:id="9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0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leases an office building and equipment from Areth, LLC (“Areth”) pursuant to an agreement for services effective as of January 1, 2016, as amended from time to time. Effective October 1, 2017, monthly rent on this facility was reduced to $10,000. On September 27, 2018, the agreement was amended to extend the term of the agreement through September 30, 2019. Rent expense amounted to $0.1 million and $0.2 million for the years December 31, 2018 and 2017, respectively, and includes fees for the use of such office space and for other information technology, general warehousing and administrative services. Areth is a company controlled by Dr. Jerrold B. Grossman, the Company’s Vice Chairman,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years ended December 31, 2018 and 2017.</w:t>
      </w:r>
    </w:p>
    <w:p>
      <w:pPr>
        <w:spacing w:after="0" w:line="167"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As of December 31, 2018 and 2017, the Company has a $15.0 million subordinated note payable to Biotest (see Note 7), and the Company recognized interest expense on this note for the years ended December 31, 2018 and 2017 in the amount of $0.9 million and $0.5 million,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2018 and 2017, the Company recognized revenues under its out-licensing agreement with Biotest of $0.1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of $2.5 million and $2.7 million as of December 31, 2018 and 2017, respectively, is related to this agreement.</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Biotest is the Company’s largest customer for the sale of normal source plasma. Plasma sales to Biotest for the years ended December 31, 2018 and 2017 were $9.6 million and $10.7 million, respectively. Accounts receivable includes $1.0 million and $1.2 million due from Biotest as of December 31, 2018 and 2017, respectively. Additionally, Biotest is a supplier of plasma to ADMA, with the Company purchasing approximately $7.8 million and $2.8 million of plasma in the years ended December 31, 2018 and 2017, respectively. Included in accounts payable is approximately $2.0 million and $0.1 million due to Biotest as of December 31, 2018 and 2017, respectively. The following table summarizes the related party balances with Biotest:</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 and purchase of plasma</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9,564,388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10,664,456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7,822,226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2,776,959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912,500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520,000</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961,145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Accounts payable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2,010,774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139,939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Note payable, net of discount</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14,874,184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14,842,396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Deferred revenue</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2,547,199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2,690,033</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5" w:name="page96"/>
    <w:bookmarkEnd w:id="95"/>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In connection with the acquisition of the Biotest Assets, the Company entered into a Transition Services Agreement with BPC pursuant to which each of the Company and BPC agreed to provide transition services to the other party, including services related to finance, human resources, information technologies, leasing of equipment and clinical and regulatory services for a period of up to 24 months after the June 6, 2017 closing date, as well as agreements to lease certain laboratory space within the Boca Facility to BPC for a period of up to 24 months after the closing date of the acquisition transaction. As of December 31, 2018 and 2017, approximately $11,000 and $0.3 million, respectively, was payable by the Company to BPC for expenses incurred on behalf of the Company and services related to these agreements. This amount is reflected in accrued expenses in the accompanying consolidated balance sheets. The services component of amounts billed to the Company by BPC for the year ended December 31, 2018 and 2017 was not material to the Company’s consolidated financial statements.</w:t>
      </w:r>
    </w:p>
    <w:p>
      <w:pPr>
        <w:spacing w:after="0" w:line="17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Under the terms of the Biotest Transaction, the Company transferred ownership of two plasma collection centers to BPC on January 1, 2019 (see Note 17). The Company has estimated the fair value of these assets to be $12.6 million, and the obligation to transfer these assets to Biotest is reflected in non-current liabilities in the accompanying consolidated balance sheets as of December 31, 2018 and 2017. The Company has also entered into several plasma supply agreements with BPC (see Note 10).</w:t>
      </w:r>
    </w:p>
    <w:p>
      <w:pPr>
        <w:spacing w:after="0" w:line="183"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has entered into various non-cancelable operating lease agreements for its three ADMA Bio Centers facilities in Georgia, as well as for certain operating equipment and office space. Two of these leases were assigned to BPC on January 1, 2019 (see Note 17). Total rent expense for the Company’s leased facilities and equipment was $1.1 million and $0.6 million for the years ended December 31, 2018 and 2017, respectively. Future minimum lease payments under the Company’s operating leases for each of the next five years ending December 31, and thereafter are as follows:</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7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455,444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2020</w:t>
            </w:r>
          </w:p>
        </w:tc>
        <w:tc>
          <w:tcPr>
            <w:tcW w:w="4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361,719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339,813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4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340,849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343,898</w:t>
            </w: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606,913</w:t>
            </w:r>
          </w:p>
        </w:tc>
      </w:tr>
      <w:tr>
        <w:trPr>
          <w:trHeight w:val="210"/>
        </w:trPr>
        <w:tc>
          <w:tcPr>
            <w:tcW w:w="4980" w:type="dxa"/>
            <w:vAlign w:val="bottom"/>
            <w:tcBorders>
              <w:bottom w:val="single" w:sz="8" w:color="CCEEFF"/>
            </w:tcBorders>
            <w:shd w:val="clear" w:color="auto" w:fill="CCEEFF"/>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2,448,636</w:t>
            </w:r>
          </w:p>
        </w:tc>
      </w:tr>
      <w:tr>
        <w:trPr>
          <w:trHeight w:val="20"/>
        </w:trPr>
        <w:tc>
          <w:tcPr>
            <w:tcW w:w="49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Vendor and Licensor Commitments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 license agreement effective December 31, 2012, the Company granted Biotest an exclusive license to market and sell RI-002 in Europe and in selected countries in North Africa and the Middle East, (the “Territory”), to have access to the Company’s testing services for testing of BPC’s plasma samples using the Company’s proprietary respiratory syncytial virus (“RSV”) assay, and to reference (but not access) the Company’s proprietary information for the purpose of Biotest seeking regulatory approval for RI-002 in the Territory. In addition, the Company is obligated to provide Biotest with research and development services and regulatory support in obtaining approvals of any studies conducted or already conducted by or on behalf of the Company. As consideration for the license, Biotest agreed to provide the Company with certain services at no charge and also compensate the Company with cash payments upon the completion of certain milestones (see Note 9). Such services have been accounted for as deferred revenue which was recognized in 2013 as a result of certain research and development services as provided for in accordance with the license agreement. Deferred revenue is recognized over the term of the license and is amortized into income for a period of approximately 22 years, the term of the license agreement. Biotest is also obligated to pay the Company an adjustable royalty based on a percentage of revenues from the sale of RI-002 in the Territory for 20 years from the date of first commercial sale.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6" w:name="page97"/>
    <w:bookmarkEnd w:id="96"/>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RI-</w:t>
      </w:r>
    </w:p>
    <w:p>
      <w:pPr>
        <w:ind w:right="40" w:firstLine="8"/>
        <w:spacing w:after="0" w:line="286" w:lineRule="auto"/>
        <w:tabs>
          <w:tab w:leader="none" w:pos="40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approaches commercialization for RI-002. Unless terminated earlier, the 2011 Plasma Purchase Agreement expires in June 2027, after which it may be renewed for two additional five-year periods if agreed to by the parties. As part of the closing of the Biotest Transaction, the parties amended the 2011 Plasma Purchase Agreement to extend the initial term through the ten 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 purchase RSV plasma from Grifols from the two plasma collection centers which were transferred to BPC on January 1, 2019 at a price equal to cost plus five percent (5%) (without any additional increase due to inflation).</w:t>
      </w:r>
    </w:p>
    <w:p>
      <w:pPr>
        <w:spacing w:after="0" w:line="16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March 23, 2016, the Company entered into an Amended and Restated Plasma Supply Agreement with BPC for the purchase by BPC of normal source plasma to be derived from automated plasmapheresis procedures conducted at ADMA Bio Centers’ Norcross, GA and Marietta, GA facilities to be used in BPC's proprietary products’ manufacturing (the “Amended and Restated Plasma Supply Agreement”). Under the Amended and Restated Plasma Supply Agreement, BPC obtained GHA certification of the two bio centers which the Company transferred to BPC on January 1, 2019. The initial term of the Amended and Restated Plasma Supply Agreement expired by its terms on December 31, 2018 and was not renewed.</w:t>
      </w:r>
    </w:p>
    <w:p>
      <w:pPr>
        <w:spacing w:after="0" w:line="17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among other things, that in the event BPC elects not to supply in excess of ADMA BioManufacturing’s specified amount of Hepatitis B plasma and ADMA BioManufacturing is unable to secure Hepatitis B plasma from a third party at a price which is within a low double digit percentage of the price which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 digit percentage of ADMA BioManufacturing’s requested NSP amounts, provided that such requested normal source plasma amounts are within an agreed range, at a price per liter to be mutually determined. Furthermore, pursuant to the amendment to the 2017 Plasma Purchase Agreement, in the event BPC fails to supply ADMA BioManufacturing with at least a high double digit percentage of ADMA BioManufacturing’s requested normal source plasma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7" w:name="page98"/>
    <w:bookmarkEnd w:id="97"/>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contracts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Company has entered into employment agreements with its executive management team consisting of its President and Chief Executive Officer, its Executive Vice President, Chief Medical Officer and Chief Scientific Officer and its Executive Vice President and 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Manufacturing Agreement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connection with the acquisition of the Biotest Assets, the Company acquired all of the rights and assumed all of the obligations under an existing agreement with a third party related to the fractionation of plasma provided by the third party. As more fully described in Note 6, the contract was amended on December 22, 2017 with reduced production requirements. The contract maintains minimum production requirements as well as a payment due to the counterparty to the contract of $1.5 million per year if the minimum volume is not manufactured in that year and no other breach or default under the contract has occurred.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legal matters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commitments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2018. The Company does not anticipate recognizing any significant losses relating to these arrangements.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53"/>
        </w:trPr>
        <w:tc>
          <w:tcPr>
            <w:tcW w:w="8240" w:type="dxa"/>
            <w:vAlign w:val="bottom"/>
            <w:gridSpan w:val="3"/>
          </w:tcPr>
          <w:p>
            <w:pPr>
              <w:spacing w:after="0"/>
              <w:rPr>
                <w:sz w:val="20"/>
                <w:szCs w:val="20"/>
                <w:color w:val="auto"/>
              </w:rPr>
            </w:pPr>
            <w:r>
              <w:rPr>
                <w:rFonts w:ascii="Arial" w:cs="Arial" w:eastAsia="Arial" w:hAnsi="Arial"/>
                <w:sz w:val="18"/>
                <w:szCs w:val="18"/>
                <w:color w:val="auto"/>
                <w:w w:val="94"/>
              </w:rPr>
              <w:t>A reconciliation of income taxes at the U.S. Federal statutory rate to the benefit for income taxes is as follows: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6"/>
        </w:trPr>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0"/>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 at U.S. federal statutory rate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(13,806,124)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(14,758,443)</w:t>
            </w: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State taxes - deferred</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(1,443,538)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(1,581,844)</w:t>
            </w:r>
          </w:p>
        </w:tc>
      </w:tr>
      <w:tr>
        <w:trPr>
          <w:trHeight w:val="216"/>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(751,505)</w:t>
            </w: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Research and development credits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(223,735)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(272,262)</w:t>
            </w:r>
          </w:p>
        </w:tc>
      </w:tr>
      <w:tr>
        <w:trPr>
          <w:trHeight w:val="216"/>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tax reform rate change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17,263,248</w:t>
            </w: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rPr>
              <w:t>Decrease in federal net operating loss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12,090,203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federal research and development credits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4,294,344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104,432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100,806</w:t>
            </w:r>
          </w:p>
        </w:tc>
      </w:tr>
      <w:tr>
        <w:trPr>
          <w:trHeight w:val="223"/>
        </w:trPr>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8" w:name="page99"/>
    <w:bookmarkEnd w:id="98"/>
    <w:p>
      <w:pPr>
        <w:ind w:left="10400"/>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A summary of the Company’s deferred tax assets is as follows: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6"/>
        </w:trPr>
        <w:tc>
          <w:tcPr>
            <w:tcW w:w="8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net operating loss carryforwards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26,080,351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29,137,918</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Federal and state research credits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525,248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4,526,201</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limitation carryforwards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1,159,422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Transaction costs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1,147,581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1,269,443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624,610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679,068</w:t>
            </w:r>
          </w:p>
        </w:tc>
      </w:tr>
      <w:tr>
        <w:trPr>
          <w:trHeight w:val="230"/>
        </w:trPr>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and other</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6,011,057</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951,219</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gross deferred tax assets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35,548,269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36,563,849</w:t>
            </w:r>
          </w:p>
        </w:tc>
      </w:tr>
      <w:tr>
        <w:trPr>
          <w:trHeight w:val="230"/>
        </w:trPr>
        <w:tc>
          <w:tcPr>
            <w:tcW w:w="8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valuation allowance for deferred tax assets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(35,548,269)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(36,563,849)</w:t>
            </w: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As of December 31, 2018, the Company had federal and state (post-apportioned basis) net operating losses (“NOLs”) of $108.5 million and $72.3 million, respectively, as well as federal research and development tax credit carryforwards of approximately $0.5 million. The NOLs will begin to expire at various dates beginning in 2027, if not limited by triggering events prior to such time. Under the provisions of the Internal Revenue Code, changes in ownership of the Company, in certain circumstances, will limit the amount of federal NOLs that can be utilized annually in the future to offset taxable income. In particular, section 382 of the Internal Revenue Code imposes limitations on an entity’s ability to use NOLs upon certain changes in ownership. If the Company is limited in its ability to use its NOLs in future years in which it has taxable income, then the Company will pay more taxes than if it were otherwise able to fully utilize its NOLs. The Company may experience ownership changes in the future as a result of subsequent shifts in ownership of the Company’s capital stock that the Company cannot predict or control that could result in further limitations being placed on the Company’s ability to utilize its federal NOLs. As of December 31, 2018, the Company performed a preliminary analysis of limitations imposed by section 382 of the Internal Revenue Code and as a result has written off $57.6 million of federal NOLs, $4.3 million of federal research and development tax credits, and $10.9 million of state NOL’s which are limited by historical ownership changes. As a result, there was a $16.9 million reduction to the Company’s deferred tax assets. However, as discussed below, the Company maintains a full valuation allowance against its deferred tax assets. Therefore, the $16.9 million reduction to the Company’s deferred tax assets is offset by a corresponding $16.9 million reduction to the Company’s valuation allowance for its net deferred tax assets, resulting in no net impact to the Company’s tax provision for the year ended December 31, 2018.</w:t>
      </w:r>
    </w:p>
    <w:p>
      <w:pPr>
        <w:spacing w:after="0" w:line="17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management continues to maintain a full valuation allowance against its net deferred tax assets.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22, 2017, the U.S. Government enacted the TCJA. The TCJA made broad changes to the U.S. tax code, including, but not limited to,</w:t>
      </w:r>
    </w:p>
    <w:p>
      <w:pPr>
        <w:spacing w:after="0" w:line="46" w:lineRule="exact"/>
        <w:rPr>
          <w:sz w:val="20"/>
          <w:szCs w:val="20"/>
          <w:color w:val="auto"/>
        </w:rPr>
      </w:pPr>
    </w:p>
    <w:p>
      <w:pPr>
        <w:ind w:right="400" w:firstLine="8"/>
        <w:spacing w:after="0" w:line="254"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reducing the U.S federal corporate tax rate from 35% to 21%; (2) eliminating the corporate alternative minimum tax; (3) creating a new limitation on deductible interest expense; (4) creating the base erosion and anti-abuse tax, a new minimum tax; (5) limitation on the deductibility of certain executive compensation; (6) enhancing the option to claim accelerated depreciation deductions on qualified property, and (7) changing the rules related to uses and limitations of NOLs in tax years beginning after December 31, 2017.</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9" w:name="page100"/>
    <w:bookmarkEnd w:id="99"/>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TCJA reduced the corporate tax rate to 21%, effective January 1, 2018, resulting in a reduction to the net deferred tax assets, along with a corresponding reduction to the valuation allowance for such deferred tax assets, of $17.3 million for the year ended December 31, 2017.</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TCJA contains significant limitations on the ability of a taxpayer to deduct interest paid or accrued. The accounting for this portion of the TCJA resulted in an increase to the net deferred tax assets, with a corresponding increase to the valuation allowance, of $1.2 million for the year ended December 31, 2018.</w:t>
      </w:r>
    </w:p>
    <w:p>
      <w:pPr>
        <w:spacing w:after="0" w:line="18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The amount of the liability for which an exposure exists is measured as the largest amount of benefit determined on a cumulative probability basis that the Company believes is more likely than not to be realized upon ultimate settlement of the position. Components of the liability are classified as either a current or a long-term liability in the accompanying consolidated balance sheets based on when the Company expects each of the items to be settled. The Company does not have any unrecognized tax benefits as of December 31, 2018 and 2017, and does not anticipate a significant change in unrecognized tax benefits during the next 12 months.</w:t>
      </w:r>
    </w:p>
    <w:p>
      <w:pPr>
        <w:spacing w:after="0" w:line="178"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is engaged in the manufacture, marketing and development of specialty plasma-derived biologics. The Company’s operating segments reflect the consummation of the Biotest Transaction on June 6, 2017 (see Notes 1 and 3), and the nature of its operations subsequent to the close of the transaction. The Company’s ADMA BioManufacturing segment reflects the Company’s immune globulin manufacturing and development operations in Florida, acquired on June 6, 2017 (see Note 3). The Plasma Collection Centers segment consists of three FDA-licensed source plasma collection facilities located in Georgia, two of which were transferred to Biotest on January 1, 2019 (see Note 17).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0" w:name="page101"/>
    <w:bookmarkEnd w:id="100"/>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6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420" w:type="dxa"/>
            <w:vAlign w:val="bottom"/>
          </w:tcPr>
          <w:p>
            <w:pPr>
              <w:spacing w:after="0"/>
              <w:rPr>
                <w:sz w:val="20"/>
                <w:szCs w:val="20"/>
                <w:color w:val="auto"/>
              </w:rPr>
            </w:pPr>
          </w:p>
        </w:tc>
        <w:tc>
          <w:tcPr>
            <w:tcW w:w="10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6,797,548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10,044,908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16,985,290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35,485,273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6,709,362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42,194,635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(45,633,715)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(4,470,073)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(60,288,944)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(1,077,624)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(4,375,910)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(46,711,339)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(4,471,040)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(14,561,066)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(65,743,445)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1,580,684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514,916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2,095,600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2,608,776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814,768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3,446,398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57,818,051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5,443,032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25,615,438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88,876,521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 2017</w:t>
            </w: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420" w:type="dxa"/>
            <w:vAlign w:val="bottom"/>
          </w:tcPr>
          <w:p>
            <w:pPr>
              <w:spacing w:after="0"/>
              <w:rPr>
                <w:sz w:val="20"/>
                <w:szCs w:val="20"/>
                <w:color w:val="auto"/>
              </w:rPr>
            </w:pPr>
          </w:p>
        </w:tc>
        <w:tc>
          <w:tcPr>
            <w:tcW w:w="10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Centers</w:t>
            </w:r>
          </w:p>
        </w:tc>
        <w:tc>
          <w:tcPr>
            <w:tcW w:w="1920" w:type="dxa"/>
            <w:vAlign w:val="bottom"/>
            <w:gridSpan w:val="4"/>
          </w:tcPr>
          <w:p>
            <w:pPr>
              <w:ind w:left="2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10,980,987</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11,636,739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142,834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22,760,560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21,862,140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7,302,181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29,164,321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(10,881,153)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4,334,558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(6,403,761)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(19,801,455)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(2,169,192)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(17,339,349)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(39,309,996)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(537,235)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(3,904,859)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(4,448,979)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(20,338,690)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(2,176,077)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(21,244,208)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(43,758,975)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747,402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1,913,663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2,676,328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2,204,772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436,687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2,692,301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54,004,696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3,933,673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50,080,464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108,018,833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EMPLOYEE BENEFITS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Company sponsors a 401(k) savings plan. Under the plan, employees may make contributions which are eligible for a Company discretionary percentage contribution as defined in the plan and determined by the Board of Directors. The Company recognized $0.7 million and $0.5 million of related compensation expense for the years ended December 31, 2018 and 2017, respectively.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1" w:name="page102"/>
    <w:bookmarkEnd w:id="101"/>
    <w:p>
      <w:pPr>
        <w:ind w:left="10400"/>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07"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w w:val="95"/>
              </w:rPr>
              <w:t>Supplemental cash flow information for the years ended December 31, 2018 and 2017 is as follows: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4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59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8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4,399,972</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2,293,590</w:t>
            </w:r>
          </w:p>
        </w:tc>
        <w:tc>
          <w:tcPr>
            <w:tcW w:w="0" w:type="dxa"/>
            <w:vAlign w:val="bottom"/>
          </w:tcPr>
          <w:p>
            <w:pPr>
              <w:spacing w:after="0"/>
              <w:rPr>
                <w:sz w:val="1"/>
                <w:szCs w:val="1"/>
                <w:color w:val="auto"/>
              </w:rPr>
            </w:pPr>
          </w:p>
        </w:tc>
      </w:tr>
      <w:tr>
        <w:trPr>
          <w:trHeight w:val="197"/>
        </w:trPr>
        <w:tc>
          <w:tcPr>
            <w:tcW w:w="82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238,790</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544,125</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gridSpan w:val="3"/>
            <w:shd w:val="clear" w:color="auto" w:fill="CCEEFF"/>
          </w:tcPr>
          <w:p>
            <w:pPr>
              <w:ind w:left="200"/>
              <w:spacing w:after="0" w:line="190" w:lineRule="exact"/>
              <w:rPr>
                <w:sz w:val="20"/>
                <w:szCs w:val="20"/>
                <w:color w:val="auto"/>
              </w:rPr>
            </w:pPr>
            <w:r>
              <w:rPr>
                <w:rFonts w:ascii="Arial" w:cs="Arial" w:eastAsia="Arial" w:hAnsi="Arial"/>
                <w:sz w:val="18"/>
                <w:szCs w:val="18"/>
                <w:color w:val="auto"/>
              </w:rPr>
              <w:t>Equipment acquired through capital lease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165,644</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ind w:left="200"/>
              <w:spacing w:after="0"/>
              <w:rPr>
                <w:sz w:val="20"/>
                <w:szCs w:val="20"/>
                <w:color w:val="auto"/>
              </w:rPr>
            </w:pPr>
            <w:r>
              <w:rPr>
                <w:rFonts w:ascii="Arial" w:cs="Arial" w:eastAsia="Arial" w:hAnsi="Arial"/>
                <w:sz w:val="18"/>
                <w:szCs w:val="18"/>
                <w:color w:val="auto"/>
              </w:rPr>
              <w:t>Warrants issued in connection with notes payable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CEEFF"/>
            </w:tcBorders>
            <w:gridSpan w:val="3"/>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614,513</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gridSpan w:val="3"/>
            <w:shd w:val="clear" w:color="auto" w:fill="CCEEFF"/>
          </w:tcPr>
          <w:p>
            <w:pPr>
              <w:ind w:left="200"/>
              <w:spacing w:after="0" w:line="190" w:lineRule="exact"/>
              <w:rPr>
                <w:sz w:val="20"/>
                <w:szCs w:val="20"/>
                <w:color w:val="auto"/>
              </w:rPr>
            </w:pPr>
            <w:r>
              <w:rPr>
                <w:rFonts w:ascii="Arial" w:cs="Arial" w:eastAsia="Arial" w:hAnsi="Arial"/>
                <w:sz w:val="18"/>
                <w:szCs w:val="18"/>
                <w:color w:val="auto"/>
              </w:rPr>
              <w:t>End of term liability for senior notes payable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ind w:left="200"/>
              <w:spacing w:after="0"/>
              <w:rPr>
                <w:sz w:val="20"/>
                <w:szCs w:val="20"/>
                <w:color w:val="auto"/>
              </w:rPr>
            </w:pPr>
            <w:r>
              <w:rPr>
                <w:rFonts w:ascii="Arial" w:cs="Arial" w:eastAsia="Arial" w:hAnsi="Arial"/>
                <w:sz w:val="18"/>
                <w:szCs w:val="18"/>
                <w:color w:val="auto"/>
              </w:rPr>
              <w:t>Assets acquired through the issuance of common stock and liabilities assumed</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gridSpan w:val="3"/>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60,161,629</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8"/>
                <w:szCs w:val="18"/>
                <w:b w:val="1"/>
                <w:bCs w:val="1"/>
                <w:color w:val="auto"/>
              </w:rPr>
              <w:t>15.</w:t>
            </w:r>
          </w:p>
        </w:tc>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w w:val="99"/>
              </w:rPr>
              <w:t>CONCENTRATIONS</w:t>
            </w:r>
          </w:p>
        </w:tc>
        <w:tc>
          <w:tcPr>
            <w:tcW w:w="59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40" w:type="dxa"/>
            <w:vAlign w:val="bottom"/>
            <w:vMerge w:val="continue"/>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5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and cash equivalents and accounts receivable. At December 31, 2018, three customers accounted for approximately 95% of the Company’s consolidated accounts receivable. At December 31, 2017, two customers accounted for 79% of the Company’s total accounts receivable.</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the year ended December 31, 2018, BPC represented 56% of the Company’s consolidated revenues, and two other customers totaled 31% of the Company’s consolidated revenues. For the year ended December 31, 2017, BPC represented 47% of the Company’s consolidated revenues, and another customer represented 31% of the Company’s consolidated revenues.</w:t>
      </w:r>
    </w:p>
    <w:p>
      <w:pPr>
        <w:spacing w:after="0" w:line="177"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INFORMATION (UNAUDITED)</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the opinion of management, the following unaudited consolidated financial information includes all normal and recurring adjustments considered necessary to present fairly the Company’s results of operations for the periods indicated.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ind w:left="160"/>
              <w:spacing w:after="0"/>
              <w:rPr>
                <w:rFonts w:ascii="Arial" w:cs="Arial" w:eastAsia="Arial" w:hAnsi="Arial"/>
                <w:sz w:val="14"/>
                <w:szCs w:val="14"/>
                <w:i w:val="1"/>
                <w:iCs w:val="1"/>
                <w:color w:val="0000EE"/>
                <w:w w:val="92"/>
              </w:rPr>
            </w:pPr>
            <w:hyperlink w:anchor="page3">
              <w:r>
                <w:rPr>
                  <w:rFonts w:ascii="Arial" w:cs="Arial" w:eastAsia="Arial" w:hAnsi="Arial"/>
                  <w:sz w:val="14"/>
                  <w:szCs w:val="14"/>
                  <w:i w:val="1"/>
                  <w:iCs w:val="1"/>
                  <w:color w:val="0000EE"/>
                  <w:w w:val="92"/>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240" w:type="dxa"/>
            <w:vAlign w:val="bottom"/>
            <w:gridSpan w:val="8"/>
          </w:tcPr>
          <w:p>
            <w:pPr>
              <w:jc w:val="center"/>
              <w:ind w:left="3050"/>
              <w:spacing w:after="0"/>
              <w:rPr>
                <w:sz w:val="20"/>
                <w:szCs w:val="20"/>
                <w:color w:val="auto"/>
              </w:rPr>
            </w:pPr>
            <w:r>
              <w:rPr>
                <w:rFonts w:ascii="Arial" w:cs="Arial" w:eastAsia="Arial" w:hAnsi="Arial"/>
                <w:sz w:val="18"/>
                <w:szCs w:val="18"/>
                <w:b w:val="1"/>
                <w:bCs w:val="1"/>
                <w:color w:val="auto"/>
              </w:rPr>
              <w:t>ADMA BIOLOGICS, INC. AND SUBSIDIARIES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8"/>
          </w:tcPr>
          <w:p>
            <w:pPr>
              <w:jc w:val="center"/>
              <w:ind w:left="3070"/>
              <w:spacing w:after="0"/>
              <w:rPr>
                <w:sz w:val="20"/>
                <w:szCs w:val="20"/>
                <w:color w:val="auto"/>
              </w:rPr>
            </w:pPr>
            <w:r>
              <w:rPr>
                <w:rFonts w:ascii="Arial" w:cs="Arial" w:eastAsia="Arial" w:hAnsi="Arial"/>
                <w:sz w:val="18"/>
                <w:szCs w:val="18"/>
                <w:b w:val="1"/>
                <w:bCs w:val="1"/>
                <w:color w:val="auto"/>
              </w:rPr>
              <w:t>NOTES TO CONSOLIDATED FINANCIAL STATEMENTS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82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w w:val="95"/>
              </w:rPr>
              <w:t>DECEMBER 31, 2018 AND 2017</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6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2018</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88"/>
              </w:rPr>
              <w:t>December 31,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4,006,298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4,620,841</w:t>
            </w:r>
          </w:p>
        </w:tc>
        <w:tc>
          <w:tcPr>
            <w:tcW w:w="2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4,194,602</w:t>
            </w: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4,020,715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and other revenue</w:t>
            </w:r>
          </w:p>
        </w:tc>
        <w:tc>
          <w:tcPr>
            <w:tcW w:w="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35,709</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35,708</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4,042,006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4,656,550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4,230,310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4,056,424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Cost of product revenue (exclusive of amortization expense</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below)</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12,242,748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9,645,662</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9,164,109</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11,142,116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Research and development (1)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965,571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1,040,427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1,002,818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917,304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Plasma center operating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1,833,774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1,738,128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1,973,338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211,234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211,235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(1)</w:t>
            </w:r>
          </w:p>
        </w:tc>
        <w:tc>
          <w:tcPr>
            <w:tcW w:w="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5,321,181</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5,438,480</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5,670,210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6,073,051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20,574,509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18,073,931</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18,021,710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20,604,084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(16,532,503)</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(13,417,381)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(13,791,400)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(16,547,660)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75,581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(1,323,152)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(1,359,188)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(1,402,475)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(1,437,968)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w:t>
            </w:r>
          </w:p>
        </w:tc>
        <w:tc>
          <w:tcPr>
            <w:tcW w:w="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6,967</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Other expense, net</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(1,289,639)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(1,330,450)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(1,344,085)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(1,490,327)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(17,822,142)</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(14,747,831)</w:t>
            </w:r>
          </w:p>
        </w:tc>
        <w:tc>
          <w:tcPr>
            <w:tcW w:w="2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(15,135,485)</w:t>
            </w:r>
          </w:p>
        </w:tc>
        <w:tc>
          <w:tcPr>
            <w:tcW w:w="2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(18,037,987)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COMMON SHARES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OUTSTANDING: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Basic and Diluted</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45,317,042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42,712,168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46,350,392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46,351,860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800" w:hanging="332"/>
        <w:spacing w:after="0" w:line="308" w:lineRule="auto"/>
        <w:tabs>
          <w:tab w:leader="none" w:pos="2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the three months ended March 31, June 30, and September 30, 2018, the Company reclassified $0.3 million, $0.4 million and $0.3 million, respectively, of operating expenses from Research and development expenses to Selling, general and administrative expenses</w:t>
      </w:r>
    </w:p>
    <w:p>
      <w:pPr>
        <w:spacing w:after="0" w:line="143"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 of Plasma Collection Facilities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Effective as of January 1, 2019, pursuant to the terms of the Biotest Transaction and as part of the purchase price for the Biotest Assets, the Company transferred to BPC two of its FDA-licensed source plasma collection facilities located in Norcross, GA and Marietta, GA. As a result of this transfer, the liability reflected in the accompanying consolidated balance sheets as of December 31, 2018 and 2017 in the amount of $12.6 million has been satisfied, and the Company will record a non-cash gain for this amount in the first quarter of 2019, net of the book value of the assets being transferred, which consist primarily of inventory and property and equipment, of approximately $1.1 million. In connection with this transfer, the Company and BPC entered into a transition services agreement (the “TSA”), pursuant to which the Company agreed to provide transition services to BPC, including services related to plasma operations, finance, human resources, contracts, regulatory affairs, information technology, quality systems and record retention (the “Services”), for a period of up to six months after the effective date of the TSA, subject to earlier termination or extension pursuant to the terms therein. In exchange for the Services, BPC will pay the Company based on an hourly billable rate which varies in amount depending on the ADMA staff member providing the Services. The TSA contains mutual confidentiality and indemnification provisions customary for an agreement of this nature.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03" w:name="page104"/>
    <w:bookmarkEnd w:id="103"/>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Refinancing of Senior Credit Facility</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provides for a senior secured term loan facility in a principal amount of up to $72.5 million (the “Perceptive Credit Facility”), comprised of (i) a term loan made on the Perceptive Closing Date in the principal amount of $45.0 million, as evidenced by the Company’s issuance of a promissory note (the “Perceptive Initial Note”) in favor of Perceptive on the Perceptive Closing Date (the “Perceptive Initial Term Loan”), and (ii) an additional term loan in the principal amount of up to $27.5 million, but no less than $10.0 million (the “Perceptive Additional Term Loan” and, together with the Perceptive Initial Term Loan, the “Perceptive Loans”), which Perceptive Additional Term Loan is subject to the satisfaction of certain conditions, including, but not limited to, the FDA’s approval of the PAS or the FDA’s approval of the RI-002 BLA, and no Material Adverse Changes (as defined in the Perceptive Credit Agreement) having occurred since December 31, 2017; provided, that the Perceptive Additional Term Loan shall not be made later than June 30, 2020. The Perceptive Credit Facility has a maturity date of March 1, 2022 (the “Perceptive Maturity Date”), subject to acceleration pursuant to the Perceptive Credit Agreement, including upon an Event of Default (as defined in the Perceptive Credit Agreement).</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the Perceptive Closing Date, the Company used $30.0 million of the Perceptive Initial Term Loan to terminate and pay in full all of the outstanding obligations under the Marathon Credit Facility (see Note 7). The Company also (i) used $2.8 million of the Perceptive Initial Term Loan to pay a deferred facility fee to Marathon, (ii) used $6.5 million of the Perceptive Initial Term Loan to pay a prepayment penalty to Marathon, (iii) used $0.7 million of the Perceptive Initial Term Loan to pay outstanding accrued interest to Marathon, and (iv) used proceeds of the Perceptive Initial Term Loan to pay certain fees and expenses incurred in connection with the Perceptive Credit Facility of approximately $1.3 million. In addition, Marathon released the $4.0 million of cash held in the debt service reserve account (see note 7) to the Company.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will bear interest at a rate per annum equal to 7.5% (the “Applicable Margin”) plus the greater of</w:t>
      </w:r>
    </w:p>
    <w:p>
      <w:pPr>
        <w:spacing w:after="0" w:line="46" w:lineRule="exact"/>
        <w:rPr>
          <w:sz w:val="20"/>
          <w:szCs w:val="20"/>
          <w:color w:val="auto"/>
        </w:rPr>
      </w:pPr>
    </w:p>
    <w:p>
      <w:pPr>
        <w:ind w:right="260" w:firstLine="8"/>
        <w:spacing w:after="0" w:line="255"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one-month LIBOR and (ii) 3.5%; provided, however, that upon, and during the continuance of, an Event of Default, the Applicable Margin shall automatically increase by an additional 400 basis points. On the last day of each month during the term of the Perceptive Credit Facility, the Company will pay accrued interest to Perceptive. The rate of interest in effect as of the Perceptive Closing Date was 11.0%.</w:t>
      </w:r>
    </w:p>
    <w:p>
      <w:pPr>
        <w:spacing w:after="0" w:line="1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the Perceptive Maturity Date, the Company will pay Perceptive the entire outstanding principal amount underlying the Perceptive Loans and any accrued and unpaid interest thereon. Prior to the Perceptive Maturity Date, there will be no scheduled principal payments on the Perceptive Loans. The Company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9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4" w:name="page105"/>
    <w:bookmarkEnd w:id="104"/>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consideration for the Perceptive Credit Agreement, the Company issued to Perceptive, on the Perceptive Closing Date, a warrant to purchase 1,360,000 shares of the Company’s common stock (the “Perceptive Warrant”). The Perceptive Warrant has an exercise price equal to $3.28 per share, which is equal to the trailing 10-day VWAP of the Company’s common stock on the business day immediately prior to the Perceptive Closing Date multiplied by 1.15 (the “Closing Date Exercise Price”); provided, however, that following the Perceptive Closing Date until March 31, 2019, if the Closing Date Exercise Price exceeds the Automatic Adjustment Exercise Price (as defined below), the exercise price will automatically be decreased to (A) the lesser of (i) the 10-day VWAP of the common stock immediately following the public announcement, in the event such announcement occurs on or prior to March 31, 2019, concerning the FDA classification of the Company’s January 4, 2019 response to the BIVIGAM CRL, or (ii) the public offering price per share of the Company’s common stock, in the event that the Company closes a public offering of its common stock on or prior to March 31, 2019, multiplied by (B) 1.15 (such exercise price, the “Automatic Adjustment Exercise Price”). The Perceptive Warrant was valued by the Company at $2.7 million as of the Perceptive Closing Date, and has an expiration date of February 11, 2029. Perceptive represented to the Company, among other things, that it was an “accredited investor” (as such term is defined in Rule 501(a) of Regulation D under the Securities Act and the Company issued the Perceptive Warrant in reliance upon an exemption from registration contained in Section 4(2) under the Securities Act. The Perceptive Warrant and the shares of common stock issuable thereunder may not be offered, sold, pledged or otherwise transferred in the U.S. absent registration or an applicable exemption from the registration requirements under the Securities Act.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200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426720</wp:posOffset>
            </wp:positionV>
            <wp:extent cx="7200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3804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43" w:lineRule="exact"/>
        <w:rPr>
          <w:sz w:val="20"/>
          <w:szCs w:val="20"/>
          <w:color w:val="auto"/>
        </w:rPr>
      </w:pPr>
    </w:p>
    <w:p>
      <w:pPr>
        <w:ind w:right="140"/>
        <w:spacing w:after="0" w:line="264" w:lineRule="auto"/>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Master Purchase and Sale Agreement, dated as of January 21, 2017, by and among Biotest Pharmaceuticals Corporation, ADMA</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BioManufacturing, LLC, ADMA Biologics, Inc., Biotest AG and Biotest US Corporation (incorporated herein by reference to Exhibit 2.1</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to the Company’s Current Report on Form 8-K, filed with the SEC on January 23,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380"/>
        <w:spacing w:after="0" w:line="277" w:lineRule="auto"/>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Amended and Restated Certificate of Incorporation of the Company (incorporated herein by reference to Exhibit 3.1 to the Company’s</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Current Report on Form 8-K, filed with the SEC on June 12,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jc w:val="both"/>
        <w:ind w:right="120"/>
        <w:spacing w:after="0" w:line="277" w:lineRule="auto"/>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Amended and Restated Bylaws (incorporated herein by reference to Exhibit 3.1 to the Company’s Current Report on Form 8-K, filed with</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the SEC on October 7,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440"/>
        <w:spacing w:after="0" w:line="277" w:lineRule="auto"/>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Specimen Common Stock Certificate (incorporated herein by reference to Exhibit 4.1 to Amendment No. 1 to the Company’s Current</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Report on Form 8-K/A, filed with the SEC on March 29,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jc w:val="both"/>
        <w:ind w:right="140"/>
        <w:spacing w:after="0" w:line="298" w:lineRule="auto"/>
        <w:rPr>
          <w:rFonts w:ascii="Arial" w:cs="Arial" w:eastAsia="Arial" w:hAnsi="Arial"/>
          <w:sz w:val="17"/>
          <w:szCs w:val="17"/>
          <w:u w:val="single" w:color="auto"/>
          <w:color w:val="0000EE"/>
        </w:rPr>
      </w:pPr>
      <w:hyperlink r:id="rId151">
        <w:r>
          <w:rPr>
            <w:rFonts w:ascii="Arial" w:cs="Arial" w:eastAsia="Arial" w:hAnsi="Arial"/>
            <w:sz w:val="17"/>
            <w:szCs w:val="17"/>
            <w:u w:val="single" w:color="auto"/>
            <w:color w:val="0000EE"/>
          </w:rPr>
          <w:t>Warrant Agreement, dated December 21, 2012, issued by the Company to Hercules Technology Growth Capital, Inc. (incorporated herein</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by reference to Exhibit 4.3 to the Company’s Registration Statement on Form S-1, filed with the SEC on February 11,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63804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340"/>
        <w:spacing w:after="0" w:line="277" w:lineRule="auto"/>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Form of Warrant Agreement, dated May 13, 2016, issued by the Company to Oxford Finance LLC (incorporated herein by reference to</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Exhibit 4.6 to the Company’s Quarterly Report on Form 10-Q, filed with the SEC on May 13,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440"/>
        <w:spacing w:after="0" w:line="317" w:lineRule="auto"/>
        <w:rPr>
          <w:rFonts w:ascii="Arial" w:cs="Arial" w:eastAsia="Arial" w:hAnsi="Arial"/>
          <w:sz w:val="16"/>
          <w:szCs w:val="16"/>
          <w:u w:val="single" w:color="auto"/>
          <w:color w:val="0000EE"/>
        </w:rPr>
      </w:pPr>
      <w:hyperlink r:id="rId155">
        <w:r>
          <w:rPr>
            <w:rFonts w:ascii="Arial" w:cs="Arial" w:eastAsia="Arial" w:hAnsi="Arial"/>
            <w:sz w:val="16"/>
            <w:szCs w:val="16"/>
            <w:u w:val="single" w:color="auto"/>
            <w:color w:val="0000EE"/>
          </w:rPr>
          <w:t>Warrant to Purchase Stock, dated October 10, 2017, issued by the Company to Marathon Healthcare Finance Fund, L.P. (incorporated</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herein by reference to Exhibit 4.2 to the Company’s Current Report on Form 8-K, filed with the SEC on October 11,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638048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160"/>
        <w:spacing w:after="0" w:line="298" w:lineRule="auto"/>
        <w:rPr>
          <w:rFonts w:ascii="Arial" w:cs="Arial" w:eastAsia="Arial" w:hAnsi="Arial"/>
          <w:sz w:val="17"/>
          <w:szCs w:val="17"/>
          <w:u w:val="single" w:color="auto"/>
          <w:color w:val="0000EE"/>
        </w:rPr>
      </w:pPr>
      <w:hyperlink r:id="rId157">
        <w:r>
          <w:rPr>
            <w:rFonts w:ascii="Arial" w:cs="Arial" w:eastAsia="Arial" w:hAnsi="Arial"/>
            <w:sz w:val="17"/>
            <w:szCs w:val="17"/>
            <w:u w:val="single" w:color="auto"/>
            <w:color w:val="0000EE"/>
          </w:rPr>
          <w:t>Warrant to Purchase Stock, dated February 11, 2019, issued by the Company to Perceptive Credit Holdings II, LP (incorporated herein by</w:t>
        </w:r>
      </w:hyperlink>
      <w:r>
        <w:rPr>
          <w:rFonts w:ascii="Arial" w:cs="Arial" w:eastAsia="Arial" w:hAnsi="Arial"/>
          <w:sz w:val="17"/>
          <w:szCs w:val="17"/>
          <w:u w:val="single" w:color="auto"/>
          <w:color w:val="0000EE"/>
        </w:rPr>
        <w:t xml:space="preserve"> </w:t>
      </w:r>
      <w:hyperlink r:id="rId157">
        <w:r>
          <w:rPr>
            <w:rFonts w:ascii="Arial" w:cs="Arial" w:eastAsia="Arial" w:hAnsi="Arial"/>
            <w:sz w:val="17"/>
            <w:szCs w:val="17"/>
            <w:u w:val="single" w:color="auto"/>
            <w:color w:val="0000EE"/>
          </w:rPr>
          <w:t>reference to Exhibit 4.2 to the Company’s Current Report on Form 8-K, filed with the SEC on February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63804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240"/>
        <w:spacing w:after="0" w:line="277" w:lineRule="auto"/>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Note, dated February 11, 2019, issued by the Company to Perceptive Credit Holdings II, LP (incorporated herein by reference to Exhibit</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4.1 to the Company’s Current Report on Form 8-K, filed with the SEC on February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300"/>
        <w:spacing w:after="0" w:line="277" w:lineRule="auto"/>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2007 Employee Stock Option Plan, as amended by Amendment No. 3 (incorporated herein by reference to Exhibit A to the Information</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Statement on Schedule 14C, filed with the SEC on October 29,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220"/>
        <w:spacing w:after="0" w:line="277" w:lineRule="auto"/>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Amended and Restated ADMA Biologics, Inc. 2014 Omnibus Incentive Compensation Plan (incorporated herein by reference to Exhibit</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10.1 to the Company’s Registration Statement on Form S-8, filed with the SEC on August 18,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80"/>
        <w:spacing w:after="0" w:line="317" w:lineRule="auto"/>
        <w:rPr>
          <w:rFonts w:ascii="Arial" w:cs="Arial" w:eastAsia="Arial" w:hAnsi="Arial"/>
          <w:sz w:val="16"/>
          <w:szCs w:val="16"/>
          <w:u w:val="single" w:color="auto"/>
          <w:color w:val="0000EE"/>
        </w:rPr>
      </w:pPr>
      <w:hyperlink r:id="rId165">
        <w:r>
          <w:rPr>
            <w:rFonts w:ascii="Arial" w:cs="Arial" w:eastAsia="Arial" w:hAnsi="Arial"/>
            <w:sz w:val="16"/>
            <w:szCs w:val="16"/>
            <w:u w:val="single" w:color="auto"/>
            <w:color w:val="0000EE"/>
          </w:rPr>
          <w:t>Amended and Restated Employment Agreement, dated January 29, 2019, by and between ADMA Biologics, Inc. and Adam Grossman</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(incorporated herein by reference to Exhibit 10.1 to the Company’s Current Report on Form 8-K, filed with the SEC on January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63804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80"/>
        <w:spacing w:after="0" w:line="317" w:lineRule="auto"/>
        <w:rPr>
          <w:rFonts w:ascii="Arial" w:cs="Arial" w:eastAsia="Arial" w:hAnsi="Arial"/>
          <w:sz w:val="16"/>
          <w:szCs w:val="16"/>
          <w:u w:val="single" w:color="auto"/>
          <w:color w:val="0000EE"/>
        </w:rPr>
      </w:pPr>
      <w:hyperlink r:id="rId167">
        <w:r>
          <w:rPr>
            <w:rFonts w:ascii="Arial" w:cs="Arial" w:eastAsia="Arial" w:hAnsi="Arial"/>
            <w:sz w:val="16"/>
            <w:szCs w:val="16"/>
            <w:u w:val="single" w:color="auto"/>
            <w:color w:val="0000EE"/>
          </w:rPr>
          <w:t>Amended and Restated Employment Agreement, dated January 29, 2019, by and between ADMA Biologics, Inc. and Brian Lenz</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(incorporated herein by reference to Exhibit 10.3 to the Company’s Current Report on Form 8-K, filed with the SEC on January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63804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jc w:val="both"/>
        <w:ind w:right="140"/>
        <w:spacing w:after="0" w:line="264" w:lineRule="auto"/>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Amended and Restated Employment Agreement, dated January 29, 2019, by and between ADMA Biologics, Inc. and James Mond, M.D.,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Ph.D. (incorporated herein by reference to Exhibit 10.2 to the Company’s Current Report on Form 8-K, filed with the SEC on January 29,</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80"/>
        <w:spacing w:after="0" w:line="259" w:lineRule="auto"/>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Plasma Purchase Agreement, dated as of November 17, 2011, by and between Biotest Pharmaceuticals Corporation and ADMA Biologics,</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Inc., as amended by First Amendment to Plasma Purchase Agreement, dated as of December 1, 2011, by and between Biotest</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Pharmaceuticals Corporation and ADMA Biologics, Inc. (incorporated herein by reference to Exhibit 10.9 to Amendment No. 3 to the</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Company’s Current Report on Form 8-K/A, filed with the SEC on June 22, 2012).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-8890</wp:posOffset>
            </wp:positionV>
            <wp:extent cx="638048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both"/>
        <w:ind w:right="80"/>
        <w:spacing w:after="0" w:line="264" w:lineRule="auto"/>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Second Amendment to Plasma Purchase Agreement, dated as of December 18, 2015, by and between Biotest Pharmaceuticals Corporation</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and ADMA Biologics, Inc. (incorporated herein by reference to Exhibit 10.3.1 to the Company’s Annual Report on Form 10-K, filed with</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the SEC on March 23,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6380480" cy="1714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244475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840" w:space="460"/>
            <w:col w:w="10080"/>
          </w:cols>
          <w:pgMar w:left="280" w:top="229" w:right="239" w:bottom="1440" w:gutter="0" w:footer="0" w:header="0"/>
        </w:sectPr>
      </w:pPr>
    </w:p>
    <w:bookmarkStart w:id="106" w:name="page107"/>
    <w:bookmarkEnd w:id="106"/>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304165</wp:posOffset>
            </wp:positionV>
            <wp:extent cx="7200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304165</wp:posOffset>
            </wp:positionV>
            <wp:extent cx="7200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304165</wp:posOffset>
            </wp:positionV>
            <wp:extent cx="7200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00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00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70" w:lineRule="exact"/>
        <w:rPr>
          <w:sz w:val="20"/>
          <w:szCs w:val="20"/>
          <w:color w:val="auto"/>
        </w:rPr>
      </w:pPr>
    </w:p>
    <w:p>
      <w:pPr>
        <w:jc w:val="both"/>
        <w:ind w:right="280"/>
        <w:spacing w:after="0" w:line="264" w:lineRule="auto"/>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Third Amendment to Plasma Purchase Agreement, dated as of April 8, 2016, by and between Biotest Pharmaceuticals Corporation and</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ADMA Biologics, Inc. (incorporated herein by reference to Exhibit 10.3.2 to the Company’s Quarterly Report on Form 10-Q, filed with</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the SEC on May 13,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140"/>
        <w:spacing w:after="0" w:line="264" w:lineRule="auto"/>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Fourth Amendment to Plasma Purchase Agreement, dated as of June 6, 2017, by and between Biotest Pharmaceuticals Corporation and</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ADMA Biologics, Inc. (incorporated herein by reference to Exhibit 10.9 to the Company’s Quarterly Report on Form 10-Q, filed with the</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SEC on 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jc w:val="both"/>
        <w:ind w:right="100"/>
        <w:spacing w:after="0" w:line="264" w:lineRule="auto"/>
        <w:rPr>
          <w:rFonts w:ascii="Arial" w:cs="Arial" w:eastAsia="Arial" w:hAnsi="Arial"/>
          <w:sz w:val="18"/>
          <w:szCs w:val="18"/>
          <w:u w:val="single" w:color="auto"/>
          <w:color w:val="0000EE"/>
        </w:rPr>
      </w:pPr>
      <w:hyperlink r:id="rId194">
        <w:r>
          <w:rPr>
            <w:rFonts w:ascii="Arial" w:cs="Arial" w:eastAsia="Arial" w:hAnsi="Arial"/>
            <w:sz w:val="18"/>
            <w:szCs w:val="18"/>
            <w:u w:val="single" w:color="auto"/>
            <w:color w:val="0000EE"/>
          </w:rPr>
          <w:t>Fifth Amendment to Plasma Purchase Agreement, dated as of January 1, 2019, by and between Grifols Worldwide Operations Limited (as</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successor-in-interest to Biotest Pharmaceuticals Corporation) and ADMA Biologics, Inc. (incorporated herein by reference to Exhibit 10.1</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to the Company’s Current Report on Form 10-K, filed with the SEC on January 2,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320"/>
        <w:spacing w:after="0" w:line="264" w:lineRule="auto"/>
        <w:rPr>
          <w:rFonts w:ascii="Arial" w:cs="Arial" w:eastAsia="Arial" w:hAnsi="Arial"/>
          <w:sz w:val="18"/>
          <w:szCs w:val="18"/>
          <w:u w:val="single" w:color="auto"/>
          <w:color w:val="0000EE"/>
        </w:rPr>
      </w:pPr>
      <w:hyperlink r:id="rId196">
        <w:r>
          <w:rPr>
            <w:rFonts w:ascii="Arial" w:cs="Arial" w:eastAsia="Arial" w:hAnsi="Arial"/>
            <w:sz w:val="18"/>
            <w:szCs w:val="18"/>
            <w:u w:val="single" w:color="auto"/>
            <w:color w:val="0000EE"/>
          </w:rPr>
          <w:t>Plasma Supply Agreement, dated as of June 6, 2017, by and between ADMA BioManufacturing, LLC and Biotest Pharmaceuticals</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Corporation (incorporated herein by reference to Exhibit 10.5 to the Company’s Quarterly Report on Form 10-Q, filed with the SEC on</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80"/>
        <w:spacing w:after="0" w:line="264" w:lineRule="auto"/>
        <w:rPr>
          <w:rFonts w:ascii="Arial" w:cs="Arial" w:eastAsia="Arial" w:hAnsi="Arial"/>
          <w:sz w:val="18"/>
          <w:szCs w:val="18"/>
          <w:u w:val="single" w:color="auto"/>
          <w:color w:val="0000EE"/>
        </w:rPr>
      </w:pPr>
      <w:hyperlink r:id="rId198">
        <w:r>
          <w:rPr>
            <w:rFonts w:ascii="Arial" w:cs="Arial" w:eastAsia="Arial" w:hAnsi="Arial"/>
            <w:sz w:val="18"/>
            <w:szCs w:val="18"/>
            <w:u w:val="single" w:color="auto"/>
            <w:color w:val="0000EE"/>
          </w:rPr>
          <w:t>Amendment #1 to the Plasma Supply Agreement, dated as of July 19, 2018, by and between Biotest Pharmaceuticals Corporation and</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ADMA BioManufacturing, LLC (incorporated herein by reference to Exhibit 10.2 to the Company’s Quarterly Report on Form 10-Q, filed</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with the SEC on August 10,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320"/>
        <w:spacing w:after="0" w:line="264" w:lineRule="auto"/>
        <w:rPr>
          <w:rFonts w:ascii="Arial" w:cs="Arial" w:eastAsia="Arial" w:hAnsi="Arial"/>
          <w:sz w:val="18"/>
          <w:szCs w:val="18"/>
          <w:u w:val="single" w:color="auto"/>
          <w:color w:val="0000EE"/>
        </w:rPr>
      </w:pPr>
      <w:hyperlink r:id="rId200">
        <w:r>
          <w:rPr>
            <w:rFonts w:ascii="Arial" w:cs="Arial" w:eastAsia="Arial" w:hAnsi="Arial"/>
            <w:sz w:val="18"/>
            <w:szCs w:val="18"/>
            <w:u w:val="single" w:color="auto"/>
            <w:color w:val="0000EE"/>
          </w:rPr>
          <w:t>Plasma Purchase Agreement, dated as of June 6, 2017, by and between ADMA BioManufacturing, LLC and Biotest Pharmaceuticals</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Corporation (incorporated herein by reference to Exhibit 10.6 to the Company’s Quarterly Report on Form 10-Q, filed with the SEC on</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40"/>
        <w:spacing w:after="0" w:line="264" w:lineRule="auto"/>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Amendment to Plasma Purchase Agreement, dated as of July 19, 2018, by and between Biotest Pharmaceuticals Corporation and ADMA</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BioManufacturing, LLC (incorporated herein by reference to Exhibit 10.3 to the Company’s Quarterly Report on Form 10-Q, filed with the</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SEC on August 10,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140"/>
        <w:spacing w:after="0" w:line="264" w:lineRule="auto"/>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Amended and Restated Agreement for Services, effective as of January 1, 2016, as amended, by and between ADMA Biologics, LLC and</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Areth LLC (incorporated herein by reference to Exhibit 10.18 to the Company’s Quarterly Report on Form 10-Q, filed with the SEC on</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August 12,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340"/>
        <w:spacing w:after="0" w:line="264" w:lineRule="auto"/>
        <w:rPr>
          <w:rFonts w:ascii="Arial" w:cs="Arial" w:eastAsia="Arial" w:hAnsi="Arial"/>
          <w:sz w:val="18"/>
          <w:szCs w:val="18"/>
          <w:u w:val="single" w:color="auto"/>
          <w:color w:val="0000EE"/>
        </w:rPr>
      </w:pPr>
      <w:hyperlink r:id="rId206">
        <w:r>
          <w:rPr>
            <w:rFonts w:ascii="Arial" w:cs="Arial" w:eastAsia="Arial" w:hAnsi="Arial"/>
            <w:sz w:val="18"/>
            <w:szCs w:val="18"/>
            <w:u w:val="single" w:color="auto"/>
            <w:color w:val="0000EE"/>
          </w:rPr>
          <w:t>Lease, effective as of February 17, 2017, by and between Home Center Properties, LLC and ADMA Bio Centers Georgia Inc.</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(incorporated herein by reference to Exhibit 10.22 to the Company’s Annual Report on Form 10-K, filed with the SEC on February 24,</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100"/>
        <w:spacing w:after="0" w:line="264" w:lineRule="auto"/>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Purchase Agreement, dated as of June 6, 2017, by and among the Company, Biotest Pharmaceuticals Corporation and ADMA Bio Centers</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Georgia, Inc. (incorporated herein by reference to Exhibit 10.7 to the Company’s Quarterly Report on Form 10-Q, filed with the SEC on</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440"/>
        <w:spacing w:after="0" w:line="264" w:lineRule="auto"/>
        <w:rPr>
          <w:rFonts w:ascii="Arial" w:cs="Arial" w:eastAsia="Arial" w:hAnsi="Arial"/>
          <w:sz w:val="18"/>
          <w:szCs w:val="18"/>
          <w:u w:val="single" w:color="auto"/>
          <w:color w:val="0000EE"/>
        </w:rPr>
      </w:pPr>
      <w:hyperlink r:id="rId210">
        <w:r>
          <w:rPr>
            <w:rFonts w:ascii="Arial" w:cs="Arial" w:eastAsia="Arial" w:hAnsi="Arial"/>
            <w:sz w:val="18"/>
            <w:szCs w:val="18"/>
            <w:u w:val="single" w:color="auto"/>
            <w:color w:val="0000EE"/>
          </w:rPr>
          <w:t>Agreement to Transfer Land, dated as of July 20, 2018, by and among Biotest Real Estate Corp., Biotest AG, Biotest Pharmaceuticals</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Corporation, ADMA BioManufacturing, LLC and the Company (incorporated herein by reference to Exhibit 10.2 to the Company’s</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Current Report on Form 8-K, filed with the SEC on July 24,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320"/>
        <w:spacing w:after="0" w:line="277" w:lineRule="auto"/>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Form of Indemnification Agreement (incorporated herein by reference to Exhibit 10.12 to the Company’s Current Report on Form 8-K,</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filed with the SEC on February 13,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200"/>
        <w:spacing w:after="0" w:line="264" w:lineRule="auto"/>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Subordinated Loan Agreement, dated as of June 6, 2017, by and among the Company, ADMA BioManufacturing, LLC and Biotest</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Pharmaceuticals Corporation (incorporated herein by reference to Exhibit 10.1 to the Company’s Current Report on Form 8-K, filed with</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the SEC on June 12,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340"/>
        <w:spacing w:after="0" w:line="264" w:lineRule="auto"/>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Assignment and Assumption Agreement (ADMA Loan), dated as of July 20, 2018, by and among Biotest AG, Biotest Pharmaceuticals</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Corporation, ADMA BioManufacturing, LLC and the Company (incorporated herein by reference to Exhibit 10.1 to the Company’s</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Current Report on Form 8-K, filed with the SEC on July 24,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04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6380480" cy="1714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244475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80" w:space="720"/>
            <w:col w:w="10080"/>
          </w:cols>
          <w:pgMar w:left="280" w:top="229" w:right="239" w:bottom="1440" w:gutter="0" w:footer="0" w:header="0"/>
        </w:sectPr>
      </w:pPr>
    </w:p>
    <w:bookmarkStart w:id="107" w:name="page108"/>
    <w:bookmarkEnd w:id="107"/>
    <w:tbl>
      <w:tblPr>
        <w:tblLayout w:type="fixed"/>
        <w:tblInd w:w="4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0000EE"/>
            </w:tcBorders>
            <w:gridSpan w:val="15"/>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r>
      <w:tr>
        <w:trPr>
          <w:trHeight w:val="547"/>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4"/>
                <w:szCs w:val="24"/>
                <w:color w:val="auto"/>
              </w:rPr>
            </w:pPr>
          </w:p>
        </w:tc>
        <w:tc>
          <w:tcPr>
            <w:tcW w:w="9900" w:type="dxa"/>
            <w:vAlign w:val="bottom"/>
            <w:tcBorders>
              <w:bottom w:val="single" w:sz="8" w:color="0000EE"/>
            </w:tcBorders>
            <w:gridSpan w:val="18"/>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Credit Agreement and Guaranty, dated as of February 11, 2019, by and among the Company, ADMA Plasma Biologics, Inc., ADMA Bio</w:t>
              </w:r>
            </w:hyperlink>
          </w:p>
        </w:tc>
        <w:tc>
          <w:tcPr>
            <w:tcW w:w="18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Centers Georgia Inc., ADMA BioManufacturing, LLC, and Perceptive Credit Holdings II, LP. (incorporated herein by reference to Exhibit</w:t>
              </w:r>
            </w:hyperlink>
          </w:p>
        </w:tc>
        <w:tc>
          <w:tcPr>
            <w:tcW w:w="8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5"/>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with the SEC on February 12, 2019).</w:t>
              </w:r>
            </w:hyperlink>
          </w:p>
        </w:tc>
      </w:tr>
      <w:tr>
        <w:trPr>
          <w:trHeight w:val="28"/>
        </w:trPr>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2660" w:type="dxa"/>
            <w:vAlign w:val="bottom"/>
            <w:tcBorders>
              <w:top w:val="single" w:sz="8" w:color="0000EE"/>
              <w:bottom w:val="single" w:sz="8" w:color="auto"/>
            </w:tcBorders>
          </w:tcPr>
          <w:p>
            <w:pPr>
              <w:spacing w:after="0"/>
              <w:rPr>
                <w:sz w:val="2"/>
                <w:szCs w:val="2"/>
                <w:color w:val="auto"/>
              </w:rPr>
            </w:pPr>
          </w:p>
        </w:tc>
        <w:tc>
          <w:tcPr>
            <w:tcW w:w="18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10.17</w:t>
            </w:r>
          </w:p>
        </w:tc>
        <w:tc>
          <w:tcPr>
            <w:tcW w:w="180" w:type="dxa"/>
            <w:vAlign w:val="bottom"/>
          </w:tcPr>
          <w:p>
            <w:pPr>
              <w:spacing w:after="0"/>
              <w:rPr>
                <w:sz w:val="17"/>
                <w:szCs w:val="17"/>
                <w:color w:val="auto"/>
              </w:rPr>
            </w:pPr>
          </w:p>
        </w:tc>
        <w:tc>
          <w:tcPr>
            <w:tcW w:w="9640" w:type="dxa"/>
            <w:vAlign w:val="bottom"/>
            <w:tcBorders>
              <w:bottom w:val="single" w:sz="8" w:color="0000EE"/>
            </w:tcBorders>
            <w:gridSpan w:val="11"/>
          </w:tcPr>
          <w:p>
            <w:pPr>
              <w:spacing w:after="0" w:line="202"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Security Agreement, dated as of February 11, 2019, by and among the Company, ADMA Plasma Biologics, Inc., ADMA Bio Centers</w:t>
              </w:r>
            </w:hyperlink>
          </w:p>
        </w:tc>
        <w:tc>
          <w:tcPr>
            <w:tcW w:w="440" w:type="dxa"/>
            <w:vAlign w:val="bottom"/>
            <w:gridSpan w:val="1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5"/>
          </w:tcPr>
          <w:p>
            <w:pPr>
              <w:spacing w:after="0" w:line="196" w:lineRule="exact"/>
              <w:rPr>
                <w:rFonts w:ascii="Arial" w:cs="Arial" w:eastAsia="Arial" w:hAnsi="Arial"/>
                <w:sz w:val="18"/>
                <w:szCs w:val="18"/>
                <w:color w:val="0000EE"/>
                <w:w w:val="94"/>
              </w:rPr>
            </w:pPr>
            <w:hyperlink r:id="rId220">
              <w:r>
                <w:rPr>
                  <w:rFonts w:ascii="Arial" w:cs="Arial" w:eastAsia="Arial" w:hAnsi="Arial"/>
                  <w:sz w:val="18"/>
                  <w:szCs w:val="18"/>
                  <w:color w:val="0000EE"/>
                  <w:w w:val="94"/>
                </w:rPr>
                <w:t>Georgia Inc., ADMA BioManufacturing, LLC, and Perceptive Credit Holdings II, LP. (incorporated herein by reference to Exhibit 10.2 to</w:t>
              </w:r>
            </w:hyperlink>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the Company’s Current Report on Form 8-K, filed with the SEC on February 12, 2019).</w:t>
              </w:r>
            </w:hyperlink>
          </w:p>
        </w:tc>
        <w:tc>
          <w:tcPr>
            <w:tcW w:w="140" w:type="dxa"/>
            <w:vAlign w:val="bottom"/>
            <w:gridSpan w:val="6"/>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2660" w:type="dxa"/>
            <w:vAlign w:val="bottom"/>
            <w:tcBorders>
              <w:top w:val="single" w:sz="8" w:color="0000EE"/>
              <w:bottom w:val="single" w:sz="8" w:color="auto"/>
            </w:tcBorders>
          </w:tcPr>
          <w:p>
            <w:pPr>
              <w:spacing w:after="0"/>
              <w:rPr>
                <w:sz w:val="2"/>
                <w:szCs w:val="2"/>
                <w:color w:val="auto"/>
              </w:rPr>
            </w:pPr>
          </w:p>
        </w:tc>
        <w:tc>
          <w:tcPr>
            <w:tcW w:w="180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10.18+</w:t>
            </w:r>
          </w:p>
        </w:tc>
        <w:tc>
          <w:tcPr>
            <w:tcW w:w="180" w:type="dxa"/>
            <w:vAlign w:val="bottom"/>
          </w:tcPr>
          <w:p>
            <w:pPr>
              <w:spacing w:after="0"/>
              <w:rPr>
                <w:sz w:val="17"/>
                <w:szCs w:val="17"/>
                <w:color w:val="auto"/>
              </w:rPr>
            </w:pPr>
          </w:p>
        </w:tc>
        <w:tc>
          <w:tcPr>
            <w:tcW w:w="9800" w:type="dxa"/>
            <w:vAlign w:val="bottom"/>
            <w:tcBorders>
              <w:bottom w:val="single" w:sz="8" w:color="0000EE"/>
            </w:tcBorders>
            <w:gridSpan w:val="15"/>
          </w:tcPr>
          <w:p>
            <w:pPr>
              <w:spacing w:after="0" w:line="202"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License Agreement, effective as of December 31, 2012, by and between ADMA Biologics, Inc. and Biotest AG (incorporated herein by</w:t>
              </w:r>
            </w:hyperlink>
          </w:p>
        </w:tc>
        <w:tc>
          <w:tcPr>
            <w:tcW w:w="280" w:type="dxa"/>
            <w:vAlign w:val="bottom"/>
            <w:gridSpan w:val="10"/>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5"/>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reference to Exhibit 10.21 to the Company’s Registration Statement on Form S-1, filed with the SEC on February 11, 2013).</w:t>
              </w:r>
            </w:hyperlink>
          </w:p>
        </w:tc>
      </w:tr>
      <w:tr>
        <w:trPr>
          <w:trHeight w:val="28"/>
        </w:trPr>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2660" w:type="dxa"/>
            <w:vAlign w:val="bottom"/>
            <w:tcBorders>
              <w:top w:val="single" w:sz="8" w:color="0000EE"/>
              <w:bottom w:val="single" w:sz="8" w:color="auto"/>
            </w:tcBorders>
          </w:tcPr>
          <w:p>
            <w:pPr>
              <w:spacing w:after="0"/>
              <w:rPr>
                <w:sz w:val="2"/>
                <w:szCs w:val="2"/>
                <w:color w:val="auto"/>
              </w:rPr>
            </w:pPr>
          </w:p>
        </w:tc>
        <w:tc>
          <w:tcPr>
            <w:tcW w:w="18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15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10.18.1</w:t>
            </w:r>
          </w:p>
        </w:tc>
        <w:tc>
          <w:tcPr>
            <w:tcW w:w="18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202"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First Amendment to License Agreement, dated as of June 6, 2017, by and between the Company and Biotest AG (incorporated herein by</w:t>
              </w:r>
            </w:hyperlink>
          </w:p>
        </w:tc>
        <w:tc>
          <w:tcPr>
            <w:tcW w:w="20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5"/>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reference to Exhibit 10.8 to the Company’s Quarterly Report on Form 10-Q, filed with the SEC on August 11, 2017).</w:t>
              </w:r>
            </w:hyperlink>
          </w:p>
        </w:tc>
      </w:tr>
      <w:tr>
        <w:trPr>
          <w:trHeight w:val="28"/>
        </w:trPr>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2660" w:type="dxa"/>
            <w:vAlign w:val="bottom"/>
            <w:tcBorders>
              <w:top w:val="single" w:sz="8" w:color="0000EE"/>
              <w:bottom w:val="single" w:sz="8" w:color="auto"/>
            </w:tcBorders>
          </w:tcPr>
          <w:p>
            <w:pPr>
              <w:spacing w:after="0"/>
              <w:rPr>
                <w:sz w:val="2"/>
                <w:szCs w:val="2"/>
                <w:color w:val="auto"/>
              </w:rPr>
            </w:pPr>
          </w:p>
        </w:tc>
        <w:tc>
          <w:tcPr>
            <w:tcW w:w="18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1560" w:type="dxa"/>
            <w:vAlign w:val="bottom"/>
            <w:tcBorders>
              <w:top w:val="single" w:sz="8" w:color="0000EE"/>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10.19+</w:t>
            </w:r>
          </w:p>
        </w:tc>
        <w:tc>
          <w:tcPr>
            <w:tcW w:w="180" w:type="dxa"/>
            <w:vAlign w:val="bottom"/>
          </w:tcPr>
          <w:p>
            <w:pPr>
              <w:spacing w:after="0"/>
              <w:rPr>
                <w:sz w:val="17"/>
                <w:szCs w:val="17"/>
                <w:color w:val="auto"/>
              </w:rPr>
            </w:pPr>
          </w:p>
        </w:tc>
        <w:tc>
          <w:tcPr>
            <w:tcW w:w="9860" w:type="dxa"/>
            <w:vAlign w:val="bottom"/>
            <w:tcBorders>
              <w:bottom w:val="single" w:sz="8" w:color="0000EE"/>
            </w:tcBorders>
            <w:gridSpan w:val="16"/>
          </w:tcPr>
          <w:p>
            <w:pPr>
              <w:spacing w:after="0" w:line="202"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Manufacturing Agreement, dated as of September 30, 2011, by and between ADMA BioManufacturing, LLC (as successor-in-interest to</w:t>
              </w:r>
            </w:hyperlink>
          </w:p>
        </w:tc>
        <w:tc>
          <w:tcPr>
            <w:tcW w:w="22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Biotest Pharmaceuticals Corporation) and Sanofi Pasteur S.A. (incorporated herein by reference to Exhibit 10.24 to the Company’s Annual</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5"/>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Report on Form 10-K, filed with the SEC on March 29, 2018).</w:t>
              </w:r>
            </w:hyperlink>
          </w:p>
        </w:tc>
      </w:tr>
      <w:tr>
        <w:trPr>
          <w:trHeight w:val="28"/>
        </w:trPr>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2660" w:type="dxa"/>
            <w:vAlign w:val="bottom"/>
            <w:tcBorders>
              <w:top w:val="single" w:sz="8" w:color="0000EE"/>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10.19.1+</w:t>
            </w:r>
          </w:p>
        </w:tc>
        <w:tc>
          <w:tcPr>
            <w:tcW w:w="180" w:type="dxa"/>
            <w:vAlign w:val="bottom"/>
          </w:tcPr>
          <w:p>
            <w:pPr>
              <w:spacing w:after="0"/>
              <w:rPr>
                <w:sz w:val="17"/>
                <w:szCs w:val="17"/>
                <w:color w:val="auto"/>
              </w:rPr>
            </w:pPr>
          </w:p>
        </w:tc>
        <w:tc>
          <w:tcPr>
            <w:tcW w:w="9660" w:type="dxa"/>
            <w:vAlign w:val="bottom"/>
            <w:tcBorders>
              <w:bottom w:val="single" w:sz="8" w:color="0000EE"/>
            </w:tcBorders>
            <w:gridSpan w:val="12"/>
          </w:tcPr>
          <w:p>
            <w:pPr>
              <w:spacing w:after="0" w:line="202" w:lineRule="exact"/>
              <w:rPr>
                <w:rFonts w:ascii="Arial" w:cs="Arial" w:eastAsia="Arial" w:hAnsi="Arial"/>
                <w:sz w:val="18"/>
                <w:szCs w:val="18"/>
                <w:color w:val="0000EE"/>
                <w:w w:val="92"/>
              </w:rPr>
            </w:pPr>
            <w:hyperlink r:id="rId224">
              <w:r>
                <w:rPr>
                  <w:rFonts w:ascii="Arial" w:cs="Arial" w:eastAsia="Arial" w:hAnsi="Arial"/>
                  <w:sz w:val="18"/>
                  <w:szCs w:val="18"/>
                  <w:color w:val="0000EE"/>
                  <w:w w:val="92"/>
                </w:rPr>
                <w:t>Amendment #2 to the Manufacturing Agreement, effective as of August 1, 2016, by and between ADMA BioManufacturing, LLC (as</w:t>
              </w:r>
            </w:hyperlink>
          </w:p>
        </w:tc>
        <w:tc>
          <w:tcPr>
            <w:tcW w:w="420" w:type="dxa"/>
            <w:vAlign w:val="bottom"/>
            <w:gridSpan w:val="1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successor-in-interest to Biotest Pharmaceuticals Corporation) and Sanofi Pasteur S.A. (incorporated herein by reference to Exhibit 10.24.1</w:t>
              </w:r>
            </w:hyperlink>
          </w:p>
        </w:tc>
        <w:tc>
          <w:tcPr>
            <w:tcW w:w="10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5"/>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to the Company’s Annual Report on Form 10-K, filed with the SEC on March 29, 2018).</w:t>
              </w:r>
            </w:hyperlink>
          </w:p>
        </w:tc>
      </w:tr>
      <w:tr>
        <w:trPr>
          <w:trHeight w:val="28"/>
        </w:trPr>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2660" w:type="dxa"/>
            <w:vAlign w:val="bottom"/>
            <w:tcBorders>
              <w:top w:val="single" w:sz="8" w:color="0000EE"/>
              <w:bottom w:val="single" w:sz="8" w:color="auto"/>
            </w:tcBorders>
          </w:tcPr>
          <w:p>
            <w:pPr>
              <w:spacing w:after="0"/>
              <w:rPr>
                <w:sz w:val="2"/>
                <w:szCs w:val="2"/>
                <w:color w:val="auto"/>
              </w:rPr>
            </w:pPr>
          </w:p>
        </w:tc>
        <w:tc>
          <w:tcPr>
            <w:tcW w:w="18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10.19.2+</w:t>
            </w:r>
          </w:p>
        </w:tc>
        <w:tc>
          <w:tcPr>
            <w:tcW w:w="180" w:type="dxa"/>
            <w:vAlign w:val="bottom"/>
          </w:tcPr>
          <w:p>
            <w:pPr>
              <w:spacing w:after="0"/>
              <w:rPr>
                <w:sz w:val="17"/>
                <w:szCs w:val="17"/>
                <w:color w:val="auto"/>
              </w:rPr>
            </w:pPr>
          </w:p>
        </w:tc>
        <w:tc>
          <w:tcPr>
            <w:tcW w:w="10020" w:type="dxa"/>
            <w:vAlign w:val="bottom"/>
            <w:tcBorders>
              <w:bottom w:val="single" w:sz="8" w:color="0000EE"/>
            </w:tcBorders>
            <w:gridSpan w:val="22"/>
          </w:tcPr>
          <w:p>
            <w:pPr>
              <w:spacing w:after="0" w:line="202" w:lineRule="exact"/>
              <w:rPr>
                <w:rFonts w:ascii="Arial" w:cs="Arial" w:eastAsia="Arial" w:hAnsi="Arial"/>
                <w:sz w:val="18"/>
                <w:szCs w:val="18"/>
                <w:color w:val="0000EE"/>
                <w:w w:val="92"/>
              </w:rPr>
            </w:pPr>
            <w:hyperlink r:id="rId225">
              <w:r>
                <w:rPr>
                  <w:rFonts w:ascii="Arial" w:cs="Arial" w:eastAsia="Arial" w:hAnsi="Arial"/>
                  <w:sz w:val="18"/>
                  <w:szCs w:val="18"/>
                  <w:color w:val="0000EE"/>
                  <w:w w:val="92"/>
                </w:rPr>
                <w:t>Amendment #3 to the Manufacturing Agreement, effective as of December 21, 2017, by and between ADMA BioManufacturing, LLC and</w:t>
              </w:r>
            </w:hyperlink>
          </w:p>
        </w:tc>
        <w:tc>
          <w:tcPr>
            <w:tcW w:w="6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Sanofi Pasteur S.A. (incorporated herein by reference to Exhibit 10.24.2 to the Company’s Annual Report on Form 10-K, filed with the</w:t>
              </w:r>
            </w:hyperlink>
          </w:p>
        </w:tc>
        <w:tc>
          <w:tcPr>
            <w:tcW w:w="30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5"/>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SEC on March 29, 2018).</w:t>
              </w:r>
            </w:hyperlink>
          </w:p>
        </w:tc>
      </w:tr>
      <w:tr>
        <w:trPr>
          <w:trHeight w:val="28"/>
        </w:trPr>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10.20</w:t>
            </w:r>
          </w:p>
        </w:tc>
        <w:tc>
          <w:tcPr>
            <w:tcW w:w="18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202" w:lineRule="exact"/>
              <w:rPr>
                <w:rFonts w:ascii="Arial" w:cs="Arial" w:eastAsia="Arial" w:hAnsi="Arial"/>
                <w:sz w:val="18"/>
                <w:szCs w:val="18"/>
                <w:color w:val="0000EE"/>
                <w:w w:val="89"/>
              </w:rPr>
            </w:pPr>
            <w:hyperlink r:id="rId226">
              <w:r>
                <w:rPr>
                  <w:rFonts w:ascii="Arial" w:cs="Arial" w:eastAsia="Arial" w:hAnsi="Arial"/>
                  <w:sz w:val="18"/>
                  <w:szCs w:val="18"/>
                  <w:color w:val="0000EE"/>
                  <w:w w:val="89"/>
                </w:rPr>
                <w:t>Stockholders Agreement, dated as of June 6, 2017, by and between the Company and Biotest Pharmaceuticals Corporation (incorporated</w:t>
              </w:r>
            </w:hyperlink>
          </w:p>
        </w:tc>
        <w:tc>
          <w:tcPr>
            <w:tcW w:w="20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5"/>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herein by reference to Exhibit 10.2 to the Company’s Current Report on Form 8-K, filed with the SEC on June 12, 2017).</w:t>
              </w:r>
            </w:hyperlink>
          </w:p>
        </w:tc>
      </w:tr>
      <w:tr>
        <w:trPr>
          <w:trHeight w:val="28"/>
        </w:trPr>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2660" w:type="dxa"/>
            <w:vAlign w:val="bottom"/>
            <w:tcBorders>
              <w:top w:val="single" w:sz="8" w:color="0000EE"/>
              <w:bottom w:val="single" w:sz="8" w:color="auto"/>
            </w:tcBorders>
          </w:tcPr>
          <w:p>
            <w:pPr>
              <w:spacing w:after="0"/>
              <w:rPr>
                <w:sz w:val="2"/>
                <w:szCs w:val="2"/>
                <w:color w:val="auto"/>
              </w:rPr>
            </w:pPr>
          </w:p>
        </w:tc>
        <w:tc>
          <w:tcPr>
            <w:tcW w:w="18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156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10.21+</w:t>
            </w:r>
          </w:p>
        </w:tc>
        <w:tc>
          <w:tcPr>
            <w:tcW w:w="18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202"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Transition Services Agreement, dated as of June 6, 2017, by and between ADMA BioManufacturing, LLC and Biotest Pharmaceuticals</w:t>
              </w:r>
            </w:hyperlink>
          </w:p>
        </w:tc>
        <w:tc>
          <w:tcPr>
            <w:tcW w:w="30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Corporation (incorporated herein by reference to Exhibit 10.4 to the Company’s Quarterly Report on Form 10-Q, filed with the SEC on</w:t>
              </w:r>
            </w:hyperlink>
          </w:p>
        </w:tc>
        <w:tc>
          <w:tcPr>
            <w:tcW w:w="320" w:type="dxa"/>
            <w:vAlign w:val="bottom"/>
            <w:gridSpan w:val="1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5"/>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August 11, 2017).</w:t>
              </w:r>
            </w:hyperlink>
          </w:p>
        </w:tc>
      </w:tr>
      <w:tr>
        <w:trPr>
          <w:trHeight w:val="28"/>
        </w:trPr>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Borders>
              <w:top w:val="single" w:sz="8" w:color="0000EE"/>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222" w:right="239" w:bottom="1440" w:gutter="0" w:footer="0" w:header="0"/>
        </w:sectPr>
      </w:pPr>
    </w:p>
    <w:p>
      <w:pPr>
        <w:ind w:left="40"/>
        <w:spacing w:after="0"/>
        <w:rPr>
          <w:sz w:val="20"/>
          <w:szCs w:val="20"/>
          <w:color w:val="auto"/>
        </w:rPr>
      </w:pPr>
      <w:r>
        <w:rPr>
          <w:rFonts w:ascii="Arial" w:cs="Arial" w:eastAsia="Arial" w:hAnsi="Arial"/>
          <w:sz w:val="16"/>
          <w:szCs w:val="16"/>
          <w:color w:val="auto"/>
        </w:rPr>
        <w:t>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7200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426720</wp:posOffset>
            </wp:positionV>
            <wp:extent cx="7200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Transition Services Agreement, dated as of January 1, 2019, by and between the Company and Biotest Pharmaceuticals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63804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66" w:lineRule="exact"/>
        <w:rPr>
          <w:sz w:val="20"/>
          <w:szCs w:val="20"/>
          <w:color w:val="auto"/>
        </w:rPr>
      </w:pPr>
    </w:p>
    <w:p>
      <w:pPr>
        <w:ind w:right="200"/>
        <w:spacing w:after="0" w:line="259" w:lineRule="auto"/>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Share Transfer, Amendment and Release Agreement, dated as of May 14, 2018, by and among the Company, ADMA BioManufacturing,</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LLC, ADMA Bio Centers Georgia Inc., Biotest Pharmaceuticals Corporation, Biotest AG, The Biotest Divestiture Trust and Biotest US</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Corporation (incorporated herein by reference to Exhibit 10.1 to the Company’s Quarterly Report on Form 10-Q, filed with the SEC on</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August 10,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-8890</wp:posOffset>
            </wp:positionV>
            <wp:extent cx="63804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5" w:lineRule="exact"/>
        <w:rPr>
          <w:rFonts w:ascii="Arial" w:cs="Arial" w:eastAsia="Arial" w:hAnsi="Arial"/>
          <w:sz w:val="18"/>
          <w:szCs w:val="18"/>
          <w:u w:val="single" w:color="auto"/>
          <w:color w:val="0000EE"/>
        </w:rPr>
      </w:pPr>
    </w:p>
    <w:p>
      <w:pPr>
        <w:sectPr>
          <w:pgSz w:w="11900" w:h="16838" w:orient="portrait"/>
          <w:cols w:equalWidth="0" w:num="2">
            <w:col w:w="640" w:space="700"/>
            <w:col w:w="10080"/>
          </w:cols>
          <w:pgMar w:left="240" w:top="2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21.1*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22225</wp:posOffset>
            </wp:positionH>
            <wp:positionV relativeFrom="paragraph">
              <wp:posOffset>22225</wp:posOffset>
            </wp:positionV>
            <wp:extent cx="7200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55"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7"/>
          <w:szCs w:val="17"/>
          <w:color w:val="auto"/>
        </w:rPr>
        <w:t>23.1*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22225</wp:posOffset>
            </wp:positionH>
            <wp:positionV relativeFrom="paragraph">
              <wp:posOffset>22225</wp:posOffset>
            </wp:positionV>
            <wp:extent cx="7200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55"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7"/>
          <w:szCs w:val="17"/>
          <w:color w:val="auto"/>
        </w:rPr>
        <w:t>31.1*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22225</wp:posOffset>
            </wp:positionH>
            <wp:positionV relativeFrom="paragraph">
              <wp:posOffset>159385</wp:posOffset>
            </wp:positionV>
            <wp:extent cx="7200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Subsidiaries of the Company.</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38048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Consent of CohnReznick LLP.</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3804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EE"/>
        </w:rPr>
      </w:pPr>
    </w:p>
    <w:p>
      <w:pPr>
        <w:ind w:right="780"/>
        <w:spacing w:after="0" w:line="277" w:lineRule="auto"/>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Certification of Principal Executive Officer pursuant to Rules 13a-14(a) and 15d-14(a), as adopted pursuant to Section 302 of the</w:t>
        </w:r>
      </w:hyperlink>
      <w:r>
        <w:rPr>
          <w:rFonts w:ascii="Arial" w:cs="Arial" w:eastAsia="Arial" w:hAnsi="Arial"/>
          <w:sz w:val="18"/>
          <w:szCs w:val="18"/>
          <w:u w:val="single" w:color="auto"/>
          <w:color w:val="0000EE"/>
        </w:rPr>
        <w:t xml:space="preserve"> </w:t>
      </w:r>
      <w:hyperlink w:anchor="page137">
        <w:r>
          <w:rPr>
            <w:rFonts w:ascii="Arial" w:cs="Arial" w:eastAsia="Arial" w:hAnsi="Arial"/>
            <w:sz w:val="18"/>
            <w:szCs w:val="18"/>
            <w:u w:val="single" w:color="auto"/>
            <w:color w:val="0000EE"/>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20" w:space="720"/>
            <w:col w:w="10080"/>
          </w:cols>
          <w:pgMar w:left="240" w:top="222"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160" w:type="dxa"/>
            <w:vAlign w:val="bottom"/>
            <w:gridSpan w:val="2"/>
          </w:tcPr>
          <w:p>
            <w:pPr>
              <w:ind w:left="40"/>
              <w:spacing w:after="0" w:line="198"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10060" w:type="dxa"/>
            <w:vAlign w:val="bottom"/>
            <w:gridSpan w:val="5"/>
          </w:tcPr>
          <w:p>
            <w:pPr>
              <w:spacing w:after="0" w:line="198"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Certification of Principal Financial Officer pursuant to Rules 13a-14(a) and 15d-14(a), as adopted pursuant to Section 302 of the Sarbanes-</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Oxley Act of 2002.</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
        </w:trPr>
        <w:tc>
          <w:tcPr>
            <w:tcW w:w="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9940" w:type="dxa"/>
            <w:vAlign w:val="bottom"/>
            <w:tcBorders>
              <w:bottom w:val="single" w:sz="8" w:color="0000EE"/>
            </w:tcBorders>
            <w:gridSpan w:val="3"/>
          </w:tcPr>
          <w:p>
            <w:pPr>
              <w:spacing w:after="0" w:line="202"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5"/>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406"/>
        </w:trPr>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2" w:right="239" w:bottom="1440" w:gutter="0" w:footer="0" w:header="0"/>
          <w:type w:val="continuous"/>
        </w:sectPr>
      </w:pPr>
    </w:p>
    <w:bookmarkStart w:id="108" w:name="page109"/>
    <w:bookmarkEnd w:id="108"/>
    <w:p>
      <w:pPr>
        <w:ind w:left="10400"/>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258445</wp:posOffset>
            </wp:positionV>
            <wp:extent cx="721233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152400</wp:posOffset>
            </wp:positionV>
            <wp:extent cx="72009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563880</wp:posOffset>
            </wp:positionV>
            <wp:extent cx="7200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200"/>
        <w:spacing w:after="0" w:line="277" w:lineRule="auto"/>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Certification of Principal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140">
        <w:r>
          <w:rPr>
            <w:rFonts w:ascii="Arial" w:cs="Arial" w:eastAsia="Arial" w:hAnsi="Arial"/>
            <w:sz w:val="18"/>
            <w:szCs w:val="18"/>
            <w:u w:val="single" w:color="auto"/>
            <w:color w:val="0000EE"/>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638048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ind w:right="140"/>
        <w:spacing w:after="0" w:line="276" w:lineRule="auto"/>
        <w:rPr>
          <w:sz w:val="20"/>
          <w:szCs w:val="20"/>
          <w:color w:val="auto"/>
        </w:rPr>
      </w:pPr>
      <w:r>
        <w:rPr>
          <w:rFonts w:ascii="Arial" w:cs="Arial" w:eastAsia="Arial" w:hAnsi="Arial"/>
          <w:sz w:val="17"/>
          <w:szCs w:val="17"/>
          <w:color w:val="auto"/>
        </w:rPr>
        <w:t>The following materials from ADMA Biologics, Inc. Form 10-K for the year ended December 31, 2018, formatted in Extensible Business Reporting Language (XBRL): (i) Consolidated Balance Sheets at December 31, 2018 and December 31, 2017, (ii) Consolidated Statements of Operations for the years ended December 31, 2018 and 2017 (iii) Consolidated Statements of Changes in Stockholders’ (Deficit) Equity for the years ended December 31, 2018 and 2017, (iv) Consolidated Statements of Cash Flows for the years ended December 31, 2018 and 2017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638048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620" w:space="720"/>
            <w:col w:w="10080"/>
          </w:cols>
          <w:pgMar w:left="240" w:top="229" w:right="239" w:bottom="1440" w:gutter="0" w:footer="0" w:header="0"/>
          <w:type w:val="continuous"/>
        </w:sectPr>
      </w:pPr>
    </w:p>
    <w:p>
      <w:pPr>
        <w:ind w:right="260" w:firstLine="53"/>
        <w:spacing w:after="0" w:line="277" w:lineRule="auto"/>
        <w:tabs>
          <w:tab w:leader="none" w:pos="1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as to certain portions of this exhibit. Such portions have been redacted and submitted separately to the SEC.</w:t>
      </w:r>
    </w:p>
    <w:p>
      <w:pPr>
        <w:spacing w:after="0" w:line="170" w:lineRule="exact"/>
        <w:rPr>
          <w:sz w:val="20"/>
          <w:szCs w:val="20"/>
          <w:color w:val="auto"/>
        </w:rPr>
      </w:pPr>
    </w:p>
    <w:p>
      <w:pPr>
        <w:ind w:right="100" w:firstLine="8"/>
        <w:spacing w:after="0" w:line="277" w:lineRule="auto"/>
        <w:tabs>
          <w:tab w:leader="none" w:pos="2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as to certain portions of this exhibit. Such portions have been redacted and submitted separately to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contract or arrangement.</w:t>
      </w:r>
    </w:p>
    <w:p>
      <w:pPr>
        <w:sectPr>
          <w:pgSz w:w="11900" w:h="16838" w:orient="portrait"/>
          <w:cols w:equalWidth="0" w:num="1">
            <w:col w:w="11420"/>
          </w:cols>
          <w:pgMar w:left="240" w:top="229" w:right="239" w:bottom="1440" w:gutter="0" w:footer="0" w:header="0"/>
          <w:type w:val="continuous"/>
        </w:sectPr>
      </w:pPr>
    </w:p>
    <w:bookmarkStart w:id="109" w:name="page110"/>
    <w:bookmarkEnd w:id="109"/>
    <w:p>
      <w:pPr>
        <w:ind w:left="10020"/>
        <w:spacing w:after="0"/>
        <w:rPr>
          <w:sz w:val="20"/>
          <w:szCs w:val="20"/>
          <w:color w:val="auto"/>
        </w:rPr>
      </w:pPr>
      <w:r>
        <w:rPr>
          <w:rFonts w:ascii="Arial" w:cs="Arial" w:eastAsia="Arial" w:hAnsi="Arial"/>
          <w:sz w:val="16"/>
          <w:szCs w:val="16"/>
          <w:b w:val="1"/>
          <w:bCs w:val="1"/>
          <w:color w:val="auto"/>
        </w:rPr>
        <w:t>Execution Version</w:t>
      </w:r>
    </w:p>
    <w:p>
      <w:pPr>
        <w:spacing w:after="0" w:line="2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SERVICES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 CENTERS GEORGIA INC. and ADMA BIOLOGICS,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BIOTEST PHARMACEUTICALS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0" w:name="page111"/>
    <w:bookmarkEnd w:id="110"/>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SERVICES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TRANSITION SERVICES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with an effective date of January 1, 2019 (the “Effective Date”), is entered into by and among </w:t>
      </w:r>
      <w:r>
        <w:rPr>
          <w:rFonts w:ascii="Arial" w:cs="Arial" w:eastAsia="Arial" w:hAnsi="Arial"/>
          <w:sz w:val="18"/>
          <w:szCs w:val="18"/>
          <w:b w:val="1"/>
          <w:bCs w:val="1"/>
          <w:color w:val="auto"/>
        </w:rPr>
        <w:t>ADMA Biologics,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ADMA Biologics</w:t>
      </w:r>
      <w:r>
        <w:rPr>
          <w:rFonts w:ascii="Arial" w:cs="Arial" w:eastAsia="Arial" w:hAnsi="Arial"/>
          <w:sz w:val="18"/>
          <w:szCs w:val="18"/>
          <w:color w:val="auto"/>
        </w:rPr>
        <w:t xml:space="preserve">”), </w:t>
      </w:r>
      <w:r>
        <w:rPr>
          <w:rFonts w:ascii="Arial" w:cs="Arial" w:eastAsia="Arial" w:hAnsi="Arial"/>
          <w:sz w:val="18"/>
          <w:szCs w:val="18"/>
          <w:b w:val="1"/>
          <w:bCs w:val="1"/>
          <w:color w:val="auto"/>
        </w:rPr>
        <w:t>ADMA Bio Centers Georgia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ADMA</w:t>
      </w:r>
      <w:r>
        <w:rPr>
          <w:rFonts w:ascii="Arial" w:cs="Arial" w:eastAsia="Arial" w:hAnsi="Arial"/>
          <w:sz w:val="18"/>
          <w:szCs w:val="18"/>
          <w:color w:val="auto"/>
        </w:rPr>
        <w:t xml:space="preserve"> </w:t>
      </w:r>
      <w:r>
        <w:rPr>
          <w:rFonts w:ascii="Arial" w:cs="Arial" w:eastAsia="Arial" w:hAnsi="Arial"/>
          <w:sz w:val="18"/>
          <w:szCs w:val="18"/>
          <w:u w:val="single" w:color="auto"/>
          <w:color w:val="auto"/>
        </w:rPr>
        <w:t>Bio Centers</w:t>
      </w:r>
      <w:r>
        <w:rPr>
          <w:rFonts w:ascii="Arial" w:cs="Arial" w:eastAsia="Arial" w:hAnsi="Arial"/>
          <w:sz w:val="18"/>
          <w:szCs w:val="18"/>
          <w:color w:val="auto"/>
        </w:rPr>
        <w:t>”) (collectively “</w:t>
      </w:r>
      <w:r>
        <w:rPr>
          <w:rFonts w:ascii="Arial" w:cs="Arial" w:eastAsia="Arial" w:hAnsi="Arial"/>
          <w:sz w:val="18"/>
          <w:szCs w:val="18"/>
          <w:u w:val="single" w:color="auto"/>
          <w:color w:val="auto"/>
        </w:rPr>
        <w:t>ADMA</w:t>
      </w:r>
      <w:r>
        <w:rPr>
          <w:rFonts w:ascii="Arial" w:cs="Arial" w:eastAsia="Arial" w:hAnsi="Arial"/>
          <w:sz w:val="18"/>
          <w:szCs w:val="18"/>
          <w:color w:val="auto"/>
        </w:rPr>
        <w:t xml:space="preserve">”), and </w:t>
      </w:r>
      <w:r>
        <w:rPr>
          <w:rFonts w:ascii="Arial" w:cs="Arial" w:eastAsia="Arial" w:hAnsi="Arial"/>
          <w:sz w:val="18"/>
          <w:szCs w:val="18"/>
          <w:b w:val="1"/>
          <w:bCs w:val="1"/>
          <w:color w:val="auto"/>
        </w:rPr>
        <w:t>Biotest Pharmaceuticals Corporation</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BPC</w:t>
      </w:r>
      <w:r>
        <w:rPr>
          <w:rFonts w:ascii="Arial" w:cs="Arial" w:eastAsia="Arial" w:hAnsi="Arial"/>
          <w:sz w:val="18"/>
          <w:szCs w:val="18"/>
          <w:color w:val="auto"/>
        </w:rPr>
        <w:t>”). ADMA and BPC shall be separately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ADMA and BPC entered into a Purchase Agreement dated June 6, 2017 (as the same may be amended, supplemented, restated and/or modified from time to time,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pursuant to which ADMA has agreed to sell and BPC has agreed to purchase the Acquired Assets as more fully described in the Purchase Agreement; and</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Purchase Agreement requires that BPC and ADMA enter into this Agreement at the Effective Time (as defined in Purchase Agreement) to properly document the transition services to be provided by ADMA and/or Third Party Service Providers (as defined below) to BPC.</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covenants, representations, warranties and agreements entered into herein and in the Purchase Agreement, and intending to be legally bound hereby, ADMA and BPC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REFERENCES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Defined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all purposes of this Agreement: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or Controlled by, or under direct or indirect common Control with, such Person. For purposes of this definition, the term “Control,” when used with respect to any specified Person, means the power to direct or cause the direction of the management or policies of such Person, directly or indirectly, whether through the ownership of voting securities, by contract or otherwise; and the terms “Controlling” and “Controlled” have correlative meanings.</w:t>
      </w:r>
    </w:p>
    <w:p>
      <w:pPr>
        <w:spacing w:after="0" w:line="18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of either Party, whether or not patentable or copyrightable, in written, oral, electronic or other tangible or intangible forms, stored in any medium, including non-public financial information, studies, reports, records, books, accountants’ work papers, contracts, instruments, surveys, discoveries, ideas, concepts, know-how, techniques, designs, specifications, drawings, blueprints, diagrams, models, prototypes, samples, flow charts, data, computer data, computer configurations, donor information, disks, diskettes, tapes, computer programs or other software, marketing plans, customer data, communications by or to attorneys, memos and other materials prepared by attorneys and accountants or under their direction (including attorney work product), and other technical, financial, legal, employee or business information or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1" w:name="page112"/>
    <w:bookmarkEnd w:id="111"/>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each provision of any applicable federal, provincial, state, local or foreign law, statute, ordinance, order, code, requirement, rule or regulation, promulgated or issued by any governmental authority, as well as any judgments, decrees, injunctions or agreements issued or entered into by any governmental authority.</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limited liability company, trust or unincorporated organization or Governmental Authority.</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and all corporations, partnerships, limited liability companies, joint ventures, associations and other entities of which such Person owns, directly or indirectly, more than 50% of the voting securities or other ownership interests having ordinary voting power to elect a majority of the board of directors or other persons performing similar functions of such entity.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has the meaning assigned to such term in Section 3.1.</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Service Providers</w:t>
      </w:r>
      <w:r>
        <w:rPr>
          <w:rFonts w:ascii="Arial" w:cs="Arial" w:eastAsia="Arial" w:hAnsi="Arial"/>
          <w:sz w:val="18"/>
          <w:szCs w:val="18"/>
          <w:color w:val="auto"/>
        </w:rPr>
        <w:t>” shall mean third parties which are or will be engaged by ADMA or its Affiliates to assist in the delivery of its obligations under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w:t>
      </w:r>
      <w:r>
        <w:rPr>
          <w:rFonts w:ascii="Arial" w:cs="Arial" w:eastAsia="Arial" w:hAnsi="Arial"/>
          <w:sz w:val="18"/>
          <w:szCs w:val="18"/>
          <w:color w:val="auto"/>
        </w:rPr>
        <w:t>” means the transition of the Services provided by ADMA or a Third Party Service Provider to BPC.</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remainder of capitalized terms used in this Agreement and not defined herein shall have the meanings given to such terms in the Purchase Agreement.</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 of Certain Terms and Phrases.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the context of this Agreement otherwise requires: (a) words of any gender include each other gender; (b) words using the singular or plural number also include the plural or singular number, respectively; (c) the terms “hereof,” “herein,” “hereby” and derivative or similar words refer to this entire Agreement; (d) all references herein to “Articles”, “Sections” and “Schedules” are to Articles, Sections and Schedules of this Agreement; (e) the words “include,” “includes” and “including” shall be deemed to be followed by the phrase “without limitation”; and (f) references to a Person are also to its successors and permitted assigns.</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2" w:name="page113"/>
    <w:bookmarkEnd w:id="112"/>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Services.</w:t>
      </w:r>
    </w:p>
    <w:p>
      <w:pPr>
        <w:spacing w:after="0" w:line="229" w:lineRule="exact"/>
        <w:rPr>
          <w:sz w:val="20"/>
          <w:szCs w:val="20"/>
          <w:color w:val="auto"/>
        </w:rPr>
      </w:pPr>
    </w:p>
    <w:p>
      <w:pPr>
        <w:jc w:val="both"/>
        <w:ind w:firstLine="1305"/>
        <w:spacing w:after="0" w:line="264" w:lineRule="auto"/>
        <w:tabs>
          <w:tab w:leader="none" w:pos="22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Services</w:t>
      </w:r>
      <w:r>
        <w:rPr>
          <w:rFonts w:ascii="Arial" w:cs="Arial" w:eastAsia="Arial" w:hAnsi="Arial"/>
          <w:sz w:val="18"/>
          <w:szCs w:val="18"/>
          <w:color w:val="auto"/>
        </w:rPr>
        <w:t>” shall mean and refer solely to those services the scope of which are described in Schedule 1 (the “</w:t>
      </w:r>
      <w:r>
        <w:rPr>
          <w:rFonts w:ascii="Arial" w:cs="Arial" w:eastAsia="Arial" w:hAnsi="Arial"/>
          <w:sz w:val="18"/>
          <w:szCs w:val="18"/>
          <w:u w:val="single" w:color="auto"/>
          <w:color w:val="auto"/>
        </w:rPr>
        <w:t>Service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References herein to this Agreement shall include the Service Schedule. To the extent there is a conflict between the terms of this Agreement and the Service Schedule, the Service Schedule shall control.</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2283"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any time during the Term (as defined in Section 3.1), subject to the other terms of this Agreement, the Parties may agree to subtract from/add to the Services being performed under a Service Schedule without violating this Agreement. Any agreed changes shall be in writing by both Parties and signed by an authorized representative of each Party (a “</w:t>
      </w:r>
      <w:r>
        <w:rPr>
          <w:rFonts w:ascii="Arial" w:cs="Arial" w:eastAsia="Arial" w:hAnsi="Arial"/>
          <w:sz w:val="17"/>
          <w:szCs w:val="17"/>
          <w:u w:val="single" w:color="auto"/>
          <w:color w:val="auto"/>
        </w:rPr>
        <w:t>Change Order</w:t>
      </w:r>
      <w:r>
        <w:rPr>
          <w:rFonts w:ascii="Arial" w:cs="Arial" w:eastAsia="Arial" w:hAnsi="Arial"/>
          <w:sz w:val="17"/>
          <w:szCs w:val="17"/>
          <w:color w:val="auto"/>
        </w:rPr>
        <w:t xml:space="preserve">”). Any additional work required as a result of a Change Order shall be done at the rate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unless otherwise provided in the applicable Change Order.</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24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Commencing on the Effective Date and continuing throughout the applicable Term, subject to changes in applicable Law, ADMA agrees to provide the Services in accordance with the Service Schedule. ADMA shall provide the Services to the same extent and with at least the same level of service and degree of quality that services of a similar kind were provided by ADMA immediately prior to the Effective Date, in a commercially reasonable manner comparable to how ADMA provides similar services to its own business and in a manner consistent with reasonable industry standards. Further ADMA shall use commercially reasonable efforts to cause any Third Party Service Providers to provide to BPC to the same extent and with at least the same level of service and degree of quality that services of a similar kind were provided by such Third Party Service Providers prior to the Effective Date.</w:t>
      </w:r>
    </w:p>
    <w:p>
      <w:pPr>
        <w:spacing w:after="0" w:line="189" w:lineRule="exact"/>
        <w:rPr>
          <w:rFonts w:ascii="Arial" w:cs="Arial" w:eastAsia="Arial" w:hAnsi="Arial"/>
          <w:sz w:val="18"/>
          <w:szCs w:val="18"/>
          <w:color w:val="auto"/>
        </w:rPr>
      </w:pPr>
    </w:p>
    <w:p>
      <w:pPr>
        <w:jc w:val="both"/>
        <w:ind w:firstLine="1305"/>
        <w:spacing w:after="0" w:line="286" w:lineRule="auto"/>
        <w:tabs>
          <w:tab w:leader="none" w:pos="2387"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the extent that any of the assets required by a ADMA to provide any Services are the property of ADMA following the Effective Date, ADMA hereby grants to BPC a limited, non-exclusive license and right to use such assets, for a period not to exceed the applicable Term, for the purpose of providing such Services and aiding the Transition on the terms and subject to the conditions set forth in this Agreement.</w:t>
      </w:r>
    </w:p>
    <w:p>
      <w:pPr>
        <w:spacing w:after="0" w:line="165" w:lineRule="exact"/>
        <w:rPr>
          <w:rFonts w:ascii="Arial" w:cs="Arial" w:eastAsia="Arial" w:hAnsi="Arial"/>
          <w:sz w:val="17"/>
          <w:szCs w:val="17"/>
          <w:color w:val="auto"/>
        </w:rPr>
      </w:pPr>
    </w:p>
    <w:p>
      <w:pPr>
        <w:ind w:left="2260" w:hanging="955"/>
        <w:spacing w:after="0"/>
        <w:tabs>
          <w:tab w:leader="none" w:pos="2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ADMA shall cause its employees to comply with all applicable Laws in connection with the provision of the Services.</w:t>
      </w:r>
    </w:p>
    <w:p>
      <w:pPr>
        <w:spacing w:after="0" w:line="33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3" w:name="page114"/>
    <w:bookmarkEnd w:id="113"/>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8" w:lineRule="exact"/>
        <w:rPr>
          <w:sz w:val="20"/>
          <w:szCs w:val="20"/>
          <w:color w:val="auto"/>
        </w:rPr>
      </w:pPr>
    </w:p>
    <w:p>
      <w:pPr>
        <w:jc w:val="both"/>
        <w:ind w:firstLine="1305"/>
        <w:spacing w:after="0" w:line="270" w:lineRule="auto"/>
        <w:tabs>
          <w:tab w:leader="none" w:pos="2325"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The Parties shall use their respective commercially reasonable efforts to complete the Transition as soon as practicable and in no event later than the expiration of the applicable Term and shall commit and provide sufficient and appropriate resources to timely complete the Transition. During the applicable Term, ADMA shall also use its commercially reasonable efforts to maintain its current Federal and State licenses, permits, etc. reasonably necessary to operate the Acquired Assets and assist BPC in obtaining licenses and/or consents or other necessary approvals with or from any governmental agency or any of such Third Party Service Providers who are providing Services to BPC or to ADMA for the benefit of BPC;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expressly set forth on the Service Schedule, in no event shall such assistance by ADMA require or be deemed to require ADMA to incur any additional costs or make any additional payments to any such Third Party Service Providers, in each case other than any required immaterial third-party documentation and/or processing fees and expenses; </w:t>
      </w:r>
      <w:r>
        <w:rPr>
          <w:rFonts w:ascii="Arial" w:cs="Arial" w:eastAsia="Arial" w:hAnsi="Arial"/>
          <w:sz w:val="17"/>
          <w:szCs w:val="17"/>
          <w:i w:val="1"/>
          <w:iCs w:val="1"/>
          <w:color w:val="auto"/>
        </w:rPr>
        <w:t>provided, further</w:t>
      </w:r>
      <w:r>
        <w:rPr>
          <w:rFonts w:ascii="Arial" w:cs="Arial" w:eastAsia="Arial" w:hAnsi="Arial"/>
          <w:sz w:val="17"/>
          <w:szCs w:val="17"/>
          <w:color w:val="auto"/>
        </w:rPr>
        <w:t>, that BPC may, at its option, make such payments in order to maintain or secure the services of such Third Party Service Provider. After the expiration of the applicable Term, BPC shall be responsible for obtaining for its own benefit such licenses, consents or other necessary approvals from such Third Party Service Providers.</w:t>
      </w:r>
    </w:p>
    <w:p>
      <w:pPr>
        <w:spacing w:after="0" w:line="177" w:lineRule="exact"/>
        <w:rPr>
          <w:rFonts w:ascii="Arial" w:cs="Arial" w:eastAsia="Arial" w:hAnsi="Arial"/>
          <w:sz w:val="17"/>
          <w:szCs w:val="17"/>
          <w:color w:val="auto"/>
        </w:rPr>
      </w:pPr>
    </w:p>
    <w:p>
      <w:pPr>
        <w:ind w:left="2380" w:hanging="1075"/>
        <w:spacing w:after="0"/>
        <w:tabs>
          <w:tab w:leader="none" w:pos="23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BPC acknowledges and agrees that, other than complying with the applicable efforts obligations under </w:t>
      </w:r>
      <w:r>
        <w:rPr>
          <w:rFonts w:ascii="Arial" w:cs="Arial" w:eastAsia="Arial" w:hAnsi="Arial"/>
          <w:sz w:val="16"/>
          <w:szCs w:val="16"/>
          <w:u w:val="single" w:color="auto"/>
          <w:color w:val="auto"/>
        </w:rPr>
        <w:t>Section 2.1(f)</w:t>
      </w:r>
      <w:r>
        <w:rPr>
          <w:rFonts w:ascii="Arial" w:cs="Arial" w:eastAsia="Arial" w:hAnsi="Arial"/>
          <w:sz w:val="16"/>
          <w:szCs w:val="16"/>
          <w:color w:val="auto"/>
        </w:rPr>
        <w:t xml:space="preserve"> above,</w:t>
      </w:r>
    </w:p>
    <w:p>
      <w:pPr>
        <w:spacing w:after="0" w:line="46" w:lineRule="exact"/>
        <w:rPr>
          <w:rFonts w:ascii="Arial" w:cs="Arial" w:eastAsia="Arial" w:hAnsi="Arial"/>
          <w:sz w:val="16"/>
          <w:szCs w:val="16"/>
          <w:color w:val="auto"/>
        </w:rPr>
      </w:pPr>
    </w:p>
    <w:p>
      <w:pPr>
        <w:jc w:val="both"/>
        <w:ind w:firstLine="8"/>
        <w:spacing w:after="0" w:line="252"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ADMA has no obligation to actually obtain licenses or consents with any Third Party Service Provider in connection with the Services and (ii) any failure by ADMA to actually obtain any such license or consent will not constitute a breach of this Agreement or the negligence or willful misconduct of ADMA;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failure to obtain any such license or consent shall not relieve ADMA of its obligations to provide the applicable Services set forth herein, unless providing such Services without such license or consent would violate applicable Law or cause ADMA to be in breach of or default under ADMA’s Contract with such Third Party Service Provider (other than in a de minimis respect), in which case ADMA will not be obligated to provide such Services. BPC shall not have any liability resulting from ADMA’s failure to obtain any such license or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BPC has complied with the applicable efforts obligations under </w:t>
      </w:r>
      <w:r>
        <w:rPr>
          <w:rFonts w:ascii="Arial" w:cs="Arial" w:eastAsia="Arial" w:hAnsi="Arial"/>
          <w:sz w:val="18"/>
          <w:szCs w:val="18"/>
          <w:u w:val="single" w:color="auto"/>
          <w:color w:val="auto"/>
        </w:rPr>
        <w:t>Section 2.1(f)</w:t>
      </w:r>
      <w:r>
        <w:rPr>
          <w:rFonts w:ascii="Arial" w:cs="Arial" w:eastAsia="Arial" w:hAnsi="Arial"/>
          <w:sz w:val="18"/>
          <w:szCs w:val="18"/>
          <w:color w:val="auto"/>
        </w:rPr>
        <w:t xml:space="preserve"> above.</w:t>
      </w:r>
    </w:p>
    <w:p>
      <w:pPr>
        <w:spacing w:after="0" w:line="193" w:lineRule="exact"/>
        <w:rPr>
          <w:rFonts w:ascii="Arial" w:cs="Arial" w:eastAsia="Arial" w:hAnsi="Arial"/>
          <w:sz w:val="18"/>
          <w:szCs w:val="18"/>
          <w:color w:val="auto"/>
        </w:rPr>
      </w:pPr>
    </w:p>
    <w:p>
      <w:pPr>
        <w:jc w:val="both"/>
        <w:ind w:firstLine="1305"/>
        <w:spacing w:after="0" w:line="279" w:lineRule="auto"/>
        <w:tabs>
          <w:tab w:leader="none" w:pos="2297" w:val="left"/>
        </w:tabs>
        <w:numPr>
          <w:ilvl w:val="1"/>
          <w:numId w:val="47"/>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this Agreement does not apply to the services that are expressly agreed to be provided by, or the other obligations of, a Party (or any of their Subsidiaries) to the other Party (or any of their Subsidiaries) pursuant to that certain Transition Services Agreement, dated as of June 6, 2017, by and between ADMA BioManufacturing, LLC, a Delaware limited liability company, and BPC (the “</w:t>
      </w:r>
      <w:r>
        <w:rPr>
          <w:rFonts w:ascii="Arial" w:cs="Arial" w:eastAsia="Arial" w:hAnsi="Arial"/>
          <w:sz w:val="17"/>
          <w:szCs w:val="17"/>
          <w:u w:val="single" w:color="auto"/>
          <w:color w:val="auto"/>
        </w:rPr>
        <w:t>Existing TSA</w:t>
      </w:r>
      <w:r>
        <w:rPr>
          <w:rFonts w:ascii="Arial" w:cs="Arial" w:eastAsia="Arial" w:hAnsi="Arial"/>
          <w:sz w:val="17"/>
          <w:szCs w:val="17"/>
          <w:color w:val="auto"/>
        </w:rPr>
        <w:t>”), or any other existing commercial agreement between the Parties (or any of their Subsidiaries).</w:t>
      </w:r>
    </w:p>
    <w:p>
      <w:pPr>
        <w:spacing w:after="0" w:line="171" w:lineRule="exact"/>
        <w:rPr>
          <w:rFonts w:ascii="Arial" w:cs="Arial" w:eastAsia="Arial" w:hAnsi="Arial"/>
          <w:sz w:val="17"/>
          <w:szCs w:val="17"/>
          <w:color w:val="auto"/>
        </w:rPr>
      </w:pPr>
    </w:p>
    <w:p>
      <w:pPr>
        <w:jc w:val="both"/>
        <w:ind w:firstLine="1305"/>
        <w:spacing w:after="0" w:line="276" w:lineRule="auto"/>
        <w:tabs>
          <w:tab w:leader="none" w:pos="2347"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If, after the execution of this Agreement, the Parties reasonably determine that a service that (i) was provided by ADMA or a Third Party Service Provider prior to the Effective Date and (ii) is reasonably necessary to the conduct of such business after the Effective Date, was unintentionally omitted from the Service Schedule, then subject to the terms and conditions of this Agreement, ADMA shall provide (or shall use commercially reasonable efforts to cause such Third Party Service Provider to provide) such additional service to BPC and a Service Schedule shall be created for such service, it being agreed by the Parties that the charges for such additional Services shall be determined in accordance with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4" w:name="page115"/>
    <w:bookmarkEnd w:id="114"/>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8" w:lineRule="exact"/>
        <w:rPr>
          <w:sz w:val="20"/>
          <w:szCs w:val="20"/>
          <w:color w:val="auto"/>
        </w:rPr>
      </w:pPr>
    </w:p>
    <w:p>
      <w:pPr>
        <w:jc w:val="both"/>
        <w:ind w:firstLine="1305"/>
        <w:spacing w:after="0" w:line="297" w:lineRule="auto"/>
        <w:tabs>
          <w:tab w:leader="none" w:pos="259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Parties hereby agree ADMA is under no obligation to enter into any new engagements with additional Third Party Service Providers in connection with this Agreement unless (i) ADMA is entering into such new engagements with respect to its own internal business or in its ordinary course of business and (ii) BPC is not able to engage its own Third Party Service Providers with respect to the same subject matter within the applicable timing needs of BPC. BPC shall use its commercially reasonable efforts to transition from ADMA (or any of its Subsidiaries) and the Third Party Service Providers to itself or its own Third Party Service Providers as promptly as practicable and, in any event, prior to the expiration of the applicable Term.</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Fees &amp; Costs.</w:t>
      </w:r>
    </w:p>
    <w:p>
      <w:pPr>
        <w:spacing w:after="0" w:line="229" w:lineRule="exact"/>
        <w:rPr>
          <w:sz w:val="20"/>
          <w:szCs w:val="20"/>
          <w:color w:val="auto"/>
        </w:rPr>
      </w:pPr>
    </w:p>
    <w:p>
      <w:pPr>
        <w:ind w:left="2260" w:hanging="955"/>
        <w:spacing w:after="0"/>
        <w:tabs>
          <w:tab w:leader="none" w:pos="226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sets forth the fees to be paid by BPC for the Services to be provided by ADMA (collectively, the “</w:t>
      </w:r>
      <w:r>
        <w:rPr>
          <w:rFonts w:ascii="Arial" w:cs="Arial" w:eastAsia="Arial" w:hAnsi="Arial"/>
          <w:sz w:val="17"/>
          <w:szCs w:val="17"/>
          <w:u w:val="single" w:color="auto"/>
          <w:color w:val="auto"/>
        </w:rPr>
        <w:t>Fees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firstLine="1305"/>
        <w:spacing w:after="0" w:line="264" w:lineRule="auto"/>
        <w:tabs>
          <w:tab w:leader="none" w:pos="2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more than [***] ([***]) days following the end of each calendar month during the applicable Term, each ADMA (directly or through one or more of its Affiliates) shall issue a monthly invoice to BPC, setting forth the Fees (itemized by Service) and any applicable taxes payable by BPC for such calendar month.</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4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Except as otherwise provided herein or in the Service Schedule, the aggregate undisputed Fees under the Service Schedule shall be paid in full by BPC within [***] ([***]) days following receipt of an invoice from ADMA, unless BPC in good faith disputes the amount of Fees contained in any such invoice, as provided in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below. ADMA may charge BPC a late fee of [***] percent ([***]%) per month for any undisputed Fees not paid when due.</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2306"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If BPC, in good faith, disputes any Fees, it shall promptly submit to ADMA written notice of such dispute and may withhold from its payment of the relevant invoice only such disputed amounts (except for applicable taxes), subject to resolution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BPC dispute any Fees with respect to Services provided to BPC by a Third Party Service Provider to the extent such Fees are documented by an invoice of such Third Party Service Provider and a copy of such invoice is delivered to BPC. Pending resolution of such disputed Fees, ADMA shall be obligated to continue providing Services in accordance with this Agreement.</w:t>
      </w:r>
    </w:p>
    <w:p>
      <w:pPr>
        <w:spacing w:after="0" w:line="172" w:lineRule="exact"/>
        <w:rPr>
          <w:rFonts w:ascii="Arial" w:cs="Arial" w:eastAsia="Arial" w:hAnsi="Arial"/>
          <w:sz w:val="17"/>
          <w:szCs w:val="17"/>
          <w:color w:val="auto"/>
        </w:rPr>
      </w:pPr>
    </w:p>
    <w:p>
      <w:pPr>
        <w:jc w:val="both"/>
        <w:ind w:firstLine="1305"/>
        <w:spacing w:after="0" w:line="259"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BPC understands that prior to the Effective Date, ADMA may have contracted with Affiliates or Third Party Service Providers to provide services in connection with all or any portion of the Services. In providing Services hereunder, ADMA may subcontract with its present and future Affiliates or Third Party Service Providers to provide such Services (and may increase the scope of such engagement of Affiliates or Third Party Service Providers).</w:t>
      </w: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5" w:name="page116"/>
    <w:bookmarkEnd w:id="115"/>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8" w:lineRule="exact"/>
        <w:rPr>
          <w:sz w:val="20"/>
          <w:szCs w:val="20"/>
          <w:color w:val="auto"/>
        </w:rPr>
      </w:pPr>
    </w:p>
    <w:p>
      <w:pPr>
        <w:ind w:firstLine="1305"/>
        <w:spacing w:after="0" w:line="277" w:lineRule="auto"/>
        <w:tabs>
          <w:tab w:leader="none" w:pos="2379"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Promptly after receiving written notice thereof, ADMA shall use its commercially reasonable efforts to correct any errors or omissions in any of the Services that it has provided to BPC hereunder.</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Transition.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period of the applicable Term hereunder, each of ADMA and BPC shall cooperate with each other with respect to the Transition and shall use their respective commercially reasonable efforts to timely complete the Transition during such applicable Term.</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Computer and Books and Records Access.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Party shall keep complete and accurate records in all material respects in connection with the provision of Services and such records shall be kept in sufficient detail to permit independent audit of such records in accordance with this </w:t>
      </w:r>
      <w:r>
        <w:rPr>
          <w:rFonts w:ascii="Arial" w:cs="Arial" w:eastAsia="Arial" w:hAnsi="Arial"/>
          <w:sz w:val="18"/>
          <w:szCs w:val="18"/>
          <w:u w:val="single" w:color="auto"/>
          <w:color w:val="auto"/>
        </w:rPr>
        <w:t>Section 2.4</w:t>
      </w:r>
      <w:r>
        <w:rPr>
          <w:rFonts w:ascii="Arial" w:cs="Arial" w:eastAsia="Arial" w:hAnsi="Arial"/>
          <w:sz w:val="18"/>
          <w:szCs w:val="18"/>
          <w:color w:val="auto"/>
        </w:rPr>
        <w:t>. Neither Party shall use its access to the confidential information of the other Party for anything other than the receipt or provision, as applicable, of the Services hereunder. Notwithstanding anything to the contrary in this Agreement, no Party shall be required to disclose any information to the other Party, its legal representatives, independent accountants or auditors if doing so would (a) contravene any Law to which such Party is subject or any agreement by which such Party is bound or (b) result in the waiver of any attorney-client privilege or work product protection of such Party.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Term.</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Subject to the last sentence of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the term of this Agreement shall commence on the Effective Date and end on the six (6) month anniversary thereof, unless earlier terminated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Parties wish to extend the term for which BPC will receive any of the Services hereunder beyond the initial term, the Parties shall enter into good faith negotiations at least thirty (30) days prior to the termination of the applicable initial term and following such negotiation may enter into a written agreement at least ten (10) days prior to the termination of the applicable initial term, which term may then be extended for such Service for an additional period not to exceed three (3) months from the scheduled initial expiration of the applicable initial term for such Service (the foregoing time periods, as the case may be, including any applicable extension, referred to herein as the applicable “</w:t>
      </w:r>
      <w:r>
        <w:rPr>
          <w:rFonts w:ascii="Arial" w:cs="Arial" w:eastAsia="Arial" w:hAnsi="Arial"/>
          <w:sz w:val="16"/>
          <w:szCs w:val="16"/>
          <w:u w:val="single" w:color="auto"/>
          <w:color w:val="auto"/>
        </w:rPr>
        <w:t>Term</w:t>
      </w:r>
      <w:r>
        <w:rPr>
          <w:rFonts w:ascii="Arial" w:cs="Arial" w:eastAsia="Arial" w:hAnsi="Arial"/>
          <w:sz w:val="16"/>
          <w:szCs w:val="16"/>
          <w:color w:val="auto"/>
        </w:rPr>
        <w:t>”). If the Parties agree (or if required by applicable Law), the Service Schedules will set forth any shorter periods for which particular Services will be provided. Notwithstanding the foregoing, ADMA agrees to negotiate in good faith an extension of this Agreement in the event BPC is unable after exercising commercially reasonable efforts to obtain all necessary government licenses and approvals to operate the Acquired Assets.</w:t>
      </w: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6" w:name="page117"/>
    <w:bookmarkEnd w:id="116"/>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Termination</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97" w:lineRule="auto"/>
        <w:tabs>
          <w:tab w:leader="none" w:pos="2377"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as otherwise provided by Law, this Agreement may be terminated by either BPC or ADMA at any time upon written notice to the other Party, if (i) the other Party is adjudicated as bankrupt, (ii) any insolvency, bankruptcy or reorganization proceeding is commenced by the other Party under any insolvency, bankruptcy or reorganization act, (iii) any action is taken by others against the other Party under any insolvency, bankruptcy or reorganization act and such Party fails to have such proceeding stayed or vacated within ninety (90) days or (iv) if the other Party makes an assignment for the benefit of creditors, or a receiver is appointed for the other Party which is not discharged within thirty (30) days after the appointment of the receiver.</w:t>
      </w:r>
    </w:p>
    <w:p>
      <w:pPr>
        <w:spacing w:after="0" w:line="158" w:lineRule="exact"/>
        <w:rPr>
          <w:rFonts w:ascii="Arial" w:cs="Arial" w:eastAsia="Arial" w:hAnsi="Arial"/>
          <w:sz w:val="16"/>
          <w:szCs w:val="16"/>
          <w:color w:val="auto"/>
        </w:rPr>
      </w:pPr>
    </w:p>
    <w:p>
      <w:pPr>
        <w:jc w:val="both"/>
        <w:ind w:firstLine="1305"/>
        <w:spacing w:after="0" w:line="264" w:lineRule="auto"/>
        <w:tabs>
          <w:tab w:leader="none" w:pos="22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Service provided hereunder may be terminated by ADMA at any time upon written notice to BPC if BPC fails to pay the amount of any undisputed Fees payable by it for such Service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and such failure is not cured within thirty (30) days after written notice from ADMA.</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2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Service provided hereunder may also be terminated by either ADMA or BPC at any time upon written notice to the other Party if the other Party is in material breach of any of its obligations under this Agreement with respect to such Service (other than BPC’s obligation to pay the amount of any undisputed Fees payable for such Service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BPC or ADMA, as the case may be, desires to terminate any Service pursuant to this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the Party that wishes to terminate such Service shall provide a Dispute Escalation Notice to the other Party and termination of such Service shall be permitted only after the Parties have complied with the dispute resolution procedures set forth in </w:t>
      </w:r>
      <w:r>
        <w:rPr>
          <w:rFonts w:ascii="Arial" w:cs="Arial" w:eastAsia="Arial" w:hAnsi="Arial"/>
          <w:sz w:val="18"/>
          <w:szCs w:val="18"/>
          <w:u w:val="single" w:color="auto"/>
          <w:color w:val="auto"/>
        </w:rPr>
        <w:t>Section 6.2.</w:t>
      </w:r>
    </w:p>
    <w:p>
      <w:pPr>
        <w:spacing w:after="0" w:line="193" w:lineRule="exact"/>
        <w:rPr>
          <w:rFonts w:ascii="Arial" w:cs="Arial" w:eastAsia="Arial" w:hAnsi="Arial"/>
          <w:sz w:val="18"/>
          <w:szCs w:val="18"/>
          <w:color w:val="auto"/>
        </w:rPr>
      </w:pPr>
    </w:p>
    <w:p>
      <w:pPr>
        <w:jc w:val="both"/>
        <w:ind w:firstLine="1305"/>
        <w:spacing w:after="0" w:line="257" w:lineRule="auto"/>
        <w:tabs>
          <w:tab w:leader="none" w:pos="2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Service provided hereunder may also be terminated by BPC at the end of any calendar month; </w:t>
      </w:r>
      <w:r>
        <w:rPr>
          <w:rFonts w:ascii="Arial" w:cs="Arial" w:eastAsia="Arial" w:hAnsi="Arial"/>
          <w:sz w:val="18"/>
          <w:szCs w:val="18"/>
          <w:i w:val="1"/>
          <w:iCs w:val="1"/>
          <w:color w:val="auto"/>
        </w:rPr>
        <w:t>provided</w:t>
      </w:r>
      <w:r>
        <w:rPr>
          <w:rFonts w:ascii="Arial" w:cs="Arial" w:eastAsia="Arial" w:hAnsi="Arial"/>
          <w:sz w:val="18"/>
          <w:szCs w:val="18"/>
          <w:color w:val="auto"/>
        </w:rPr>
        <w:t>, that except as otherwise provided in the Service Schedule, BPC shall give ADMA at least fifteen (15) Business Days prior written notice specifying the date that such termination is to be effective (or such shorter notice as may be agreed upon by BPC and ADMA). Notwithstanding the foregoing, no prior notice is required to terminate any Service for which the Transition of such Service has been completed, which termination shall be effective immediately upon receipt of such notice by ADMA.</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7" w:name="page118"/>
    <w:bookmarkEnd w:id="117"/>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Effect of Termination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the event this Agreement or any Services are validly terminated as provided herein, each of the Parties shall be relieved of its duties and obligations arising with respect thereto after the date of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the provisions set forth in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hereof shall survive any termination of this Agreement, (ii) such termination in and of itself shall not relieve a Party of liability for a breach prior to the date of such termination and (iii) such termination shall not relieve BPC of its obligation to pay accrued and unpaid Fees through the date of such termination which shall be paid within thirty (30) days of such termination. For the avoidance of doubt, in the event of any termination of one or more Services, the Fees applicable to such Services, in accordance with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above, shall no longer be charged or due after the effective date of such termination and in the event of a material reduction by BPC of the amount of the Services it elects to continue to receive, the Fees applicable to such Services shall be appropriately reduced thereafter if costs to the ADMA are correspondingly reduced as a result of such reduction.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General.</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Parties agree to maintain the confidentiality of the contents of this Agreement and the dealings between the Parties with the same degree of care as they use to protect their own proprietary, confidential or trade secret information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either Party use less than a reasonable degree of care). Subject to the last sentence of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neither Party shall disclose to any third party any Information received from the other hereunder without such other Party’s prior written consent and shall use such Information only for the purpose of this Agreement.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not apply to any Information which (i) was in the public domain at the time of its disclosure or thereafter becomes part of the public domain by publication or otherwise subsequent to the time of disclosure under this Agreement other than as a result of disclosure by the receiving party or its representatives in breach of this Agreement or any other duty of confidentiality; (ii) is independently developed by the receiving party without use of the other Party’s Information; (iii) is disclosed with the written approval of the disclosing party; (iv) is furnished to the receiving party by a third party having the authority to disclose such Information and, to the knowledge of the receiving party, the disclosure of such Information by the third party to the receiving party is not subject to a confidentiality obligation; (v) is disclosed by Law or in response to a valid order of a court or other governmental body of competent jurisdiction, but only to the extent legally required on the advice of outside legal counsel and for the purpose of such Law, and only if the receiving party first notifies the disclosing party of the required disclosure and permits the disclosing party, at its sole expense, to seek an appropriate legal remedy to maintain the Information in secret (and if the disclosing party seeks such a legal remedy, the receiving party agrees to, and to cause its representatives to, cooperate as the disclosing party shall reasonably request at the disclosing party’s expense); or (vi) is required to be included in any filings made with the U.S. Securities and Exchange Commission pursuant to the Securities Act of 1933, as amended, or the Securities Exchange Act of 1934, as amended (which, for the avoidance of doubt, shall include filing a copy of this Agreement with the U.S. Securities and Exchange Commission);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w:t>
      </w:r>
      <w:r>
        <w:rPr>
          <w:rFonts w:ascii="Arial" w:cs="Arial" w:eastAsia="Arial" w:hAnsi="Arial"/>
          <w:sz w:val="16"/>
          <w:szCs w:val="16"/>
          <w:color w:val="auto"/>
        </w:rPr>
        <w:t>r, that the Parties shall use commercially reasonable efforts to obtain confidential treatment of any Information that is disclosed pursuant to this clause (vi).</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8" w:name="page119"/>
    <w:bookmarkEnd w:id="118"/>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Return or Destruction of Confidential Information.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Upon the expiration of the applicable Term, upon the disclosing party’s request, the receiving party shall promptly either return, destroy or erase (including expunging all Information from any computer, server or other device containing such information) all Information (including all copies, reproductions, summaries, analyses or extracts thereof or based thereon) in the possession or control of the receiving party or any of its representatives (and, in the case of destruction or erasure, provide to the disclosing party a certificate addressed to the disclosing party confirming such destruction or erasure). Notwithstanding any such return, destruction or erasure of the Information, the receiving party and its representatives shall continue to be bound by the obligations of confidentiality hereunder. Notwithstanding the foregoing, the receiving party and its representatives (a) may retain the Information to comply with applicable Law or bona fide internal record-keeping policies and (b) shall not be required to erase or expunge any Information residing on the receiving party’s automatic electronic backup or archival systems to the extent impracticable; </w:t>
      </w:r>
      <w:r>
        <w:rPr>
          <w:rFonts w:ascii="Arial" w:cs="Arial" w:eastAsia="Arial" w:hAnsi="Arial"/>
          <w:sz w:val="17"/>
          <w:szCs w:val="17"/>
          <w:i w:val="1"/>
          <w:iCs w:val="1"/>
          <w:color w:val="auto"/>
        </w:rPr>
        <w:t>provided</w:t>
      </w:r>
      <w:r>
        <w:rPr>
          <w:rFonts w:ascii="Arial" w:cs="Arial" w:eastAsia="Arial" w:hAnsi="Arial"/>
          <w:sz w:val="17"/>
          <w:szCs w:val="17"/>
          <w:color w:val="auto"/>
        </w:rPr>
        <w:t>, that the receiving party and its representatives shall continue to be bound by the obligations of confidentiality and use hereunder until the sooner of the time such Information is returned or destroyed in accordance herewith or the two year anniversary of the expiration of the applicable Term.</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Survival.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confidentiality in this section shall survive the termination of this Agreement and shall continue with respect to donor information without limit of time and in respect of other confidential information for a period of [***] ([***])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jc w:val="both"/>
        <w:ind w:firstLine="1305"/>
        <w:spacing w:after="0" w:line="255" w:lineRule="auto"/>
        <w:tabs>
          <w:tab w:leader="none" w:pos="25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and after the Effective Date, ADMA shall indemnify BPC, BPC’s Affiliates and each of their respective officers, directors, stockholders, employees, agents, representatives, successors and permitted assigns (each, a “</w:t>
      </w:r>
      <w:r>
        <w:rPr>
          <w:rFonts w:ascii="Arial" w:cs="Arial" w:eastAsia="Arial" w:hAnsi="Arial"/>
          <w:sz w:val="18"/>
          <w:szCs w:val="18"/>
          <w:u w:val="single" w:color="auto"/>
          <w:color w:val="auto"/>
        </w:rPr>
        <w:t>BPC Indemnified Party</w:t>
      </w:r>
      <w:r>
        <w:rPr>
          <w:rFonts w:ascii="Arial" w:cs="Arial" w:eastAsia="Arial" w:hAnsi="Arial"/>
          <w:sz w:val="18"/>
          <w:szCs w:val="18"/>
          <w:color w:val="auto"/>
        </w:rPr>
        <w:t>”) against and hold them harmless from any and all liabilities, losses, damages, claims, costs, expenses, interest, awards, judgments and penalties (including reasonable and documented fees for outside counsel, accountants and other outside consultants)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suffered or incurred by such BPC Indemnified Party in connection with (1) a breach of this Agreement by ADMA, (2) the negligence or willful misconduct of ADMA in its performance of its obligations hereunder.</w:t>
      </w: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9" w:name="page120"/>
    <w:bookmarkEnd w:id="119"/>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8" w:lineRule="exact"/>
        <w:rPr>
          <w:sz w:val="20"/>
          <w:szCs w:val="20"/>
          <w:color w:val="auto"/>
        </w:rPr>
      </w:pPr>
    </w:p>
    <w:p>
      <w:pPr>
        <w:jc w:val="both"/>
        <w:ind w:firstLine="1305"/>
        <w:spacing w:after="0" w:line="288" w:lineRule="auto"/>
        <w:tabs>
          <w:tab w:leader="none" w:pos="2445" w:val="left"/>
        </w:tabs>
        <w:numPr>
          <w:ilvl w:val="1"/>
          <w:numId w:val="53"/>
        </w:numPr>
        <w:rPr>
          <w:rFonts w:ascii="Arial" w:cs="Arial" w:eastAsia="Arial" w:hAnsi="Arial"/>
          <w:sz w:val="16"/>
          <w:szCs w:val="16"/>
          <w:color w:val="auto"/>
        </w:rPr>
      </w:pPr>
      <w:r>
        <w:rPr>
          <w:rFonts w:ascii="Arial" w:cs="Arial" w:eastAsia="Arial" w:hAnsi="Arial"/>
          <w:sz w:val="16"/>
          <w:szCs w:val="16"/>
          <w:color w:val="auto"/>
        </w:rPr>
        <w:t>BPC shall indemnify ADMA, ADMA’s Affiliates and each of their respective officers, directors, stockholders, employees, agents, representatives, successors and permitted assigns (each, an “</w:t>
      </w:r>
      <w:r>
        <w:rPr>
          <w:rFonts w:ascii="Arial" w:cs="Arial" w:eastAsia="Arial" w:hAnsi="Arial"/>
          <w:sz w:val="16"/>
          <w:szCs w:val="16"/>
          <w:u w:val="single" w:color="auto"/>
          <w:color w:val="auto"/>
        </w:rPr>
        <w:t>ADMA Indemnified Party</w:t>
      </w:r>
      <w:r>
        <w:rPr>
          <w:rFonts w:ascii="Arial" w:cs="Arial" w:eastAsia="Arial" w:hAnsi="Arial"/>
          <w:sz w:val="16"/>
          <w:szCs w:val="16"/>
          <w:color w:val="auto"/>
        </w:rPr>
        <w:t>” and any ADMA Indemnified Party or BPC Indemnified Party,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against and hold them harmless from any and all Losses suffered or incurred by such ADMA Indemnified Party in connection with</w:t>
      </w:r>
    </w:p>
    <w:p>
      <w:pPr>
        <w:ind w:firstLine="8"/>
        <w:spacing w:after="0" w:line="261" w:lineRule="auto"/>
        <w:tabs>
          <w:tab w:leader="none" w:pos="2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breach of this Agreement by BPC, (2) BPC’s use of ADMA’s U.S. Food and Drug Administration license while operating the Acquired Assets, and (3) the negligence or willful misconduct of BPC in its performance of its obligations hereunder.</w:t>
      </w:r>
    </w:p>
    <w:p>
      <w:pPr>
        <w:spacing w:after="0" w:line="183" w:lineRule="exact"/>
        <w:rPr>
          <w:rFonts w:ascii="Arial" w:cs="Arial" w:eastAsia="Arial" w:hAnsi="Arial"/>
          <w:sz w:val="18"/>
          <w:szCs w:val="18"/>
          <w:color w:val="auto"/>
        </w:rPr>
      </w:pPr>
    </w:p>
    <w:p>
      <w:pPr>
        <w:jc w:val="both"/>
        <w:ind w:firstLine="1305"/>
        <w:spacing w:after="0" w:line="302" w:lineRule="auto"/>
        <w:tabs>
          <w:tab w:leader="none" w:pos="2291"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5.1(b),</w:t>
      </w:r>
      <w:r>
        <w:rPr>
          <w:rFonts w:ascii="Arial" w:cs="Arial" w:eastAsia="Arial" w:hAnsi="Arial"/>
          <w:sz w:val="16"/>
          <w:szCs w:val="16"/>
          <w:color w:val="auto"/>
        </w:rPr>
        <w:t xml:space="preserve"> the Party against whom an indemnification claim is made under this Agreement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shall not be deemed to have breached this Agreement, to have been negligent or to have engaged in willful misconduct, to the extent that Losses arise as a result of information provided by or on behalf of the Indemnified Party to the Indemnifying Party or any actions taken or omitted to be taken by the Indemnifying Party upon the written direction or instruction of such Indemnified Party.</w:t>
      </w:r>
    </w:p>
    <w:p>
      <w:pPr>
        <w:spacing w:after="0" w:line="154" w:lineRule="exact"/>
        <w:rPr>
          <w:rFonts w:ascii="Arial" w:cs="Arial" w:eastAsia="Arial" w:hAnsi="Arial"/>
          <w:sz w:val="16"/>
          <w:szCs w:val="16"/>
          <w:color w:val="auto"/>
        </w:rPr>
      </w:pPr>
    </w:p>
    <w:p>
      <w:pPr>
        <w:jc w:val="both"/>
        <w:ind w:firstLine="1305"/>
        <w:spacing w:after="0" w:line="297" w:lineRule="auto"/>
        <w:tabs>
          <w:tab w:leader="none" w:pos="2279"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For avoidance of doubt,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applies solely to the specific matters and activities covered by this Agreement (and not to matters specifically covered by the Purchase Agreement, Existing TSA or any other existing commercial agreement between the Parties (or any of their Subsidiaries)). Nothing in this Agreement shall limit the indemnification rights of the Parties under the Purchase Agreement, Existing TSA or any other existing commercial agreement between the Parties (or any of their Subsidiaries) and shall not be taken into account for purposes of determining or calculating Losses thereunder, nor shall this Agreement or the Services to be provided hereunder modify the Parties’ obligations under any other agreement.</w:t>
      </w:r>
    </w:p>
    <w:p>
      <w:pPr>
        <w:spacing w:after="0" w:line="158" w:lineRule="exact"/>
        <w:rPr>
          <w:rFonts w:ascii="Arial" w:cs="Arial" w:eastAsia="Arial" w:hAnsi="Arial"/>
          <w:sz w:val="16"/>
          <w:szCs w:val="16"/>
          <w:color w:val="auto"/>
        </w:rPr>
      </w:pPr>
    </w:p>
    <w:p>
      <w:pPr>
        <w:jc w:val="both"/>
        <w:ind w:firstLine="1305"/>
        <w:spacing w:after="0" w:line="297" w:lineRule="auto"/>
        <w:tabs>
          <w:tab w:leader="none" w:pos="2246"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The amount of any Losses payable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by the Indemnifying Party shall be net of any amounts actually recovered by the Indemnified Party from any other Person alleged to be responsible therefor. If the Indemnified Party receives any amounts from any other Person alleged to be responsible for any Losses subsequent to an indemnification payment by the Indemnifying Party, then the Indemnified Party shall promptly reimburse the Indemnifying Party for the amount actually paid by the Indemnifying Party to the Indemnified Party in respect of such indemnification payment up to the amount received by the Indemnified Party, net of any expenses incurred by the Indemnified Party in collecting such amount.</w:t>
      </w: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0" w:name="page121"/>
    <w:bookmarkEnd w:id="120"/>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Procedures for Indemnification of Third Party Claims.</w:t>
      </w:r>
    </w:p>
    <w:p>
      <w:pPr>
        <w:spacing w:after="0" w:line="229" w:lineRule="exact"/>
        <w:rPr>
          <w:sz w:val="20"/>
          <w:szCs w:val="20"/>
          <w:color w:val="auto"/>
        </w:rPr>
      </w:pPr>
    </w:p>
    <w:p>
      <w:pPr>
        <w:jc w:val="both"/>
        <w:ind w:firstLine="1305"/>
        <w:spacing w:after="0" w:line="285" w:lineRule="auto"/>
        <w:tabs>
          <w:tab w:leader="none" w:pos="2506" w:val="left"/>
        </w:tabs>
        <w:numPr>
          <w:ilvl w:val="1"/>
          <w:numId w:val="55"/>
        </w:numPr>
        <w:rPr>
          <w:rFonts w:ascii="Arial" w:cs="Arial" w:eastAsia="Arial" w:hAnsi="Arial"/>
          <w:sz w:val="16"/>
          <w:szCs w:val="16"/>
          <w:color w:val="auto"/>
        </w:rPr>
      </w:pPr>
      <w:r>
        <w:rPr>
          <w:rFonts w:ascii="Arial" w:cs="Arial" w:eastAsia="Arial" w:hAnsi="Arial"/>
          <w:sz w:val="16"/>
          <w:szCs w:val="16"/>
          <w:color w:val="auto"/>
        </w:rPr>
        <w:t>In order for any Indemnified Party to be entitled to any indemnification provided for under this Agreement in respect of, arising out of or involving an Action by any third Person against the Indemnified Party (a “</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such Indemnified Party must notify the Indemnifying Party of such Third-Party Claim in writing (and stating in reasonable detail in light of circumstances then known to such Indemnified Party the basis of such Third-Party Claim) promptly after receipt by such Indemnified Party of notice of the Third-Party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failure by such Indemnified Party to give such notification shall not relieve the Indemnifying Party of its obligations hereunder, except to the extent the Indemnifying Party</w:t>
      </w:r>
    </w:p>
    <w:p>
      <w:pPr>
        <w:spacing w:after="0" w:line="2" w:lineRule="exact"/>
        <w:rPr>
          <w:rFonts w:ascii="Arial" w:cs="Arial" w:eastAsia="Arial" w:hAnsi="Arial"/>
          <w:sz w:val="16"/>
          <w:szCs w:val="16"/>
          <w:color w:val="auto"/>
        </w:rPr>
      </w:pPr>
    </w:p>
    <w:p>
      <w:pPr>
        <w:jc w:val="both"/>
        <w:ind w:firstLine="8"/>
        <w:spacing w:after="0" w:line="254" w:lineRule="auto"/>
        <w:tabs>
          <w:tab w:leader="none" w:pos="222"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demonstrates that it has been actually and materially prejudiced as a result of such failure or (ii) forfeits any rights or defenses that would otherwise have been available to the Indemnifying Party but for such failure. Thereafter, to the extent legally permissible, the Indemnified Party shall deliver to the Indemnifying Party, within five (5) Business Days after the Indemnified Party’s receipt thereof, copies of all notices and documents (including court papers) received by the Indemnified Party relating to the Third-Party Claim.</w:t>
      </w:r>
    </w:p>
    <w:p>
      <w:pPr>
        <w:spacing w:after="0" w:line="189" w:lineRule="exact"/>
        <w:rPr>
          <w:rFonts w:ascii="Arial" w:cs="Arial" w:eastAsia="Arial" w:hAnsi="Arial"/>
          <w:sz w:val="18"/>
          <w:szCs w:val="18"/>
          <w:color w:val="auto"/>
        </w:rPr>
      </w:pPr>
    </w:p>
    <w:p>
      <w:pPr>
        <w:jc w:val="both"/>
        <w:ind w:firstLine="1305"/>
        <w:spacing w:after="0" w:line="284" w:lineRule="auto"/>
        <w:tabs>
          <w:tab w:leader="none" w:pos="2387"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If a Third-Party Claim is made against an Indemnified Party, the Indemnifying Party shall be entitled (i) to participate in the defense thereof, and (ii) if it so chooses, upon written notice delivered to the Indemnified Party within thirty (30) days after receipt of notice of such Third-Party Claim from the Indemnified Party, to assume the defense thereof, in each case, with counsel selected by the Indemnifying Party, which counsel shall be reasonably satisfactory to the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Indemnifying Party shall not be entitled to assume the defense of any Third-Party Claim if any of the conditions set forth in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is not satisfied. Should the Indemnifying Party so elect to assume the defense of a Third-Party Claim, and is permitted to do so under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(x) the Indemnifying Party shall not be liable to the Indemnified Party for any legal expenses subsequently incurred by the Indemnified Party in connection with the defense thereof, and (y) the Indemnified Party shall have the right to participate in the defense thereof and to employ counsel, at its own expense, separate from the counsel employed by the Indemnifying Party, it being understood that the Indemnifying Party shall control such defense (subject to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The Indemnifying Party shall be liable for the fees and expenses of counsel employed by the Indemnified Party for any period during which the Indemnifying Party has not assumed the defense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Indemnifying Party will not be required to pay the fees and expenses of more than one counsel for all Indemnified Parties in any jurisdiction in any single Third-Party Claim. The Indemnifying Party or the Indemnified Party, as the case may be, shall at all times use reasonable efforts to keep the Indemnifying Party or the Indemnified Party, as the case may be, reasonably apprised of the status of any matter the defense of which they are maintaining. If the Indemnifying Party chooses to defend or prosecute a Third-Party Claim, all the Indemnified Parties shall reasonably cooperate in the defense or prosecution thereof. Such cooperation shall include the retention and (upon the Indemnifying Party’s request) the provision to the Indemnifying Party of records and information that are reasonably relevant to such Third- Party Claim, and making employees available on a mutually convenient basis to provide additional information and explanation of any material provided hereunder. Whether or not the Indemnifying Party assumes the defense of a Third-Party Claim, the Indemnified Party shall not admit any liability with respect to, or settle, compromise or discharge, such Third-Party Claim without the Indemnifying Party’s prior written consent (which consent shall not be unreasonably withheld). If the Indemnifying Party assumes the defense of a Third-Party Claim, the Indemnified Party shall agree to any settlement, compromise or discharge of such Third-Party Claim if (I) the Indemnifying Party recommends such settlement, compromise or discharge, (II) the Indemnifying Party would be obligated to pay the full amount of the Losses in connection with such Third- Party Claim under the terms of this Agreement and (III) such settlement, compromise or discharge completely and unconditionally releases the Indemnified Party from all Losses in connection with such Third-Party Claim, does not entail any admission of liability on the part of the Indemnified Party and would not otherwise adversely affect the Indemnified Party. Any consent to be given by an Indemnified Party under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shall be given by ADMA or BPC, as applicable.</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1" w:name="page122"/>
    <w:bookmarkEnd w:id="121"/>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8" w:lineRule="exact"/>
        <w:rPr>
          <w:sz w:val="20"/>
          <w:szCs w:val="20"/>
          <w:color w:val="auto"/>
        </w:rPr>
      </w:pPr>
    </w:p>
    <w:p>
      <w:pPr>
        <w:ind w:firstLine="1305"/>
        <w:spacing w:after="0" w:line="277" w:lineRule="auto"/>
        <w:tabs>
          <w:tab w:leader="none" w:pos="2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the Indemnifying Party shall not be entitled to control the defense or settlement of any Third-Party Claim if any of the following conditions are not satisfied:</w:t>
      </w:r>
    </w:p>
    <w:p>
      <w:pPr>
        <w:spacing w:after="0" w:line="170" w:lineRule="exact"/>
        <w:rPr>
          <w:rFonts w:ascii="Arial" w:cs="Arial" w:eastAsia="Arial" w:hAnsi="Arial"/>
          <w:sz w:val="18"/>
          <w:szCs w:val="18"/>
          <w:color w:val="auto"/>
        </w:rPr>
      </w:pPr>
    </w:p>
    <w:p>
      <w:pPr>
        <w:ind w:left="2960" w:hanging="764"/>
        <w:spacing w:after="0"/>
        <w:tabs>
          <w:tab w:leader="none" w:pos="2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Indemnifying Party must diligently defend such Third-Party Claim;</w:t>
      </w:r>
    </w:p>
    <w:p>
      <w:pPr>
        <w:spacing w:after="0" w:line="225" w:lineRule="exact"/>
        <w:rPr>
          <w:rFonts w:ascii="Arial" w:cs="Arial" w:eastAsia="Arial" w:hAnsi="Arial"/>
          <w:sz w:val="18"/>
          <w:szCs w:val="18"/>
          <w:color w:val="auto"/>
        </w:rPr>
      </w:pPr>
    </w:p>
    <w:p>
      <w:pPr>
        <w:ind w:right="40" w:firstLine="2196"/>
        <w:spacing w:after="0" w:line="259" w:lineRule="auto"/>
        <w:tabs>
          <w:tab w:leader="none" w:pos="30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Indemnifying Party must furnish the Indemnified Party with evidence reasonably satisfactory to the Indemnified Party that the financial resources of the Indemnifying Party, in the Indemnified Party’s reasonable judgment, are and will be sufficient (when considering Losses in respect of all other outstanding claims by the applicable Indemnified Parties under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to satisfy any Losses relating to such Third-Party Claim;</w:t>
      </w:r>
    </w:p>
    <w:p>
      <w:pPr>
        <w:spacing w:after="0" w:line="186" w:lineRule="exact"/>
        <w:rPr>
          <w:rFonts w:ascii="Arial" w:cs="Arial" w:eastAsia="Arial" w:hAnsi="Arial"/>
          <w:sz w:val="18"/>
          <w:szCs w:val="18"/>
          <w:color w:val="auto"/>
        </w:rPr>
      </w:pPr>
    </w:p>
    <w:p>
      <w:pPr>
        <w:ind w:left="3020" w:hanging="824"/>
        <w:spacing w:after="0"/>
        <w:tabs>
          <w:tab w:leader="none" w:pos="30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such Third-Party Claim shall not involve criminal actions or allegations of criminal conduct by the Indemnified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Party, and shall not involve Actions for specific performance or other equitable relief against the Indemnified Party;</w:t>
      </w:r>
    </w:p>
    <w:p>
      <w:pPr>
        <w:spacing w:after="0" w:line="210" w:lineRule="exact"/>
        <w:rPr>
          <w:rFonts w:ascii="Arial" w:cs="Arial" w:eastAsia="Arial" w:hAnsi="Arial"/>
          <w:sz w:val="17"/>
          <w:szCs w:val="17"/>
          <w:color w:val="auto"/>
        </w:rPr>
      </w:pPr>
    </w:p>
    <w:p>
      <w:pPr>
        <w:ind w:right="440" w:firstLine="2196"/>
        <w:spacing w:after="0" w:line="277" w:lineRule="auto"/>
        <w:tabs>
          <w:tab w:leader="none" w:pos="2991"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such Third-Party Claim would not reasonably be expected to have a material adverse effect on the Indemnified Party’s business and does not relate to its customers, suppliers, vendors or other service providers; and</w:t>
      </w:r>
    </w:p>
    <w:p>
      <w:pPr>
        <w:spacing w:after="0" w:line="170" w:lineRule="exact"/>
        <w:rPr>
          <w:rFonts w:ascii="Arial" w:cs="Arial" w:eastAsia="Arial" w:hAnsi="Arial"/>
          <w:sz w:val="18"/>
          <w:szCs w:val="18"/>
          <w:color w:val="auto"/>
        </w:rPr>
      </w:pPr>
    </w:p>
    <w:p>
      <w:pPr>
        <w:jc w:val="both"/>
        <w:ind w:right="160" w:firstLine="2196"/>
        <w:spacing w:after="0" w:line="264" w:lineRule="auto"/>
        <w:tabs>
          <w:tab w:leader="none" w:pos="298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there does not exist, in the Indemnified Party’s good faith judgment based on the advice of outside legal counsel, a conflict of interest which, under applicable principles of legal ethics, would reasonably be expected to prohibit a single legal counsel from representing both the Indemnified Party and the Indemnifying Party in such Third-Party Claim.</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2" w:name="page123"/>
    <w:bookmarkEnd w:id="122"/>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8" w:lineRule="exact"/>
        <w:rPr>
          <w:sz w:val="20"/>
          <w:szCs w:val="20"/>
          <w:color w:val="auto"/>
        </w:rPr>
      </w:pPr>
    </w:p>
    <w:p>
      <w:pPr>
        <w:jc w:val="both"/>
        <w:ind w:firstLine="1305"/>
        <w:spacing w:after="0" w:line="276" w:lineRule="auto"/>
        <w:tabs>
          <w:tab w:leader="none" w:pos="24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event of payment by or on behalf of any Indemnifying Party to any Indemnified Party in connection with any Third Party Claim, such Indemnifying Party shall be subrogated to and shall stand in the place of such Indemnified Party as to any events or circumstances in respect of which such Indemnified Party may have any right, defense or claim relating to such Third Party Claim against any claimant or plaintiff asserting such Third Party Claim or against any other Person. Such Indemnified Party shall cooperate with such Indemnifying Party in a reasonable manner, and at the cost and expense of such Indemnifying Party, in prosecuting any subrogated right, defense or claim.</w:t>
      </w:r>
    </w:p>
    <w:p>
      <w:pPr>
        <w:spacing w:after="0" w:line="169"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Procedures for Indemnification of Third Party Claims.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In the event any Indemnified Party should have a claim against any Indemnifying Party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that does not involve a Third Party Claim being asserted against or sought to be collected from such Indemnified Party, the Indemnified Party shall deliver written notice of such claim with reasonable promptness to the Indemnifying Party. Such notice shall describe the claim in reasonable detail, and shall indicate the estimated amount, if reasonably practicable, of the Losses that have been or may be sustained by the Indemnified Party in respect of such claim. Notwithstanding the foregoing, the failure of any Indemnified Party or other Person to give notice as provided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not relieve the related Indemnifying Party of its obligations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except to the extent that the Indemnifying Party (a) demonstrates that it has been actually and materially prejudiced by such failure or (b) forfeits any rights or defenses that would otherwise have been available to the Indemnifying Party but for such failure. The Indemnifying Party shall have thirty (30) calendar days after its receipt of such notice to respond in writing to such claim. If the Indemnifying Party does not respond in writing within thirty</w:t>
      </w:r>
    </w:p>
    <w:p>
      <w:pPr>
        <w:spacing w:after="0" w:line="1" w:lineRule="exact"/>
        <w:rPr>
          <w:sz w:val="20"/>
          <w:szCs w:val="20"/>
          <w:color w:val="auto"/>
        </w:rPr>
      </w:pPr>
    </w:p>
    <w:p>
      <w:pPr>
        <w:jc w:val="both"/>
        <w:ind w:firstLine="8"/>
        <w:spacing w:after="0" w:line="252" w:lineRule="auto"/>
        <w:tabs>
          <w:tab w:leader="none" w:pos="3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days after its receipt of such notice, such claim specified by the Indemnified Party in such notice shall be conclusively deemed a liability of the Indemnifying Party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the Indemnifying Party shall pay the amount of such Losses to the Indemnified Party on demand or, in the case of any written notice in which the amount of the claim (or any portion thereof) is estimated, on such later date when the amount of such claim (or such portion thereof) becomes finally determined. If the Indemnifying Party responds within thirty (30) days and in such response disputes its obligation to indemnify the Indemnified Party with respect to all or part of such claim, the Indemnifying Party and the Indemnified Party shall proceed in good faith to negotiate a resolution of such dispute and, if not resolved through negotiations within thirty (30) days of notice of such dispute from the Indemnifying Party, such dispute shall be resolved in accordance with </w:t>
      </w:r>
      <w:r>
        <w:rPr>
          <w:rFonts w:ascii="Arial" w:cs="Arial" w:eastAsia="Arial" w:hAnsi="Arial"/>
          <w:sz w:val="18"/>
          <w:szCs w:val="18"/>
          <w:u w:val="single" w:color="auto"/>
          <w:color w:val="auto"/>
        </w:rPr>
        <w:t>Section 6.3.</w:t>
      </w:r>
    </w:p>
    <w:p>
      <w:pPr>
        <w:spacing w:after="0" w:line="189"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Indemnification Payments.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All amounts required to be paid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paid promptly in immediately available funds by wire transfer to a bank account designated by the Indemnified Party.</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3" w:name="page124"/>
    <w:bookmarkEnd w:id="123"/>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Limitation on Damages.</w:t>
      </w:r>
    </w:p>
    <w:p>
      <w:pPr>
        <w:spacing w:after="0" w:line="229" w:lineRule="exact"/>
        <w:rPr>
          <w:sz w:val="20"/>
          <w:szCs w:val="20"/>
          <w:color w:val="auto"/>
        </w:rPr>
      </w:pPr>
    </w:p>
    <w:p>
      <w:pPr>
        <w:jc w:val="both"/>
        <w:ind w:firstLine="1305"/>
        <w:spacing w:after="0" w:line="273" w:lineRule="auto"/>
        <w:tabs>
          <w:tab w:leader="none" w:pos="250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NO EVENT SHALL EITHER PARTY AND/OR ITS AFFILIATES OR ANY OF THEIR DIRECTORS, OFFICERS, EMPLOYEES, STOCKHOLDERS, AGENTS, REPRESENTATIVES OR SUBCONTRACTORS BE LIABLE REGARDLESS OF THE FORM OF ACTION OR LEGAL THEORY FOR INDIRECT, SPECIAL, PUNITIVE, EXEMPLARY, INCIDENTAL OR CONSEQUENTIAL DAMAGES OF ANY KIND RELATED TO THE PERFORMANCE OR NON-PERFORMANCE OF THIS AGREEMENT, INCLUDING LOST PROFITS, LOSS OF DATA OR BUSINESS INTERRUPTION (EXCEPT TO THE EXTENT SUCH EXCLUDED DAMAGES ARE AWARDED TO A THIRD PARTY IN A FINAL, NON-APPELABLE ORDER BY A COURT OF COMPETENT JURISDICTION IN CONNECTION WITH A THIRD PARTY CLAIM).</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23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AGGREGATE LOSSES FOR WHICH EACH PARTY IS OBLIGATED TO INDEMNIFY THE APPLICABLE INDEMNIFIED PARTIES UNDER SECTION 5.1 SHALL IN NO EVENT EXCEED [***] DOLLARS ($[***]); PROVIDED THAT THE CAP SHALL NOT APPLY TO LOSSES AWARDED IN ANY THIRD PARTY CLAIM FINALLY DETERMINED BY A COURT OF COMPETENT JURISDICTION.</w:t>
      </w:r>
    </w:p>
    <w:p>
      <w:pPr>
        <w:spacing w:after="0" w:line="183"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Disclaimer of Warranties.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EXPRESSLY SET FORTH IN THIS AGREEMENT, NEITHER PARTY MAKES, AND EACH PARTY EXPRESSLY DISCLAIMS, ANY AND ALL REPRESENTATIONS OR WARRANTIES WHATSOEVER, WHETHER EXPRESS, IMPLIED OR STATUTORY, WRITTEN OR ORAL, WITH RESPECT TO THE SERVICES TO BE PROVIDED UNDER THIS AGREEMENT, INCLUDING WARRANTIES WITH RESPECT TO MERCHANTABILITY, OR SUITABILITY OR FITNESS FOR A PARTICULAR PURPOSE, AND ANY WARRANTIES ARISING FROM COURSE OF DEALING, COURSE OF PERFORMANCE OR TRADE USAGE.</w:t>
      </w:r>
    </w:p>
    <w:p>
      <w:pPr>
        <w:spacing w:after="0" w:line="184"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Survival.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termination of this Agreement.</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4" w:name="page125"/>
    <w:bookmarkEnd w:id="124"/>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Cooperation.</w:t>
      </w:r>
    </w:p>
    <w:p>
      <w:pPr>
        <w:spacing w:after="0" w:line="229"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8"/>
          <w:szCs w:val="18"/>
          <w:color w:val="auto"/>
        </w:rPr>
        <w:t>Each Party shall, and shall cause its Affiliates to, use commercially reasonable efforts to cooperate with the other Party in all matters relating to the provision and receipt of Services, including providing information and documentation sufficient for the other Party to provide the Services and making available, as reasonably requested by the other Party, timely decisions, approvals and acceptances in order that the other Party may perform their respective obligations under this Agreement in a timely manner.</w:t>
      </w:r>
    </w:p>
    <w:p>
      <w:pPr>
        <w:spacing w:after="0" w:line="183" w:lineRule="exact"/>
        <w:rPr>
          <w:sz w:val="20"/>
          <w:szCs w:val="20"/>
          <w:color w:val="auto"/>
        </w:rPr>
      </w:pPr>
    </w:p>
    <w:p>
      <w:pPr>
        <w:ind w:left="180"/>
        <w:spacing w:after="0"/>
        <w:tabs>
          <w:tab w:leader="none" w:pos="7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Negotiation.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event that any dispute arises between the Parties that cannot be resolved, either Party shall have the right to refer the dispute for resolution to the chief executive officer of the Parties by delivering to the other Party a written notice of such referral (a “</w:t>
      </w:r>
      <w:r>
        <w:rPr>
          <w:rFonts w:ascii="Arial" w:cs="Arial" w:eastAsia="Arial" w:hAnsi="Arial"/>
          <w:sz w:val="17"/>
          <w:szCs w:val="17"/>
          <w:u w:val="single" w:color="auto"/>
          <w:color w:val="auto"/>
        </w:rPr>
        <w:t>Dispute Escalation Notice</w:t>
      </w:r>
      <w:r>
        <w:rPr>
          <w:rFonts w:ascii="Arial" w:cs="Arial" w:eastAsia="Arial" w:hAnsi="Arial"/>
          <w:sz w:val="17"/>
          <w:szCs w:val="17"/>
          <w:color w:val="auto"/>
        </w:rPr>
        <w:t xml:space="preserve">”). Following receipt of a Dispute Escalation Notice, the chief executive officers of the Parties shall negotiate in good faith to resolve such dispute. The Parties agree that all discussions, negotiations and other information exchanged between the Parties during the foregoing escalation proceedings shall be without prejudice to the legal position of a Party in any subsequent Action. In the event that the Parties are unable to resolve such dispute within thirty (30) Business Days after the date of the Dispute Escalation Notice, either Party shall have the right to commence litigation in accordance with </w:t>
      </w:r>
      <w:r>
        <w:rPr>
          <w:rFonts w:ascii="Arial" w:cs="Arial" w:eastAsia="Arial" w:hAnsi="Arial"/>
          <w:sz w:val="17"/>
          <w:szCs w:val="17"/>
          <w:u w:val="single" w:color="auto"/>
          <w:color w:val="auto"/>
        </w:rPr>
        <w:t>Section 6.3</w:t>
      </w:r>
      <w:r>
        <w:rPr>
          <w:rFonts w:ascii="Arial" w:cs="Arial" w:eastAsia="Arial" w:hAnsi="Arial"/>
          <w:sz w:val="17"/>
          <w:szCs w:val="17"/>
          <w:color w:val="auto"/>
        </w:rPr>
        <w:t>. The Parties agree that all discussions, negotiations and other information exchanged between the Parties during the foregoing escalation proceedings shall be without prejudice to the legal position of a Party in any subsequent Action.</w:t>
      </w:r>
    </w:p>
    <w:p>
      <w:pPr>
        <w:spacing w:after="0" w:line="17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Consent to Jurisdiction; Forum; Service of Process; Waiver of Jury Trial.</w:t>
      </w:r>
    </w:p>
    <w:p>
      <w:pPr>
        <w:spacing w:after="0" w:line="229" w:lineRule="exact"/>
        <w:rPr>
          <w:sz w:val="20"/>
          <w:szCs w:val="20"/>
          <w:color w:val="auto"/>
        </w:rPr>
      </w:pPr>
    </w:p>
    <w:p>
      <w:pPr>
        <w:jc w:val="both"/>
        <w:ind w:firstLine="1305"/>
        <w:spacing w:after="0" w:line="267" w:lineRule="auto"/>
        <w:tabs>
          <w:tab w:leader="none" w:pos="2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Subject to the prior exhaustion of the procedures set forth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each of the Parties irrevocably agrees that any Action with respect to this Agreement and the rights and obligations arising hereunder, or for recognition and enforcement of any judgment in respect of this Agreement and the rights and obligations arising hereunder brought by the other Party hereto or its successors or assigns, shall in the case of all Parties,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irrevocably submits with regard to any such Action for itself and in respect of its property, generally and unconditionally, to the personal jurisdiction of the aforesaid courts and agrees that it will not bring any Action relating to this Agreement or any of the transactions contemplated hereby in any court other than the aforesaid courts. Each of the Parties irrevocably waives, and agrees not to assert as a defense, counterclaim or otherwise, in any Action with respect to this Agreement, (i) any claim that it is not personally subject to the jurisdiction of the above named courts for any reason other than the failure to serve in accordance with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Action in such court is brought in an inconvenient forum, (B) the venue of such Action is improper or (C) this Agreement, or the subject matter hereof, may not be enforced in or by such courts. The Parties consent to and grant any of the aforesaid courts’ jurisdiction over the person of such Parties and over the subject matter of such dispute. Each of the Parties irrevocably appoints Corporation Service Company as its agent for the sole purpose of receiving service of process or other legal summons in connection with any such Action brought in such courts and agrees that it will maintain Corporation Service Company at all times as its duly appointed agent in the State of Delaware for the service of any process or summons in connection with any such Action brought in such courts and, if it fails to maintain such an agent during any period, any such process or summons may be served on it by mailing a copy of such process or summons to it in accordance with, and in the manner provided in,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hereof, with such service deemed effective on the fifth (5th) day after the date of such mailing. The Parties agree that a final judgment in any such action or proceeding shall be conclusive and may be enforced in other jurisdictions by suit on the judgment or in any other manner provided by applicable Law.</w:t>
      </w: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5" w:name="page126"/>
    <w:bookmarkEnd w:id="125"/>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8" w:lineRule="exact"/>
        <w:rPr>
          <w:sz w:val="20"/>
          <w:szCs w:val="20"/>
          <w:color w:val="auto"/>
        </w:rPr>
      </w:pPr>
    </w:p>
    <w:p>
      <w:pPr>
        <w:jc w:val="both"/>
        <w:ind w:firstLine="1305"/>
        <w:spacing w:after="0" w:line="253" w:lineRule="auto"/>
        <w:tabs>
          <w:tab w:leader="none" w:pos="2391"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PARTY (I) ACKNOWLEDGES AND AGREES THAT ANY ACTION THAT MAY ARISE UNDER OR RELATE TO THIS AGREEMENT OR THE TRANSACTIONS CONTEMPLATED HEREBY IS LIKELY TO INVOLVE COMPLICATED AND DIFFICULT ISSUES AND (II) HEREBY IRREVOCABLY AND UNCONDITIONALLY WAIVES, TO THE FULLEST EXTENT PERMITTED BY APPLICABLE LAW, ANY RIGHT IT MAY HAVE TO A TRIAL BY JURY IN RESPECT OF ANY ACTION ARISING OUT OF OR RELATING TO THIS AGREEMENT OR THE TRANSACTIONS CONTEMPLATED HEREBY. EACH PARTY (A) CERTIFIES AND ACKNOWLEDGES THAT NO REPRESENTATIVE OF THE OTHER PARTY HAS REPRESENTED, EXPRESSLY OR OTHERWISE, THAT SUCH OTHER PARTY WOULD NOT, IN THE EVENT OF ANY ACTION, SEEK TO ENFORCE THE FOREGOING WAIVER, (B) CERTIFIES AND ACKNOWLEDGES THAT IT AND THE OTHER PARTY HAVE BEEN INDUCED TO ENTER INTO THIS AGREEMENT BY, AMONG OTHER THINGS, THE MUTUAL WAIVERS AND CERTIFICATIONS IN THIS SECTION OF THIS AGREEMENT, (C) UNDERSTANDS AND HAS CONSIDERED THE IMPLICATIONS OF THIS WAIVER AND (D) MAKES THIS WAIVER VOLUNTARILY.</w:t>
      </w:r>
    </w:p>
    <w:p>
      <w:pPr>
        <w:spacing w:after="0" w:line="194" w:lineRule="exact"/>
        <w:rPr>
          <w:rFonts w:ascii="Arial" w:cs="Arial" w:eastAsia="Arial" w:hAnsi="Arial"/>
          <w:sz w:val="18"/>
          <w:szCs w:val="18"/>
          <w:color w:val="auto"/>
        </w:rPr>
      </w:pPr>
    </w:p>
    <w:p>
      <w:pPr>
        <w:jc w:val="both"/>
        <w:ind w:firstLine="1305"/>
        <w:spacing w:after="0" w:line="257" w:lineRule="auto"/>
        <w:tabs>
          <w:tab w:leader="none" w:pos="26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covenant of each Service Provider to provide the applicable Services is independent of each Service Recipient’s covenants under this Agreement, the Existing TSA or any other existing commercial agreement between the Parties (or any of their Subsidiaries) and ADMA, during any dispute or otherwise, shall continue to provide the Services to BPC so long as BPC is not in material and ongoing breach of its obligations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for which breach BPC, after becoming aware of or receiving notice of such breach, has not promptly commenced and continued commercially reasonable efforts to remedy.</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6" w:name="page127"/>
    <w:bookmarkEnd w:id="126"/>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notices, requests, claims, demands and other communications hereunder shall be in writing and shall be deemed to have been duly given (a) when received, if delivered personally, (b) upon confirmation of receipt, when transmitted by e-mail, (c) upon receipt, if sent by registered or certified mail (postage prepaid, return receipt requested) and (d) the day after it is sent, if sent for next-day delivery to a domestic address by overnight mail or courier, to the Parties at the following addresses: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BPC: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Biotest Pharmaceuticals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901 Yamato Road, Suite 101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Boca Raton, FL 33431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Ileana Carlisle, CEO; and Donna Quinn,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and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ADMA: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ADMA Biologics,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456 Route 17 South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Ramsey, NJ 07446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Adam Grossman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will not constitute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Short Hills, NJ 07078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David C. Schwartz,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ADMA shall maintain insurance to the extent reasonably necessary in relation to the Services to be provided under this Agreement.</w:t>
      </w:r>
    </w:p>
    <w:p>
      <w:pPr>
        <w:spacing w:after="0" w:line="2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No Conflicting Commitments.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ADMA represents to the other that, to its knowledge, (a) the Services to be performed by ADMA under this Agreement are not prohibited or limited by any other agreement, Law or any applicable order, writ, injunction or decree of any court or Governmental Authority to which ADMA is bound or subject and (b) there are no other agreements, options, commitments or rights of any person (other than BPC) to the Services set forth herein.</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7" w:name="page128"/>
    <w:bookmarkEnd w:id="127"/>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Agreement and the Purchase Agreement, along with the Service Schedule contain the entire agreement and understanding between the Parties hereto with respect to the subject matter hereof and supersede all prior negotiations, agreements and understandings, both written and oral, relating to such subject matter. Neither Party shall be liable or bound to any other Party in any manner by any representations, warranties or covenants relating to such subject matter except as specifically set forth herein, and in the Purchase Agreement.</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Waiver; Remedies</w:t>
      </w:r>
      <w:r>
        <w:rPr>
          <w:rFonts w:ascii="Arial" w:cs="Arial" w:eastAsia="Arial" w:hAnsi="Arial"/>
          <w:sz w:val="16"/>
          <w:szCs w:val="16"/>
          <w:color w:val="auto"/>
        </w:rPr>
        <w:t>.</w:t>
      </w:r>
    </w:p>
    <w:p>
      <w:pPr>
        <w:spacing w:after="0" w:line="229"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7"/>
          <w:szCs w:val="17"/>
          <w:color w:val="auto"/>
        </w:rPr>
        <w:t>BPC, on the one hand, or ADMA, on the other hand, may waive compliance by the other Party with any term or provision of this Agreement that such other Party was or is obligated to comply with or perform, provided that such waiver is delivered in writing in accordance with the notice provisions hereof. No failure or delay on the part of ADMA or BPC in exercising any right, power or privilege under this Agreement, unless so waived in writing, shall operate as a waiver, nor shall any waiver on the part of either ADMA or BPC of any right, power or privilege hereunder operate as a waiver of any other right, power or privilege hereunder. No single or partial exercise of any right, power or privilege hereunder shall preclude any other or further exercise of such right, power or privilege or the exercise of any other right, power or privilege under this Agreement. The Parties acknowledge and agree that, in view of the unique nature of the Services, upon a breach by a Party of any of its obligations in this Agreement, irreparable harm will occur, no adequate remedy at law will exist and damages would be difficult to determine. Accordingly, notwithstanding anything to the contrary in this Agreement, each Party agrees that in the event of breach or threatened breach by the other Party of any provisions of this Agreement, the non-breaching Party shall be entitled to equitable relief in the form of an order to specifically perform or an injunction to prevent irreparable injury, without being required to provide security or post bond. Nothing herein shall be construed as prohibiting any Party hereto from, pursuing solely or in addition any other remedies, including damages, for breach or threatened breach of this Agreement.</w:t>
      </w:r>
    </w:p>
    <w:p>
      <w:pPr>
        <w:spacing w:after="0" w:line="1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Amendment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may not be amended except by an instrument in writing signed by an authorized representative of each of the Parties hereto.</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No Third-Party Rights.</w:t>
      </w:r>
    </w:p>
    <w:p>
      <w:pPr>
        <w:spacing w:after="0" w:line="229" w:lineRule="exact"/>
        <w:rPr>
          <w:sz w:val="20"/>
          <w:szCs w:val="20"/>
          <w:color w:val="auto"/>
        </w:rPr>
      </w:pPr>
    </w:p>
    <w:p>
      <w:pPr>
        <w:ind w:left="80" w:right="80" w:firstLine="567"/>
        <w:spacing w:after="0" w:line="277"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no provision of this Agreement shall be deemed or construed in any way to result in the creation of any rights in or obligations of any Person not a Party to this Agreement.</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8" w:name="page129"/>
    <w:bookmarkEnd w:id="128"/>
    <w:p>
      <w:pPr>
        <w:jc w:val="both"/>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5"/>
          <w:szCs w:val="15"/>
          <w:b w:val="1"/>
          <w:bCs w:val="1"/>
          <w:color w:val="auto"/>
        </w:rPr>
        <w:t>Successors and Assigns</w:t>
      </w:r>
      <w:r>
        <w:rPr>
          <w:rFonts w:ascii="Arial" w:cs="Arial" w:eastAsia="Arial" w:hAnsi="Arial"/>
          <w:sz w:val="15"/>
          <w:szCs w:val="15"/>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This Agreement shall be binding upon and shall inure to the benefit of the Parties hereto and their respective successors and permitted assigns. This Agreement may not be assigned, transferred, licensed, sublicensed, delegated, pledged or otherwise disposed of by any Party hereto without the prior written consent of the other Party, which consent may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that no consent shall be required unless and until the proposed assignee shall have assumed in writing all obligations of its assignor under this Agreement and such assumption is delivered to the Party whose consent is being requested. Any purported assignment without a required consent shall be void.</w:t>
      </w:r>
    </w:p>
    <w:p>
      <w:pPr>
        <w:spacing w:after="0" w:line="16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5"/>
          <w:szCs w:val="15"/>
          <w:b w:val="1"/>
          <w:bCs w:val="1"/>
          <w:color w:val="auto"/>
        </w:rPr>
        <w:t>Fees and Expenses</w:t>
      </w:r>
      <w:r>
        <w:rPr>
          <w:rFonts w:ascii="Arial" w:cs="Arial" w:eastAsia="Arial" w:hAnsi="Arial"/>
          <w:sz w:val="15"/>
          <w:szCs w:val="15"/>
          <w:color w:val="auto"/>
        </w:rPr>
        <w:t>.</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Except as is otherwise specified herein, each Party shall bear its own fees and expenses incurred in connection with the performance of this Agreement and the transactions contemplated hereby.</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color w:val="auto"/>
        </w:rPr>
        <w:t>Further Assurances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Party shall execute and deliver such additional instruments and other documents and use all commercially reasonable efforts to take or cause to be taken, all actions and to do, or cause to be done, all things necessary under applicable law to consummate the transactions contemplated hereby.</w:t>
      </w:r>
    </w:p>
    <w:p>
      <w:pPr>
        <w:spacing w:after="0" w:line="1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6"/>
          <w:szCs w:val="16"/>
          <w:b w:val="1"/>
          <w:bCs w:val="1"/>
          <w:color w:val="auto"/>
        </w:rPr>
        <w:t>Interpretation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an ambiguity, or a question of intent or interpretation arises, under this Agreement, the Agreement shall be construed as if drafted jointly by both Parties, and there shall be no presumption or burden of proof favoring or disfavoring any individual Party by virtue of the authorship of any provisions of this Agreement.</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6"/>
          <w:szCs w:val="16"/>
          <w:b w:val="1"/>
          <w:bCs w:val="1"/>
          <w:color w:val="auto"/>
        </w:rPr>
        <w:t>No Joint Venture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Nothing contained herein shall be deemed to create any joint venture or partnership between the Parties hereto, and, except as is expressly set forth herein, neither Party shall have any right by virtue of this Agreement to bind the other Party in any manner whatsoever. In this regard, each Party shall act and shall be deemed and construed to act under this Agreement as an independent contractor and not as an agent of the other Party. No employee of either Party shall be considered an employee of the other Party in any form.</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29" w:name="page130"/>
    <w:bookmarkEnd w:id="129"/>
    <w:p>
      <w:pPr>
        <w:jc w:val="both"/>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6.16</w:t>
      </w:r>
      <w:r>
        <w:rPr>
          <w:sz w:val="20"/>
          <w:szCs w:val="20"/>
          <w:color w:val="auto"/>
        </w:rPr>
        <w:tab/>
      </w:r>
      <w:r>
        <w:rPr>
          <w:rFonts w:ascii="Arial" w:cs="Arial" w:eastAsia="Arial" w:hAnsi="Arial"/>
          <w:sz w:val="16"/>
          <w:szCs w:val="16"/>
          <w:b w:val="1"/>
          <w:bCs w:val="1"/>
          <w:color w:val="auto"/>
        </w:rPr>
        <w:t>Severability</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that any term, provision, covenant or restriction of this Agreement is held by a court of competent jurisdiction or other authority to be invalid, void, unenforceable or against its regulatory policy such determination shall not affect the enforceability of any others or of the remainder of the Agreement. Upon such determination that any term, provision, covenant or restriction of this Agreement is invalid, void, unenforceable or against regulatory policy, ADMA and BPC shall negotiate in good faith to modify this Agreement so as to effect the original intent of the Parties as closely as possible in a mutually acceptable manner in order that the transactions contemplated by this Agreement be consummated as originally contemplated to the fullest extent possible.</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6.17</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may be executed manually or by e-mail as a PDF attachment by the Parties, in any number of counterparts, each of which shall be deemed an original but all of which together shall constitute one and the same instrument.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6.18</w:t>
      </w:r>
      <w:r>
        <w:rPr>
          <w:sz w:val="20"/>
          <w:szCs w:val="20"/>
          <w:color w:val="auto"/>
        </w:rPr>
        <w:tab/>
      </w: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Party will be liable for failures or delays in its performance hereunder actually caused by fire, flood, storm, acts of God, strike, lockout or other labor trouble, any law or ordinance, regulatory order or proclamation, or other requirement of any governmental authority, riot, war, acts of terrorism, accident or other causes beyond such Party’s reasonable control. In such event, the Party whose performance is affected thereby shall give written notice of its suspension of performance and the specific cause as soon as reasonably practicable after occurrence of the cause and shall resume performance as soon as reasonably practicable following removal of the cause.</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6.19</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Agreement (including any Action or controversy arising out of or relating to this Agreement) shall be governed by the Law of the State of Delaware without regard to conflict of law principles that would result in the application of any Law other than the Laws of the State of Delaware.</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6.20</w:t>
      </w:r>
      <w:r>
        <w:rPr>
          <w:sz w:val="20"/>
          <w:szCs w:val="20"/>
          <w:color w:val="auto"/>
        </w:rPr>
        <w:tab/>
      </w:r>
      <w:r>
        <w:rPr>
          <w:rFonts w:ascii="Arial" w:cs="Arial" w:eastAsia="Arial" w:hAnsi="Arial"/>
          <w:sz w:val="16"/>
          <w:szCs w:val="16"/>
          <w:b w:val="1"/>
          <w:bCs w:val="1"/>
          <w:color w:val="auto"/>
        </w:rPr>
        <w:t>No Personal Liability.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(and each agreement, certificate and instrument delivered pursuant hereto) shall not create or be deemed to create or permit any personal liability or obligation on the part of any officer, director, employee, agent, representative or investor of either Party.</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30" w:name="page131"/>
    <w:bookmarkEnd w:id="130"/>
    <w:p>
      <w:pPr>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6.21</w:t>
      </w:r>
      <w:r>
        <w:rPr>
          <w:sz w:val="20"/>
          <w:szCs w:val="20"/>
          <w:color w:val="auto"/>
        </w:rPr>
        <w:tab/>
      </w:r>
      <w:r>
        <w:rPr>
          <w:rFonts w:ascii="Arial" w:cs="Arial" w:eastAsia="Arial" w:hAnsi="Arial"/>
          <w:sz w:val="16"/>
          <w:szCs w:val="16"/>
          <w:b w:val="1"/>
          <w:bCs w:val="1"/>
          <w:color w:val="auto"/>
        </w:rPr>
        <w:t>Further Assurances</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Each Party shall execute and deliver such additional instruments and other documents and use all commercially reasonable efforts to take or cause to be taken, all actions and to do, or cause to be done, all things necessary under applicable Law to consummate the transactions contemplated hereby.</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6.22</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Individuals employed by ADMA or its Affiliates who provide Services pursuant to this Agreement shall in no respect be considered employees of BPC. ADMA or one of its Affiliates shall act as the sole employer of the individuals it employs and shall not delegate any employment functions to BPC.</w:t>
      </w:r>
    </w:p>
    <w:p>
      <w:pPr>
        <w:spacing w:after="0" w:line="12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6.23</w:t>
      </w:r>
      <w:r>
        <w:rPr>
          <w:sz w:val="20"/>
          <w:szCs w:val="20"/>
          <w:color w:val="auto"/>
        </w:rPr>
        <w:tab/>
      </w:r>
      <w:r>
        <w:rPr>
          <w:rFonts w:ascii="Arial" w:cs="Arial" w:eastAsia="Arial" w:hAnsi="Arial"/>
          <w:sz w:val="15"/>
          <w:szCs w:val="15"/>
          <w:b w:val="1"/>
          <w:bCs w:val="1"/>
          <w:color w:val="auto"/>
        </w:rPr>
        <w:t>Articles and Sections.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headings of the Articles, Sections and subsections of this Agreement are inserted for convenience only and shall not be deemed to constitute a part of or to in any way affect the meaning or interpretation of this Agreement.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6.24</w:t>
      </w:r>
      <w:r>
        <w:rPr>
          <w:sz w:val="20"/>
          <w:szCs w:val="20"/>
          <w:color w:val="auto"/>
        </w:rPr>
        <w:tab/>
      </w:r>
      <w:r>
        <w:rPr>
          <w:rFonts w:ascii="Arial" w:cs="Arial" w:eastAsia="Arial" w:hAnsi="Arial"/>
          <w:sz w:val="15"/>
          <w:szCs w:val="15"/>
          <w:b w:val="1"/>
          <w:bCs w:val="1"/>
          <w:color w:val="auto"/>
        </w:rPr>
        <w:t>Purchase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specifically agreed herein, nothing in this Agreement is intended, or shall be construed, to amend, modify, limit, augment or decrease in any respect, or constitute a waiver of, any of the rights, remedies or obligations of the Parties under the Purchase Agreement.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Remainder of page intentionally left blank</w:t>
      </w:r>
      <w:r>
        <w:rPr>
          <w:rFonts w:ascii="Arial" w:cs="Arial" w:eastAsia="Arial" w:hAnsi="Arial"/>
          <w:sz w:val="18"/>
          <w:szCs w:val="18"/>
          <w:b w:val="1"/>
          <w:bCs w:val="1"/>
          <w:color w:val="auto"/>
        </w:rPr>
        <w: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31" w:name="page132"/>
    <w:bookmarkEnd w:id="131"/>
    <w:p>
      <w:pPr>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WITNESS WHEREOF, the Parties have executed this Transition Services Agreement as of the date first above written.</w:t>
      </w:r>
    </w:p>
    <w:p>
      <w:pPr>
        <w:spacing w:after="0" w:line="221"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Adam Grossman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 Adam Grossman</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22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ADMA BIO CENTERS GEROGIA INC.</w:t>
      </w:r>
    </w:p>
    <w:p>
      <w:pPr>
        <w:spacing w:after="0" w:line="22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Adam Grossman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 Adam Grossman</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22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BIOTEST PHARMACEUTICALS CORPORATION</w:t>
      </w:r>
    </w:p>
    <w:p>
      <w:pPr>
        <w:spacing w:after="0" w:line="22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Ileana Carlisle</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 Ileana Carlisle</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 CEO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32" w:name="page133"/>
    <w:bookmarkEnd w:id="132"/>
    <w:p>
      <w:pPr>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SERVICE SCHEDULE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33" w:name="page134"/>
    <w:bookmarkEnd w:id="133"/>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Transition Services Fee Schedule</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BPC will reimburse ADMA for all required and documented payments thereunder, to the extent such payments relate to the Acquired Assets.</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Specifically, BPC agrees to further reimburse ADMA for services provided by ADMA on a monthly basis at the following rates:</w:t>
      </w:r>
    </w:p>
    <w:p>
      <w:pPr>
        <w:spacing w:after="0" w:line="205" w:lineRule="exact"/>
        <w:rPr>
          <w:sz w:val="20"/>
          <w:szCs w:val="20"/>
          <w:color w:val="auto"/>
        </w:rPr>
      </w:pPr>
    </w:p>
    <w:tbl>
      <w:tblPr>
        <w:tblLayout w:type="fixed"/>
        <w:tblInd w:w="590" w:type="dxa"/>
        <w:tblCellMar>
          <w:top w:w="0" w:type="dxa"/>
          <w:left w:w="0" w:type="dxa"/>
          <w:bottom w:w="0" w:type="dxa"/>
          <w:right w:w="0" w:type="dxa"/>
        </w:tblCellMar>
      </w:tblPr>
      <w:tr>
        <w:trPr>
          <w:trHeight w:val="270"/>
        </w:trPr>
        <w:tc>
          <w:tcPr>
            <w:tcW w:w="63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Staff</w:t>
            </w:r>
          </w:p>
        </w:tc>
        <w:tc>
          <w:tcPr>
            <w:tcW w:w="39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Billing Rate (Hourly)</w:t>
            </w:r>
          </w:p>
        </w:tc>
      </w:tr>
      <w:tr>
        <w:trPr>
          <w:trHeight w:val="41"/>
        </w:trPr>
        <w:tc>
          <w:tcPr>
            <w:tcW w:w="6380" w:type="dxa"/>
            <w:vAlign w:val="bottom"/>
            <w:tcBorders>
              <w:left w:val="single" w:sz="8" w:color="auto"/>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r>
      <w:tr>
        <w:trPr>
          <w:trHeight w:val="296"/>
        </w:trPr>
        <w:tc>
          <w:tcPr>
            <w:tcW w:w="63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Senior Management (i.e., CEO, CFO, CSO)</w:t>
            </w:r>
          </w:p>
        </w:tc>
        <w:tc>
          <w:tcPr>
            <w:tcW w:w="39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50"/>
        </w:trPr>
        <w:tc>
          <w:tcPr>
            <w:tcW w:w="63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VP Average</w:t>
            </w:r>
          </w:p>
        </w:tc>
        <w:tc>
          <w:tcPr>
            <w:tcW w:w="39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41"/>
        </w:trPr>
        <w:tc>
          <w:tcPr>
            <w:tcW w:w="6380" w:type="dxa"/>
            <w:vAlign w:val="bottom"/>
            <w:tcBorders>
              <w:left w:val="single" w:sz="8" w:color="auto"/>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r>
      <w:tr>
        <w:trPr>
          <w:trHeight w:val="296"/>
        </w:trPr>
        <w:tc>
          <w:tcPr>
            <w:tcW w:w="63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Senior Director Average</w:t>
            </w:r>
          </w:p>
        </w:tc>
        <w:tc>
          <w:tcPr>
            <w:tcW w:w="39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50"/>
        </w:trPr>
        <w:tc>
          <w:tcPr>
            <w:tcW w:w="63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 Average</w:t>
            </w:r>
          </w:p>
        </w:tc>
        <w:tc>
          <w:tcPr>
            <w:tcW w:w="39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41"/>
        </w:trPr>
        <w:tc>
          <w:tcPr>
            <w:tcW w:w="6380" w:type="dxa"/>
            <w:vAlign w:val="bottom"/>
            <w:tcBorders>
              <w:left w:val="single" w:sz="8" w:color="auto"/>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r>
      <w:tr>
        <w:trPr>
          <w:trHeight w:val="296"/>
        </w:trPr>
        <w:tc>
          <w:tcPr>
            <w:tcW w:w="63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Senior Manager Average</w:t>
            </w:r>
          </w:p>
        </w:tc>
        <w:tc>
          <w:tcPr>
            <w:tcW w:w="39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50"/>
        </w:trPr>
        <w:tc>
          <w:tcPr>
            <w:tcW w:w="63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Manager Average</w:t>
            </w:r>
          </w:p>
        </w:tc>
        <w:tc>
          <w:tcPr>
            <w:tcW w:w="39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41"/>
        </w:trPr>
        <w:tc>
          <w:tcPr>
            <w:tcW w:w="6380" w:type="dxa"/>
            <w:vAlign w:val="bottom"/>
            <w:tcBorders>
              <w:left w:val="single" w:sz="8" w:color="auto"/>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r>
      <w:tr>
        <w:trPr>
          <w:trHeight w:val="296"/>
        </w:trPr>
        <w:tc>
          <w:tcPr>
            <w:tcW w:w="63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Full Time Exempt Average</w:t>
            </w:r>
          </w:p>
        </w:tc>
        <w:tc>
          <w:tcPr>
            <w:tcW w:w="390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50"/>
        </w:trPr>
        <w:tc>
          <w:tcPr>
            <w:tcW w:w="63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Full Time Non-Exempt Average</w:t>
            </w:r>
          </w:p>
        </w:tc>
        <w:tc>
          <w:tcPr>
            <w:tcW w:w="39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41"/>
        </w:trPr>
        <w:tc>
          <w:tcPr>
            <w:tcW w:w="6380" w:type="dxa"/>
            <w:vAlign w:val="bottom"/>
            <w:tcBorders>
              <w:left w:val="single" w:sz="8" w:color="auto"/>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If ADMA uses a Third Party Service Provider to provide any of the Services described in the Service Schedule, the amount payable by BPC in respect of the Services received by BPC shall be identical to the rate that ADMA is charged by such Third Party Service Provider for such Services.</w:t>
      </w:r>
    </w:p>
    <w:p>
      <w:pPr>
        <w:sectPr>
          <w:pgSz w:w="11900" w:h="16838" w:orient="portrait"/>
          <w:cols w:equalWidth="0" w:num="1">
            <w:col w:w="11420"/>
          </w:cols>
          <w:pgMar w:left="240" w:top="233"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6960" w:type="dxa"/>
            <w:vAlign w:val="bottom"/>
            <w:gridSpan w:val="5"/>
          </w:tcPr>
          <w:p>
            <w:pPr>
              <w:jc w:val="center"/>
              <w:ind w:right="4440"/>
              <w:spacing w:after="0"/>
              <w:rPr>
                <w:sz w:val="20"/>
                <w:szCs w:val="20"/>
                <w:color w:val="auto"/>
              </w:rPr>
            </w:pPr>
            <w:r>
              <w:rPr>
                <w:rFonts w:ascii="Arial" w:cs="Arial" w:eastAsia="Arial" w:hAnsi="Arial"/>
                <w:sz w:val="18"/>
                <w:szCs w:val="18"/>
                <w:b w:val="1"/>
                <w:bCs w:val="1"/>
                <w:color w:val="auto"/>
                <w:w w:val="93"/>
              </w:rPr>
              <w:t>ADMA Bio Centers Georgia Inc.</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1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ind w:left="1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Name under which business conducted:</w:t>
            </w:r>
          </w:p>
        </w:tc>
        <w:tc>
          <w:tcPr>
            <w:tcW w:w="120" w:type="dxa"/>
            <w:vAlign w:val="bottom"/>
          </w:tcPr>
          <w:p>
            <w:pPr>
              <w:spacing w:after="0"/>
              <w:rPr>
                <w:sz w:val="20"/>
                <w:szCs w:val="20"/>
                <w:color w:val="auto"/>
              </w:rPr>
            </w:pPr>
          </w:p>
        </w:tc>
        <w:tc>
          <w:tcPr>
            <w:tcW w:w="6840" w:type="dxa"/>
            <w:vAlign w:val="bottom"/>
            <w:gridSpan w:val="4"/>
          </w:tcPr>
          <w:p>
            <w:pPr>
              <w:ind w:left="1240"/>
              <w:spacing w:after="0"/>
              <w:rPr>
                <w:sz w:val="20"/>
                <w:szCs w:val="20"/>
                <w:color w:val="auto"/>
              </w:rPr>
            </w:pPr>
            <w:r>
              <w:rPr>
                <w:rFonts w:ascii="Arial" w:cs="Arial" w:eastAsia="Arial" w:hAnsi="Arial"/>
                <w:sz w:val="18"/>
                <w:szCs w:val="18"/>
                <w:color w:val="auto"/>
              </w:rPr>
              <w:t>ADMA Bio Centers Georgia Inc.</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gridSpan w:val="4"/>
          </w:tcPr>
          <w:p>
            <w:pPr>
              <w:jc w:val="center"/>
              <w:ind w:right="4560"/>
              <w:spacing w:after="0"/>
              <w:rPr>
                <w:sz w:val="20"/>
                <w:szCs w:val="20"/>
                <w:color w:val="auto"/>
              </w:rPr>
            </w:pPr>
            <w:r>
              <w:rPr>
                <w:rFonts w:ascii="Arial" w:cs="Arial" w:eastAsia="Arial" w:hAnsi="Arial"/>
                <w:sz w:val="18"/>
                <w:szCs w:val="18"/>
                <w:b w:val="1"/>
                <w:bCs w:val="1"/>
                <w:color w:val="auto"/>
                <w:w w:val="91"/>
              </w:rPr>
              <w:t>ADMA Plasma Biologics, Inc.</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1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ind w:left="1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Name under which business conducted:</w:t>
            </w:r>
          </w:p>
        </w:tc>
        <w:tc>
          <w:tcPr>
            <w:tcW w:w="120" w:type="dxa"/>
            <w:vAlign w:val="bottom"/>
          </w:tcPr>
          <w:p>
            <w:pPr>
              <w:spacing w:after="0"/>
              <w:rPr>
                <w:sz w:val="20"/>
                <w:szCs w:val="20"/>
                <w:color w:val="auto"/>
              </w:rPr>
            </w:pPr>
          </w:p>
        </w:tc>
        <w:tc>
          <w:tcPr>
            <w:tcW w:w="6840" w:type="dxa"/>
            <w:vAlign w:val="bottom"/>
            <w:gridSpan w:val="4"/>
          </w:tcPr>
          <w:p>
            <w:pPr>
              <w:ind w:left="1240"/>
              <w:spacing w:after="0"/>
              <w:rPr>
                <w:sz w:val="20"/>
                <w:szCs w:val="20"/>
                <w:color w:val="auto"/>
              </w:rPr>
            </w:pPr>
            <w:r>
              <w:rPr>
                <w:rFonts w:ascii="Arial" w:cs="Arial" w:eastAsia="Arial" w:hAnsi="Arial"/>
                <w:sz w:val="18"/>
                <w:szCs w:val="18"/>
                <w:color w:val="auto"/>
              </w:rPr>
              <w:t>ADMA Plasma Biologics, Inc.</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960" w:type="dxa"/>
            <w:vAlign w:val="bottom"/>
            <w:gridSpan w:val="5"/>
          </w:tcPr>
          <w:p>
            <w:pPr>
              <w:jc w:val="center"/>
              <w:ind w:right="4460"/>
              <w:spacing w:after="0"/>
              <w:rPr>
                <w:sz w:val="20"/>
                <w:szCs w:val="20"/>
                <w:color w:val="auto"/>
              </w:rPr>
            </w:pPr>
            <w:r>
              <w:rPr>
                <w:rFonts w:ascii="Arial" w:cs="Arial" w:eastAsia="Arial" w:hAnsi="Arial"/>
                <w:sz w:val="18"/>
                <w:szCs w:val="18"/>
                <w:b w:val="1"/>
                <w:bCs w:val="1"/>
                <w:color w:val="auto"/>
                <w:w w:val="97"/>
              </w:rPr>
              <w:t>ADMA BioManufacturing, LLC</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1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ind w:left="12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Name under which business conducted:</w:t>
            </w:r>
          </w:p>
        </w:tc>
        <w:tc>
          <w:tcPr>
            <w:tcW w:w="120" w:type="dxa"/>
            <w:vAlign w:val="bottom"/>
          </w:tcPr>
          <w:p>
            <w:pPr>
              <w:spacing w:after="0"/>
              <w:rPr>
                <w:sz w:val="20"/>
                <w:szCs w:val="20"/>
                <w:color w:val="auto"/>
              </w:rPr>
            </w:pPr>
          </w:p>
        </w:tc>
        <w:tc>
          <w:tcPr>
            <w:tcW w:w="6840" w:type="dxa"/>
            <w:vAlign w:val="bottom"/>
            <w:gridSpan w:val="4"/>
          </w:tcPr>
          <w:p>
            <w:pPr>
              <w:ind w:left="1240"/>
              <w:spacing w:after="0"/>
              <w:rPr>
                <w:sz w:val="20"/>
                <w:szCs w:val="20"/>
                <w:color w:val="auto"/>
              </w:rPr>
            </w:pPr>
            <w:r>
              <w:rPr>
                <w:rFonts w:ascii="Arial" w:cs="Arial" w:eastAsia="Arial" w:hAnsi="Arial"/>
                <w:sz w:val="18"/>
                <w:szCs w:val="18"/>
                <w:color w:val="auto"/>
              </w:rPr>
              <w:t>ADMA BioManufacturing, LLC</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35" w:name="page136"/>
    <w:bookmarkEnd w:id="135"/>
    <w:p>
      <w:pPr>
        <w:ind w:left="10540"/>
        <w:spacing w:after="0"/>
        <w:rPr>
          <w:sz w:val="20"/>
          <w:szCs w:val="20"/>
          <w:color w:val="auto"/>
        </w:rPr>
      </w:pPr>
      <w:r>
        <w:rPr>
          <w:rFonts w:ascii="Arial" w:cs="Arial" w:eastAsia="Arial" w:hAnsi="Arial"/>
          <w:sz w:val="16"/>
          <w:szCs w:val="16"/>
          <w:color w:val="auto"/>
        </w:rPr>
        <w:t>Exhibit 23.1</w:t>
      </w:r>
    </w:p>
    <w:p>
      <w:pPr>
        <w:spacing w:after="0" w:line="24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S-8 (File Nos. 333-229921, 333-224492, 333-220058, 333-204590, and 333-193635) and Form S-3 (File Nos. 333-225048 and 333-218802) of our report, which includes an explanatory paragraph relating to the Company’s ability to continue as a going concern, dated March 13, 2019 with respect to the consolidated financial statements of ADMA Biologics, Inc. and subsidiaries as of December 31, 2018 and 2017 and for the years then ended and our report dated March 13, 2019 with respect to the effectiveness of internal control over financial reporting of ADMA Biologics, Inc. and subsidiaries as of December 31, 2018, included in this Annual Report on Form 10-K of ADMA Biologics, Inc. for the year ended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ectPr>
          <w:pgSz w:w="11900" w:h="16838" w:orient="portrait"/>
          <w:cols w:equalWidth="0" w:num="1">
            <w:col w:w="11420"/>
          </w:cols>
          <w:pgMar w:left="240" w:top="36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500" w:hanging="330"/>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2018;</w:t>
      </w:r>
    </w:p>
    <w:p>
      <w:pPr>
        <w:spacing w:after="0" w:line="252" w:lineRule="exact"/>
        <w:rPr>
          <w:rFonts w:ascii="Arial" w:cs="Arial" w:eastAsia="Arial" w:hAnsi="Arial"/>
          <w:sz w:val="18"/>
          <w:szCs w:val="18"/>
          <w:color w:val="auto"/>
        </w:rPr>
      </w:pPr>
    </w:p>
    <w:p>
      <w:pPr>
        <w:jc w:val="both"/>
        <w:ind w:left="500" w:right="460" w:hanging="330"/>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330"/>
        <w:spacing w:after="0" w:line="308" w:lineRule="auto"/>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330"/>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60" w:hanging="322"/>
        <w:spacing w:after="0" w:line="264"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140" w:right="540" w:hanging="322"/>
        <w:spacing w:after="0" w:line="342" w:lineRule="auto"/>
        <w:tabs>
          <w:tab w:leader="none" w:pos="11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60" w:hanging="322"/>
        <w:spacing w:after="0" w:line="264"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330"/>
        <w:spacing w:after="0" w:line="308" w:lineRule="auto"/>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right="800" w:hanging="322"/>
        <w:spacing w:after="0" w:line="342" w:lineRule="auto"/>
        <w:tabs>
          <w:tab w:leader="none" w:pos="11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480" w:hanging="322"/>
        <w:spacing w:after="0" w:line="277"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March 13, 2019</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692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Name: Adam S. Grossman</w:t>
            </w:r>
          </w:p>
        </w:tc>
      </w:tr>
      <w:tr>
        <w:trPr>
          <w:trHeight w:val="216"/>
        </w:trPr>
        <w:tc>
          <w:tcPr>
            <w:tcW w:w="6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6920" w:type="dxa"/>
            <w:vAlign w:val="bottom"/>
          </w:tcPr>
          <w:p>
            <w:pPr>
              <w:spacing w:after="0"/>
              <w:rPr>
                <w:sz w:val="20"/>
                <w:szCs w:val="20"/>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500" w:hanging="330"/>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2018;</w:t>
      </w:r>
    </w:p>
    <w:p>
      <w:pPr>
        <w:spacing w:after="0" w:line="252" w:lineRule="exact"/>
        <w:rPr>
          <w:rFonts w:ascii="Arial" w:cs="Arial" w:eastAsia="Arial" w:hAnsi="Arial"/>
          <w:sz w:val="18"/>
          <w:szCs w:val="18"/>
          <w:color w:val="auto"/>
        </w:rPr>
      </w:pPr>
    </w:p>
    <w:p>
      <w:pPr>
        <w:jc w:val="both"/>
        <w:ind w:left="500" w:right="460" w:hanging="330"/>
        <w:spacing w:after="0" w:line="26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330"/>
        <w:spacing w:after="0" w:line="30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330"/>
        <w:spacing w:after="0" w:line="26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60" w:hanging="322"/>
        <w:spacing w:after="0" w:line="264"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22"/>
        <w:spacing w:after="0" w:line="342" w:lineRule="auto"/>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22"/>
        <w:spacing w:after="0" w:line="264"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330"/>
        <w:spacing w:after="0" w:line="30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right="800" w:hanging="322"/>
        <w:spacing w:after="0" w:line="342" w:lineRule="auto"/>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480" w:hanging="322"/>
        <w:spacing w:after="0" w:line="277"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March 13, 2019</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692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Name: Brian Lenz</w:t>
            </w:r>
          </w:p>
        </w:tc>
      </w:tr>
      <w:tr>
        <w:trPr>
          <w:trHeight w:val="216"/>
        </w:trPr>
        <w:tc>
          <w:tcPr>
            <w:tcW w:w="6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6"/>
              </w:rPr>
              <w:t>Title:  Executive Vice President and Chief Financial Officer</w:t>
            </w:r>
          </w:p>
        </w:tc>
      </w:tr>
      <w:tr>
        <w:trPr>
          <w:trHeight w:val="230"/>
        </w:trPr>
        <w:tc>
          <w:tcPr>
            <w:tcW w:w="6920" w:type="dxa"/>
            <w:vAlign w:val="bottom"/>
          </w:tcPr>
          <w:p>
            <w:pPr>
              <w:spacing w:after="0"/>
              <w:rPr>
                <w:sz w:val="20"/>
                <w:szCs w:val="20"/>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68"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annual report of ADMA Biologics, Inc., a Delaware corporation (the “Company”), on Form 10-K for the year ended December 31, 2018, as filed with the Securities and Exchange Commission on the date hereof (the “Report”), I, Adam S. Grossman, President and Chief Executive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March 13, 2019</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692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Name: Adam S. Grossman</w:t>
            </w:r>
          </w:p>
        </w:tc>
      </w:tr>
      <w:tr>
        <w:trPr>
          <w:trHeight w:val="216"/>
        </w:trPr>
        <w:tc>
          <w:tcPr>
            <w:tcW w:w="6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6920" w:type="dxa"/>
            <w:vAlign w:val="bottom"/>
          </w:tcPr>
          <w:p>
            <w:pPr>
              <w:spacing w:after="0"/>
              <w:rPr>
                <w:sz w:val="20"/>
                <w:szCs w:val="20"/>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8"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connection with the annual report of ADMA Biologics, Inc., a Delaware corporation (the “Company”), on Form 10-K for the year ended December 31, 2018, as filed with the Securities and Exchange Commission on the date hereof (the “Report”), I, Brian Lenz, Chief Financial Officer of the Company, hereby certify, pursuant to 18 U.S.C. Section 1350, as adopted pursuant to Section 906 of the Sarbanes-Oxley Act of 2002, that, to my knowledge:</w:t>
      </w:r>
    </w:p>
    <w:p>
      <w:pPr>
        <w:spacing w:after="0" w:line="147"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March 13, 2019</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692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Name: Brian Lenz</w:t>
            </w:r>
          </w:p>
        </w:tc>
      </w:tr>
      <w:tr>
        <w:trPr>
          <w:trHeight w:val="216"/>
        </w:trPr>
        <w:tc>
          <w:tcPr>
            <w:tcW w:w="69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6"/>
              </w:rPr>
              <w:t>Title:  Executive Vice President and Chief Financial Officer</w:t>
            </w:r>
          </w:p>
        </w:tc>
      </w:tr>
      <w:tr>
        <w:trPr>
          <w:trHeight w:val="230"/>
        </w:trPr>
        <w:tc>
          <w:tcPr>
            <w:tcW w:w="6920" w:type="dxa"/>
            <w:vAlign w:val="bottom"/>
          </w:tcPr>
          <w:p>
            <w:pPr>
              <w:spacing w:after="0"/>
              <w:rPr>
                <w:sz w:val="20"/>
                <w:szCs w:val="20"/>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lowerRoman"/>
      <w:start w:val="2"/>
    </w:lvl>
  </w:abstractNum>
  <w:abstractNum w:abstractNumId="23">
    <w:nsid w:val="57E4CCAF"/>
    <w:multiLevelType w:val="hybridMultilevel"/>
    <w:lvl w:ilvl="0">
      <w:lvlJc w:val="left"/>
      <w:lvlText w:val="(%1)"/>
      <w:numFmt w:val="lowerRoman"/>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2"/>
    </w:lvl>
  </w:abstractNum>
  <w:abstractNum w:abstractNumId="26">
    <w:nsid w:val="542289EC"/>
    <w:multiLevelType w:val="hybridMultilevel"/>
    <w:lvl w:ilvl="0">
      <w:lvlJc w:val="left"/>
      <w:lvlText w:val="%1."/>
      <w:numFmt w:val="decimal"/>
      <w:start w:val="3"/>
    </w:lvl>
  </w:abstractNum>
  <w:abstractNum w:abstractNumId="27">
    <w:nsid w:val="6DE91B18"/>
    <w:multiLevelType w:val="hybridMultilevel"/>
    <w:lvl w:ilvl="0">
      <w:lvlJc w:val="left"/>
      <w:lvlText w:val="%1."/>
      <w:numFmt w:val="decimal"/>
      <w:start w:val="4"/>
    </w:lvl>
  </w:abstractNum>
  <w:abstractNum w:abstractNumId="28">
    <w:nsid w:val="38437FDB"/>
    <w:multiLevelType w:val="hybridMultilevel"/>
    <w:lvl w:ilvl="0">
      <w:lvlJc w:val="left"/>
      <w:lvlText w:val="\emdash "/>
      <w:numFmt w:val="bullet"/>
      <w:start w:val="1"/>
    </w:lvl>
  </w:abstractNum>
  <w:abstractNum w:abstractNumId="29">
    <w:nsid w:val="7644A45C"/>
    <w:multiLevelType w:val="hybridMultilevel"/>
    <w:lvl w:ilvl="0">
      <w:lvlJc w:val="left"/>
      <w:lvlText w:val="%1."/>
      <w:numFmt w:val="decimal"/>
      <w:start w:val="6"/>
    </w:lvl>
  </w:abstractNum>
  <w:abstractNum w:abstractNumId="30">
    <w:nsid w:val="32FFF902"/>
    <w:multiLevelType w:val="hybridMultilevel"/>
    <w:lvl w:ilvl="0">
      <w:lvlJc w:val="left"/>
      <w:lvlText w:val="%1."/>
      <w:numFmt w:val="decimal"/>
      <w:start w:val="8"/>
    </w:lvl>
  </w:abstractNum>
  <w:abstractNum w:abstractNumId="31">
    <w:nsid w:val="684A481A"/>
    <w:multiLevelType w:val="hybridMultilevel"/>
    <w:lvl w:ilvl="0">
      <w:lvlJc w:val="left"/>
      <w:lvlText w:val="%1."/>
      <w:numFmt w:val="decimal"/>
      <w:start w:val="9"/>
    </w:lvl>
  </w:abstractNum>
  <w:abstractNum w:abstractNumId="32">
    <w:nsid w:val="579478FE"/>
    <w:multiLevelType w:val="hybridMultilevel"/>
    <w:lvl w:ilvl="0">
      <w:lvlJc w:val="left"/>
      <w:lvlText w:val="%1."/>
      <w:numFmt w:val="decimal"/>
      <w:start w:val="10"/>
    </w:lvl>
  </w:abstractNum>
  <w:abstractNum w:abstractNumId="33">
    <w:nsid w:val="749ABB43"/>
    <w:multiLevelType w:val="hybridMultilevel"/>
    <w:lvl w:ilvl="0">
      <w:lvlJc w:val="left"/>
      <w:lvlText w:val="%1."/>
      <w:numFmt w:val="decimal"/>
      <w:start w:val="2"/>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2"/>
    </w:lvl>
  </w:abstractNum>
  <w:abstractNum w:abstractNumId="36">
    <w:nsid w:val="79A1DEAA"/>
    <w:multiLevelType w:val="hybridMultilevel"/>
    <w:lvl w:ilvl="0">
      <w:lvlJc w:val="left"/>
      <w:lvlText w:val="%1."/>
      <w:numFmt w:val="decimal"/>
      <w:start w:val="13"/>
    </w:lvl>
  </w:abstractNum>
  <w:abstractNum w:abstractNumId="37">
    <w:nsid w:val="75C6C33A"/>
    <w:multiLevelType w:val="hybridMultilevel"/>
    <w:lvl w:ilvl="0">
      <w:lvlJc w:val="left"/>
      <w:lvlText w:val="%1."/>
      <w:numFmt w:val="decimal"/>
      <w:start w:val="14"/>
    </w:lvl>
  </w:abstractNum>
  <w:abstractNum w:abstractNumId="38">
    <w:nsid w:val="12E685FB"/>
    <w:multiLevelType w:val="hybridMultilevel"/>
    <w:lvl w:ilvl="0">
      <w:lvlJc w:val="left"/>
      <w:lvlText w:val="%1."/>
      <w:numFmt w:val="decimal"/>
      <w:start w:val="16"/>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7"/>
    </w:lvl>
  </w:abstractNum>
  <w:abstractNum w:abstractNumId="41">
    <w:nsid w:val="374A3FE6"/>
    <w:multiLevelType w:val="hybridMultilevel"/>
    <w:lvl w:ilvl="0">
      <w:lvlJc w:val="left"/>
      <w:lvlText w:val="(%1)"/>
      <w:numFmt w:val="lowerRoman"/>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Roman"/>
      <w:start w:val="1"/>
    </w:lvl>
    <w:lvl w:ilvl="1">
      <w:lvlJc w:val="left"/>
      <w:lvlText w:val="%2)"/>
      <w:numFmt w:val="lowerLetter"/>
      <w:start w:val="6"/>
    </w:lvl>
  </w:abstractNum>
  <w:abstractNum w:abstractNumId="46">
    <w:nsid w:val="39386575"/>
    <w:multiLevelType w:val="hybridMultilevel"/>
    <w:lvl w:ilvl="0">
      <w:lvlJc w:val="left"/>
      <w:lvlText w:val="(%1)"/>
      <w:numFmt w:val="lowerRoman"/>
      <w:start w:val="1"/>
    </w:lvl>
    <w:lvl w:ilvl="1">
      <w:lvlJc w:val="left"/>
      <w:lvlText w:val="%2)"/>
      <w:numFmt w:val="lowerLetter"/>
      <w:start w:val="8"/>
    </w:lvl>
  </w:abstractNum>
  <w:abstractNum w:abstractNumId="47">
    <w:nsid w:val="1CF10FD8"/>
    <w:multiLevelType w:val="hybridMultilevel"/>
    <w:lvl w:ilvl="0">
      <w:lvlJc w:val="left"/>
      <w:lvlText w:val="%1)"/>
      <w:numFmt w:val="lowerLetter"/>
      <w:start w:val="10"/>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lowerLetter"/>
      <w:start w:val="6"/>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decimal"/>
      <w:start w:val="1"/>
    </w:lvl>
    <w:lvl w:ilvl="1">
      <w:lvlJc w:val="left"/>
      <w:lvlText w:val="%2)"/>
      <w:numFmt w:val="lowerLetter"/>
      <w:start w:val="2"/>
    </w:lvl>
  </w:abstractNum>
  <w:abstractNum w:abstractNumId="53">
    <w:nsid w:val="741226BB"/>
    <w:multiLevelType w:val="hybridMultilevel"/>
    <w:lvl w:ilvl="0">
      <w:lvlJc w:val="left"/>
      <w:lvlText w:val="(%1)"/>
      <w:numFmt w:val="decimal"/>
      <w:start w:val="1"/>
    </w:lvl>
    <w:lvl w:ilvl="1">
      <w:lvlJc w:val="left"/>
      <w:lvlText w:val="%2)"/>
      <w:numFmt w:val="lowerLetter"/>
      <w:start w:val="3"/>
    </w:lvl>
  </w:abstractNum>
  <w:abstractNum w:abstractNumId="54">
    <w:nsid w:val="D34B6A8"/>
    <w:multiLevelType w:val="hybridMultilevel"/>
    <w:lvl w:ilvl="0">
      <w:lvlJc w:val="left"/>
      <w:lvlText w:val="%1"/>
      <w:numFmt w:val="lowerRoman"/>
      <w:start w:val="1"/>
    </w:lvl>
    <w:lvl w:ilvl="1">
      <w:lvlJc w:val="left"/>
      <w:lvlText w:val="%2)"/>
      <w:numFmt w:val="lowerLetter"/>
      <w:start w:val="1"/>
    </w:lvl>
  </w:abstractNum>
  <w:abstractNum w:abstractNumId="55">
    <w:nsid w:val="10233C99"/>
    <w:multiLevelType w:val="hybridMultilevel"/>
    <w:lvl w:ilvl="0">
      <w:lvlJc w:val="left"/>
      <w:lvlText w:val="(%1)"/>
      <w:numFmt w:val="lowerRoman"/>
      <w:start w:val="1"/>
    </w:lvl>
    <w:lvl w:ilvl="1">
      <w:lvlJc w:val="left"/>
      <w:lvlText w:val="%2)"/>
      <w:numFmt w:val="lowerLetter"/>
      <w:start w:val="2"/>
    </w:lvl>
  </w:abstractNum>
  <w:abstractNum w:abstractNumId="56">
    <w:nsid w:val="3F6AB60F"/>
    <w:multiLevelType w:val="hybridMultilevel"/>
    <w:lvl w:ilvl="0">
      <w:lvlJc w:val="left"/>
      <w:lvlText w:val="%1)"/>
      <w:numFmt w:val="lowerLetter"/>
      <w:start w:val="3"/>
    </w:lvl>
    <w:lvl w:ilvl="1">
      <w:lvlJc w:val="left"/>
      <w:lvlText w:val="%2."/>
      <w:numFmt w:val="lowerRoman"/>
      <w:start w:val="1"/>
    </w:lvl>
  </w:abstractNum>
  <w:abstractNum w:abstractNumId="57">
    <w:nsid w:val="61574095"/>
    <w:multiLevelType w:val="hybridMultilevel"/>
    <w:lvl w:ilvl="0">
      <w:lvlJc w:val="left"/>
      <w:lvlText w:val="%1)"/>
      <w:numFmt w:val="lowerLetter"/>
      <w:start w:val="4"/>
    </w:lvl>
  </w:abstractNum>
  <w:abstractNum w:abstractNumId="58">
    <w:nsid w:val="7E0C57B1"/>
    <w:multiLevelType w:val="hybridMultilevel"/>
    <w:lvl w:ilvl="0">
      <w:lvlJc w:val="left"/>
      <w:lvlText w:val="(%1)"/>
      <w:numFmt w:val="decimal"/>
      <w:start w:val="30"/>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2"/>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4" Type="http://schemas.openxmlformats.org/officeDocument/2006/relationships/image" Target="media/image136.png"/><Relationship Id="rId146" Type="http://schemas.openxmlformats.org/officeDocument/2006/relationships/image" Target="media/image137.png"/><Relationship Id="rId148" Type="http://schemas.openxmlformats.org/officeDocument/2006/relationships/image" Target="media/image138.png"/><Relationship Id="rId150" Type="http://schemas.openxmlformats.org/officeDocument/2006/relationships/image" Target="media/image139.png"/><Relationship Id="rId152" Type="http://schemas.openxmlformats.org/officeDocument/2006/relationships/image" Target="media/image140.png"/><Relationship Id="rId154" Type="http://schemas.openxmlformats.org/officeDocument/2006/relationships/image" Target="media/image141.png"/><Relationship Id="rId156" Type="http://schemas.openxmlformats.org/officeDocument/2006/relationships/image" Target="media/image142.png"/><Relationship Id="rId158" Type="http://schemas.openxmlformats.org/officeDocument/2006/relationships/image" Target="media/image143.png"/><Relationship Id="rId160" Type="http://schemas.openxmlformats.org/officeDocument/2006/relationships/image" Target="media/image144.png"/><Relationship Id="rId162" Type="http://schemas.openxmlformats.org/officeDocument/2006/relationships/image" Target="media/image145.png"/><Relationship Id="rId164" Type="http://schemas.openxmlformats.org/officeDocument/2006/relationships/image" Target="media/image146.png"/><Relationship Id="rId166" Type="http://schemas.openxmlformats.org/officeDocument/2006/relationships/image" Target="media/image147.png"/><Relationship Id="rId168" Type="http://schemas.openxmlformats.org/officeDocument/2006/relationships/image" Target="media/image148.png"/><Relationship Id="rId170" Type="http://schemas.openxmlformats.org/officeDocument/2006/relationships/image" Target="media/image149.png"/><Relationship Id="rId172"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1" Type="http://schemas.openxmlformats.org/officeDocument/2006/relationships/image" Target="media/image167.png"/><Relationship Id="rId193" Type="http://schemas.openxmlformats.org/officeDocument/2006/relationships/image" Target="media/image168.png"/><Relationship Id="rId195" Type="http://schemas.openxmlformats.org/officeDocument/2006/relationships/image" Target="media/image169.png"/><Relationship Id="rId197" Type="http://schemas.openxmlformats.org/officeDocument/2006/relationships/image" Target="media/image170.png"/><Relationship Id="rId199" Type="http://schemas.openxmlformats.org/officeDocument/2006/relationships/image" Target="media/image171.png"/><Relationship Id="rId201" Type="http://schemas.openxmlformats.org/officeDocument/2006/relationships/image" Target="media/image172.png"/><Relationship Id="rId203" Type="http://schemas.openxmlformats.org/officeDocument/2006/relationships/image" Target="media/image173.png"/><Relationship Id="rId205" Type="http://schemas.openxmlformats.org/officeDocument/2006/relationships/image" Target="media/image174.png"/><Relationship Id="rId207" Type="http://schemas.openxmlformats.org/officeDocument/2006/relationships/image" Target="media/image175.png"/><Relationship Id="rId209" Type="http://schemas.openxmlformats.org/officeDocument/2006/relationships/image" Target="media/image176.png"/><Relationship Id="rId211" Type="http://schemas.openxmlformats.org/officeDocument/2006/relationships/image" Target="media/image177.png"/><Relationship Id="rId213" Type="http://schemas.openxmlformats.org/officeDocument/2006/relationships/image" Target="media/image178.png"/><Relationship Id="rId215"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143" Type="http://schemas.openxmlformats.org/officeDocument/2006/relationships/hyperlink" Target="http://www.sec.gov/Archives/edgar/data/1368514/000119380517000054/e615690_ex2-1.htm" TargetMode="External"/><Relationship Id="rId145" Type="http://schemas.openxmlformats.org/officeDocument/2006/relationships/hyperlink" Target="http://www.sec.gov/Archives/edgar/data/1368514/000119380517001080/e616248_ex3-1.htm" TargetMode="External"/><Relationship Id="rId147" Type="http://schemas.openxmlformats.org/officeDocument/2006/relationships/hyperlink" Target="http://www.sec.gov/Archives/edgar/data/1368514/000119380516004084/e615468_ex3-1.htm" TargetMode="External"/><Relationship Id="rId149" Type="http://schemas.openxmlformats.org/officeDocument/2006/relationships/hyperlink" Target="http://www.sec.gov/Archives/edgar/data/1368514/000119380512000555/e609522_ex4-1.htm" TargetMode="External"/><Relationship Id="rId151" Type="http://schemas.openxmlformats.org/officeDocument/2006/relationships/hyperlink" Target="http://www.sec.gov/Archives/edgar/data/1368514/000119380513000287/e610467_ex4-3.htm" TargetMode="External"/><Relationship Id="rId153" Type="http://schemas.openxmlformats.org/officeDocument/2006/relationships/hyperlink" Target="http://www.sec.gov/Archives/edgar/data/1368514/000119380516003247/e615009_ex4-6.htm" TargetMode="External"/><Relationship Id="rId155" Type="http://schemas.openxmlformats.org/officeDocument/2006/relationships/hyperlink" Target="http://www.sec.gov/Archives/edgar/data/1368514/000119380517003270/e617372_ex4-2.htm" TargetMode="External"/><Relationship Id="rId157" Type="http://schemas.openxmlformats.org/officeDocument/2006/relationships/hyperlink" Target="http://www.sec.gov/Archives/edgar/data/1368514/000119380519000160/e618213_ex4-2.htm" TargetMode="External"/><Relationship Id="rId159" Type="http://schemas.openxmlformats.org/officeDocument/2006/relationships/hyperlink" Target="http://www.sec.gov/Archives/edgar/data/1368514/000119380519000160/e618213_ex4-1.htm" TargetMode="External"/><Relationship Id="rId161" Type="http://schemas.openxmlformats.org/officeDocument/2006/relationships/hyperlink" Target="http://www.sec.gov/Archives/edgar/data/1368514/000119380512001750/e610168_def14c-adma.htm" TargetMode="External"/><Relationship Id="rId163" Type="http://schemas.openxmlformats.org/officeDocument/2006/relationships/hyperlink" Target="http://www.sec.gov/Archives/edgar/data/1368514/000119380517001506/e616485_ex10-1.htm" TargetMode="External"/><Relationship Id="rId165" Type="http://schemas.openxmlformats.org/officeDocument/2006/relationships/hyperlink" Target="http://www.sec.gov/Archives/edgar/data/1368514/000119380519000098/e618169_ex10-1.htm" TargetMode="External"/><Relationship Id="rId167" Type="http://schemas.openxmlformats.org/officeDocument/2006/relationships/hyperlink" Target="http://www.sec.gov/Archives/edgar/data/1368514/000119380519000098/e618169_ex10-3.htm" TargetMode="External"/><Relationship Id="rId169" Type="http://schemas.openxmlformats.org/officeDocument/2006/relationships/hyperlink" Target="http://www.sec.gov/Archives/edgar/data/1368514/000119380519000098/e618169_ex10-2.htm" TargetMode="External"/><Relationship Id="rId171" Type="http://schemas.openxmlformats.org/officeDocument/2006/relationships/hyperlink" Target="http://www.sec.gov/Archives/edgar/data/1368514/000119380512001076/e609784_ex10-9.htm" TargetMode="External"/><Relationship Id="rId173" Type="http://schemas.openxmlformats.org/officeDocument/2006/relationships/hyperlink" Target="http://www.sec.gov/Archives/edgar/data/1368514/000119380516002889/e614766_ex10-31.htm" TargetMode="External"/><Relationship Id="rId190" Type="http://schemas.openxmlformats.org/officeDocument/2006/relationships/hyperlink" Target="http://www.sec.gov/Archives/edgar/data/1368514/000119380516003247/e615009_ex10-32.htm" TargetMode="External"/><Relationship Id="rId192" Type="http://schemas.openxmlformats.org/officeDocument/2006/relationships/hyperlink" Target="http://www.sec.gov/Archives/edgar/data/1368514/000119380517001446/e616455_ex10-9.htm" TargetMode="External"/><Relationship Id="rId194" Type="http://schemas.openxmlformats.org/officeDocument/2006/relationships/hyperlink" Target="http://www.sec.gov/Archives/edgar/data/1368514/000119380519000012/e618132_ex10-1.htm" TargetMode="External"/><Relationship Id="rId196" Type="http://schemas.openxmlformats.org/officeDocument/2006/relationships/hyperlink" Target="http://www.sec.gov/Archives/edgar/data/1368514/000119380517001446/e616455_ex10-5.htm" TargetMode="External"/><Relationship Id="rId198" Type="http://schemas.openxmlformats.org/officeDocument/2006/relationships/hyperlink" Target="http://www.sec.gov/Archives/edgar/data/1368514/000119380518001059/e618214_ex10-2.htm" TargetMode="External"/><Relationship Id="rId200" Type="http://schemas.openxmlformats.org/officeDocument/2006/relationships/hyperlink" Target="http://www.sec.gov/Archives/edgar/data/1368514/000119380517001446/e616455_ex10-6.htm" TargetMode="External"/><Relationship Id="rId202" Type="http://schemas.openxmlformats.org/officeDocument/2006/relationships/hyperlink" Target="http://www.sec.gov/Archives/edgar/data/1368514/000119380518001059/e618214_ex10-3.htm" TargetMode="External"/><Relationship Id="rId204" Type="http://schemas.openxmlformats.org/officeDocument/2006/relationships/hyperlink" Target="http://www.sec.gov/Archives/edgar/data/1368514/000119380516003725/e615266_ex10-18.htm" TargetMode="External"/><Relationship Id="rId206" Type="http://schemas.openxmlformats.org/officeDocument/2006/relationships/hyperlink" Target="http://www.sec.gov/Archives/edgar/data/1368514/000119380517000330/e615811_ex10-22.htm" TargetMode="External"/><Relationship Id="rId208" Type="http://schemas.openxmlformats.org/officeDocument/2006/relationships/hyperlink" Target="http://www.sec.gov/Archives/edgar/data/1368514/000119380517001446/e616455_ex10-7.htm" TargetMode="External"/><Relationship Id="rId210" Type="http://schemas.openxmlformats.org/officeDocument/2006/relationships/hyperlink" Target="http://www.sec.gov/Archives/edgar/data/1368514/000119380518001014/e618190_ex10-2.htm" TargetMode="External"/><Relationship Id="rId212" Type="http://schemas.openxmlformats.org/officeDocument/2006/relationships/hyperlink" Target="http://www.sec.gov/Archives/edgar/data/1368514/000119380512000196/e609275_ex10-12.htm" TargetMode="External"/><Relationship Id="rId214" Type="http://schemas.openxmlformats.org/officeDocument/2006/relationships/hyperlink" Target="http://www.sec.gov/Archives/edgar/data/1368514/000119380517001080/e616248_ex10-1.htm" TargetMode="External"/><Relationship Id="rId216" Type="http://schemas.openxmlformats.org/officeDocument/2006/relationships/hyperlink" Target="http://www.sec.gov/Archives/edgar/data/1368514/000119380518001014/e618190_ex10-1.htm" TargetMode="External"/><Relationship Id="rId219" Type="http://schemas.openxmlformats.org/officeDocument/2006/relationships/hyperlink" Target="http://www.sec.gov/Archives/edgar/data/1368514/000119380519000160/e618213_ex10-1.htm" TargetMode="External"/><Relationship Id="rId220" Type="http://schemas.openxmlformats.org/officeDocument/2006/relationships/hyperlink" Target="http://www.sec.gov/Archives/edgar/data/1368514/000119380519000160/e618213_ex10-2.htm" TargetMode="External"/><Relationship Id="rId221" Type="http://schemas.openxmlformats.org/officeDocument/2006/relationships/hyperlink" Target="http://www.sec.gov/Archives/edgar/data/1368514/000119380513000287/e610467_ex10-21.htm" TargetMode="External"/><Relationship Id="rId222" Type="http://schemas.openxmlformats.org/officeDocument/2006/relationships/hyperlink" Target="http://www.sec.gov/Archives/edgar/data/1368514/000119380517001446/e616455_ex10-8.htm" TargetMode="External"/><Relationship Id="rId223" Type="http://schemas.openxmlformats.org/officeDocument/2006/relationships/hyperlink" Target="http://www.sec.gov/Archives/edgar/data/1368514/000119380518000470/e617768_ex10-24.htm" TargetMode="External"/><Relationship Id="rId224" Type="http://schemas.openxmlformats.org/officeDocument/2006/relationships/hyperlink" Target="http://www.sec.gov/Archives/edgar/data/1368514/000119380518000470/e617768_ex10-241.htm" TargetMode="External"/><Relationship Id="rId225" Type="http://schemas.openxmlformats.org/officeDocument/2006/relationships/hyperlink" Target="http://www.sec.gov/Archives/edgar/data/1368514/000119380518000470/e617768_ex10-242.htm" TargetMode="External"/><Relationship Id="rId226" Type="http://schemas.openxmlformats.org/officeDocument/2006/relationships/hyperlink" Target="http://www.sec.gov/Archives/edgar/data/1368514/000119380517001080/e616248_ex10-2.htm" TargetMode="External"/><Relationship Id="rId227" Type="http://schemas.openxmlformats.org/officeDocument/2006/relationships/hyperlink" Target="http://www.sec.gov/Archives/edgar/data/1368514/000119380517001446/e616455_ex10-4.htm" TargetMode="External"/><Relationship Id="rId231" Type="http://schemas.openxmlformats.org/officeDocument/2006/relationships/hyperlink" Target="http://www.sec.gov/Archives/edgar/data/1368514/000119380518001059/e61821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2020-01-09T17:01:34Z</dcterms:created>
  <dcterms:modified xsi:type="dcterms:W3CDTF">2020-01-09T17:01:34Z</dcterms:modified>
</cp:coreProperties>
</file>