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80" w:type="dxa"/>
            <w:vAlign w:val="bottom"/>
            <w:gridSpan w:val="4"/>
          </w:tcPr>
          <w:p>
            <w:pPr>
              <w:jc w:val="center"/>
              <w:ind w:right="1900"/>
              <w:spacing w:after="0"/>
              <w:rPr>
                <w:sz w:val="20"/>
                <w:szCs w:val="20"/>
                <w:color w:val="auto"/>
              </w:rPr>
            </w:pPr>
            <w:r>
              <w:rPr>
                <w:rFonts w:ascii="Arial" w:cs="Arial" w:eastAsia="Arial" w:hAnsi="Arial"/>
                <w:sz w:val="18"/>
                <w:szCs w:val="18"/>
                <w:color w:val="auto"/>
                <w:w w:val="89"/>
              </w:rPr>
              <w:t>Delaware</w:t>
            </w:r>
          </w:p>
        </w:tc>
        <w:tc>
          <w:tcPr>
            <w:tcW w:w="4720" w:type="dxa"/>
            <w:vAlign w:val="bottom"/>
            <w:gridSpan w:val="7"/>
          </w:tcPr>
          <w:p>
            <w:pPr>
              <w:jc w:val="right"/>
              <w:ind w:right="860"/>
              <w:spacing w:after="0"/>
              <w:rPr>
                <w:sz w:val="20"/>
                <w:szCs w:val="20"/>
                <w:color w:val="auto"/>
              </w:rPr>
            </w:pPr>
            <w:r>
              <w:rPr>
                <w:rFonts w:ascii="Arial" w:cs="Arial" w:eastAsia="Arial" w:hAnsi="Arial"/>
                <w:sz w:val="18"/>
                <w:szCs w:val="18"/>
                <w:color w:val="auto"/>
              </w:rPr>
              <w:t>56-2590442</w:t>
            </w:r>
          </w:p>
        </w:tc>
      </w:tr>
      <w:tr>
        <w:trPr>
          <w:trHeight w:val="20"/>
        </w:trPr>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4440" w:type="dxa"/>
            <w:vAlign w:val="bottom"/>
            <w:gridSpan w:val="6"/>
          </w:tcPr>
          <w:p>
            <w:pPr>
              <w:jc w:val="center"/>
              <w:ind w:right="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19"/>
                <w:szCs w:val="19"/>
                <w:color w:val="auto"/>
              </w:rPr>
            </w:pPr>
          </w:p>
        </w:tc>
        <w:tc>
          <w:tcPr>
            <w:tcW w:w="3600" w:type="dxa"/>
            <w:vAlign w:val="bottom"/>
            <w:gridSpan w:val="6"/>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780" w:type="dxa"/>
            <w:vAlign w:val="bottom"/>
          </w:tcPr>
          <w:p>
            <w:pPr>
              <w:spacing w:after="0"/>
              <w:rPr>
                <w:sz w:val="20"/>
                <w:szCs w:val="20"/>
                <w:color w:val="auto"/>
              </w:rPr>
            </w:pPr>
          </w:p>
        </w:tc>
        <w:tc>
          <w:tcPr>
            <w:tcW w:w="3660" w:type="dxa"/>
            <w:vAlign w:val="bottom"/>
            <w:gridSpan w:val="5"/>
          </w:tcPr>
          <w:p>
            <w:pPr>
              <w:jc w:val="center"/>
              <w:ind w:right="820"/>
              <w:spacing w:after="0"/>
              <w:rPr>
                <w:sz w:val="20"/>
                <w:szCs w:val="20"/>
                <w:color w:val="auto"/>
              </w:rPr>
            </w:pPr>
            <w:r>
              <w:rPr>
                <w:rFonts w:ascii="Arial" w:cs="Arial" w:eastAsia="Arial" w:hAnsi="Arial"/>
                <w:sz w:val="18"/>
                <w:szCs w:val="18"/>
                <w:color w:val="auto"/>
                <w:w w:val="92"/>
              </w:rPr>
              <w:t>Organization)</w:t>
            </w:r>
          </w:p>
        </w:tc>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465 State Route 17, Ramsey, New Jersey</w:t>
            </w:r>
          </w:p>
        </w:tc>
        <w:tc>
          <w:tcPr>
            <w:tcW w:w="3860" w:type="dxa"/>
            <w:vAlign w:val="bottom"/>
            <w:gridSpan w:val="6"/>
          </w:tcPr>
          <w:p>
            <w:pPr>
              <w:jc w:val="right"/>
              <w:ind w:right="160"/>
              <w:spacing w:after="0"/>
              <w:rPr>
                <w:sz w:val="20"/>
                <w:szCs w:val="20"/>
                <w:color w:val="auto"/>
              </w:rPr>
            </w:pPr>
            <w:r>
              <w:rPr>
                <w:rFonts w:ascii="Arial" w:cs="Arial" w:eastAsia="Arial" w:hAnsi="Arial"/>
                <w:sz w:val="18"/>
                <w:szCs w:val="18"/>
                <w:color w:val="auto"/>
              </w:rPr>
              <w:t>07446</w:t>
            </w:r>
          </w:p>
        </w:tc>
        <w:tc>
          <w:tcPr>
            <w:tcW w:w="8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2960" w:type="dxa"/>
            <w:vAlign w:val="bottom"/>
            <w:gridSpan w:val="4"/>
          </w:tcPr>
          <w:p>
            <w:pPr>
              <w:ind w:left="20"/>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center"/>
              <w:ind w:right="760"/>
              <w:spacing w:after="0"/>
              <w:rPr>
                <w:sz w:val="20"/>
                <w:szCs w:val="20"/>
                <w:color w:val="auto"/>
              </w:rPr>
            </w:pPr>
            <w:r>
              <w:rPr>
                <w:rFonts w:ascii="Arial" w:cs="Arial" w:eastAsia="Arial" w:hAnsi="Arial"/>
                <w:sz w:val="18"/>
                <w:szCs w:val="18"/>
                <w:color w:val="auto"/>
                <w:w w:val="91"/>
              </w:rPr>
              <w:t>(Zip Code)</w:t>
            </w:r>
          </w:p>
        </w:tc>
      </w:tr>
      <w:tr>
        <w:trPr>
          <w:trHeight w:val="392"/>
        </w:trPr>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gridSpan w:val="9"/>
          </w:tcPr>
          <w:p>
            <w:pPr>
              <w:jc w:val="center"/>
              <w:ind w:right="186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392"/>
        </w:trPr>
        <w:tc>
          <w:tcPr>
            <w:tcW w:w="2700" w:type="dxa"/>
            <w:vAlign w:val="bottom"/>
            <w:gridSpan w:val="4"/>
          </w:tcPr>
          <w:p>
            <w:pPr>
              <w:spacing w:after="0"/>
              <w:rPr>
                <w:sz w:val="24"/>
                <w:szCs w:val="24"/>
                <w:color w:val="auto"/>
              </w:rPr>
            </w:pPr>
          </w:p>
        </w:tc>
        <w:tc>
          <w:tcPr>
            <w:tcW w:w="4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___________________________________________________</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8380" w:type="dxa"/>
            <w:vAlign w:val="bottom"/>
            <w:gridSpan w:val="12"/>
          </w:tcPr>
          <w:p>
            <w:pPr>
              <w:jc w:val="center"/>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bl>
    <w:p>
      <w:pPr>
        <w:spacing w:after="0" w:line="202"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2" w:right="239" w:bottom="1440" w:gutter="0" w:footer="0" w:header="0"/>
        </w:sectPr>
      </w:pPr>
    </w:p>
    <w:p>
      <w:pPr>
        <w:spacing w:after="0" w:line="181" w:lineRule="exact"/>
        <w:rPr>
          <w:sz w:val="24"/>
          <w:szCs w:val="24"/>
          <w:color w:val="auto"/>
        </w:rPr>
      </w:pPr>
    </w:p>
    <w:p>
      <w:pPr>
        <w:ind w:left="13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ý</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tabs>
          <w:tab w:leader="none" w:pos="13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ý</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ý</w:t>
      </w:r>
    </w:p>
    <w:p>
      <w:pPr>
        <w:spacing w:after="0" w:line="200" w:lineRule="exact"/>
        <w:rPr>
          <w:sz w:val="24"/>
          <w:szCs w:val="24"/>
          <w:color w:val="auto"/>
        </w:rPr>
      </w:pPr>
    </w:p>
    <w:p>
      <w:pPr>
        <w:sectPr>
          <w:pgSz w:w="11900" w:h="16838" w:orient="portrait"/>
          <w:cols w:equalWidth="0" w:num="5">
            <w:col w:w="3000" w:space="80"/>
            <w:col w:w="100" w:space="0"/>
            <w:col w:w="3760" w:space="720"/>
            <w:col w:w="1980" w:space="180"/>
            <w:col w:w="1600"/>
          </w:cols>
          <w:pgMar w:left="240" w:top="472" w:right="239" w:bottom="1440" w:gutter="0" w:footer="0" w:header="0"/>
          <w:type w:val="continuous"/>
        </w:sectPr>
      </w:pPr>
    </w:p>
    <w:p>
      <w:pPr>
        <w:spacing w:after="0" w:line="34"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5, 2018, there were 46,351,243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rPr>
              <w:t>ADMA BIOLOGICS, INC. AND SUBSIDIARIES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40" w:type="dxa"/>
            <w:vAlign w:val="bottom"/>
            <w:gridSpan w:val="8"/>
          </w:tcPr>
          <w:p>
            <w:pPr>
              <w:jc w:val="center"/>
              <w:ind w:right="362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40" w:type="dxa"/>
            <w:vAlign w:val="bottom"/>
            <w:gridSpan w:val="19"/>
          </w:tcPr>
          <w:p>
            <w:pPr>
              <w:spacing w:after="0"/>
              <w:rPr>
                <w:sz w:val="20"/>
                <w:szCs w:val="20"/>
                <w:color w:val="auto"/>
              </w:rPr>
            </w:pPr>
            <w:r>
              <w:rPr>
                <w:rFonts w:ascii="Arial" w:cs="Arial" w:eastAsia="Arial" w:hAnsi="Arial"/>
                <w:sz w:val="18"/>
                <w:szCs w:val="18"/>
                <w:color w:val="auto"/>
              </w:rPr>
              <w:t>PART I FINANCIAL INFORMATION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Item 1.</w:t>
            </w:r>
          </w:p>
        </w:tc>
        <w:tc>
          <w:tcPr>
            <w:tcW w:w="92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2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2018 (Unaudited) and December 31, 2017</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(Unaudited) for the Three and Nine Months Ended September 30, 2018</w:t>
              </w:r>
            </w:hyperlink>
          </w:p>
        </w:tc>
        <w:tc>
          <w:tcPr>
            <w:tcW w:w="3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2017</w:t>
              </w:r>
            </w:hyperlink>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20" w:type="dxa"/>
            <w:vAlign w:val="bottom"/>
            <w:gridSpan w:val="16"/>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 of Changes in Stockholders’ Equity (Unaudited) for the Nine Months Ended September</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30, 2018</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2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Condensed Consolidated Statements of Cash Flows (Unaudited) for the Nine Months Ended September 30, 2018 and 2017</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8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380" w:type="dxa"/>
            <w:vAlign w:val="bottom"/>
            <w:tcBorders>
              <w:top w:val="single" w:sz="8" w:color="CCEEFF"/>
            </w:tcBorders>
            <w:gridSpan w:val="3"/>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3.</w:t>
            </w:r>
          </w:p>
        </w:tc>
        <w:tc>
          <w:tcPr>
            <w:tcW w:w="65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2720" w:type="dxa"/>
            <w:vAlign w:val="bottom"/>
            <w:tcBorders>
              <w:top w:val="single" w:sz="8" w:color="CCEEFF"/>
            </w:tcBorders>
            <w:gridSpan w:val="5"/>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Controls and Procedures.</w:t>
              </w:r>
            </w:hyperlink>
          </w:p>
        </w:tc>
        <w:tc>
          <w:tcPr>
            <w:tcW w:w="7400" w:type="dxa"/>
            <w:vAlign w:val="bottom"/>
            <w:tcBorders>
              <w:bottom w:val="single" w:sz="8" w:color="CCEEFF"/>
            </w:tcBorders>
            <w:gridSpan w:val="9"/>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920" w:type="dxa"/>
            <w:vAlign w:val="bottom"/>
            <w:gridSpan w:val="18"/>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220" w:type="dxa"/>
            <w:vAlign w:val="bottom"/>
            <w:gridSpan w:val="1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Item 1A.</w:t>
            </w:r>
          </w:p>
        </w:tc>
        <w:tc>
          <w:tcPr>
            <w:tcW w:w="13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7840" w:type="dxa"/>
            <w:vAlign w:val="bottom"/>
            <w:tcBorders>
              <w:top w:val="single" w:sz="8" w:color="CCEEFF"/>
            </w:tcBorders>
            <w:gridSpan w:val="10"/>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Unregistered Sales of Equity Securities and Use of Proceeds.</w:t>
              </w:r>
            </w:hyperlink>
          </w:p>
        </w:tc>
        <w:tc>
          <w:tcPr>
            <w:tcW w:w="4820" w:type="dxa"/>
            <w:vAlign w:val="bottom"/>
            <w:tcBorders>
              <w:bottom w:val="single" w:sz="8" w:color="CCEEFF"/>
            </w:tcBorders>
            <w:gridSpan w:val="7"/>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6"/>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Defaults Upon Senior Securities.</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Mine Safety Disclosures.</w:t>
              </w:r>
            </w:hyperlink>
          </w:p>
        </w:tc>
        <w:tc>
          <w:tcPr>
            <w:tcW w:w="7400" w:type="dxa"/>
            <w:vAlign w:val="bottom"/>
            <w:tcBorders>
              <w:bottom w:val="single" w:sz="8" w:color="CCEEFF"/>
            </w:tcBorders>
            <w:gridSpan w:val="9"/>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Item 5.</w:t>
            </w:r>
          </w:p>
        </w:tc>
        <w:tc>
          <w:tcPr>
            <w:tcW w:w="9220" w:type="dxa"/>
            <w:vAlign w:val="bottom"/>
            <w:gridSpan w:val="16"/>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220" w:type="dxa"/>
            <w:vAlign w:val="bottom"/>
            <w:gridSpan w:val="16"/>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This Quarterly Report on Form 10-Q includes our trademarks, trade names and service marks, such as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the federal securities laws. These statements include, among others, statements about:</w:t>
      </w:r>
    </w:p>
    <w:p>
      <w:pPr>
        <w:spacing w:after="0" w:line="170" w:lineRule="exact"/>
        <w:rPr>
          <w:sz w:val="20"/>
          <w:szCs w:val="20"/>
          <w:color w:val="auto"/>
        </w:rPr>
      </w:pPr>
    </w:p>
    <w:p>
      <w:pPr>
        <w:ind w:left="660" w:right="1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leverage the anticipated benefits and synergies from our June 6, 2017 acquisition of certain assets of Biotest Pharmaceuticals Corporation (the “Biotest Transaction”), including optimization of the combined businesses, operations and products and services, as well as the nature, strategy and focus of the combined company and the management and governance structure of the combined company;</w:t>
      </w:r>
    </w:p>
    <w:p>
      <w:pPr>
        <w:spacing w:after="0" w:line="173"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resume the manufacturing and commercialization of BIVIGAM once the deficiencies identified in a November 2014 warning letter (the “Warning Letter”) with respect to the outstanding issues at the plasma fractionation facility in Boca Raton, FL acquired in the Biotest Transaction have been resolved by us to the satisfaction of the U.S. Food and Drug Administration (the “FDA”), as well as a positive review of the optimized manufacturing process for BIVIGAM submitted to the agency as a Prior Approval Supplement;</w:t>
      </w:r>
    </w:p>
    <w:p>
      <w:pPr>
        <w:spacing w:after="0" w:line="198"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including the timeframe within which we may receive approval from the FDA, if at all, of our Biologics License Application resubmission for our lead pipeline product candidate, RI-002 (“RI-002”), and the labeling or nature of any such approvals, as well as our ability to maintain an acceptable compliance status to continue operations;</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and related-party customers and vendors and their compliance with regulatory bodies;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RI-002, for any purpose by physicians, patients or payers;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of RI-002 and BIVIGAM to provide meaningful clinical improvement for patients living with Primary Immune Deficiency Disease;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and to generate meaningful revenues from this product;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RI-002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relating to manufacturing, supply and other collaborative agreements;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and availability of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 and, if any, if and when RI-002 is approved for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RI-002;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These statements may be found under the “Risk Factors“ and “Management’s Discussion and Analysis of Financial Condition and Results of Operations” sections of this Quarterly Report on Form 10-Q.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 Any forward-looking statement included or incorporated by reference in this Quarterly Report on Form 10-Q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7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In addition to the foregoing, you should also consider carefully the statements under the section entitled “Risk Factors” and other sections of this Quarterly Report on Form 10-Q, which address additional factors that could cause our actual results to differ from those set forth in the forward-looking statements. Any forward-looking statements that we make in this Quarterly Report on Form 10-Q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ind w:left="300"/>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Arial" w:cs="Arial" w:eastAsia="Arial" w:hAnsi="Arial"/>
                <w:sz w:val="18"/>
                <w:szCs w:val="18"/>
                <w:color w:val="auto"/>
                <w:w w:val="95"/>
              </w:rPr>
              <w:t>(Note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42,367,489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43,107,574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4,126,794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3,880,154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13,877,434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12,628,181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2,131,035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2,050,740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62,502,752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63,166,649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30,362,629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30,466,858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4,215,646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4,849,350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3,529,509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Assets to be transferred under purchase agreement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1,204,391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1,496,410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530,173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510,057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106,345,100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108,018,833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5,267,683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5,920,873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4,453,027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3,376,476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142,834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29,443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9,892,987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9,440,183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26,153,543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25,368,458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End of term liability, notes payable</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2,760,000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2,440,074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2,547,199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Note payable - related party, net of discount</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14,865,981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14,842,396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12,621,844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126,765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277,692</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69,138,886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67,686,076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Common Stock - voting, $0.0001 par value, 75,000,000 shares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authorized, 46,351,243 and 36,725,499 shares issued and outstanding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Common Stock - non-voting, $0.0001 par value, 8,591,160 shares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authorized, 0 and 8,591,160 shares issued and outstanding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235,600,830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191,022,018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(198,399,251)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(150,693,793)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37,206,214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40,332,757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106,345,100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108,018,833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020" w:type="dxa"/>
            <w:vAlign w:val="bottom"/>
            <w:gridSpan w:val="6"/>
          </w:tcPr>
          <w:p>
            <w:pPr>
              <w:jc w:val="center"/>
              <w:ind w:left="329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8"/>
          </w:tcPr>
          <w:p>
            <w:pPr>
              <w:jc w:val="center"/>
              <w:ind w:left="27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Three Months Ended September</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4,194,602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4,693,703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12,821,741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10,650,558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and 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4,230,310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4,729,411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12,928,866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10,757,683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Cost of product revenue (exclusive of amortization expense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below)</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9,164,109</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11,291,116</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31,052,519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17,241,422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1,317,234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1,814,069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4,071,040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4,365,205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Plasma center operating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1,973,338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1,582,694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5,545,240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4,662,340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273,828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633,704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346,849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5,355,794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4,195,464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15,367,647</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12,908,498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18,021,710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19,157,171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56,670,150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39,524,314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(13,791,400)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(14,427,760)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(43,741,284)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(28,766,631)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(1,402,475)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(782,969)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(4,084,815)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(2,043,982)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Other expense, net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(1,344,085)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(774,955)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(3,964,174)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(2,009,542)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(15,135,485)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(15,202,715)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(47,705,458)</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(30,776,173)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COMMON SHARES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46,350,392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25,790,805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44,796,986</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18,415,468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gridSpan w:val="3"/>
          </w:tcPr>
          <w:p>
            <w:pPr>
              <w:jc w:val="right"/>
              <w:ind w:right="49"/>
              <w:spacing w:after="0" w:line="133"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Non-Voting</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08"/>
              <w:spacing w:after="0" w:line="133"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January 1, 2018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36,725,499</w:t>
            </w:r>
          </w:p>
        </w:tc>
        <w:tc>
          <w:tcPr>
            <w:tcW w:w="520" w:type="dxa"/>
            <w:vAlign w:val="bottom"/>
            <w:gridSpan w:val="3"/>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3,673</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8,591,160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191,022,018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(150,693,793)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40,332,757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1,627,756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1,627,756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net of offering</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9,623,430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42,943,869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42,944,831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non-voting common stock</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(8,591,160)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(47,705,458)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(47,705,458)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 September 30, 2018</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46,351,243</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4,635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97"/>
              </w:rPr>
              <w:t>235,600,830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(198,399,251)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37,206,214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jc w:val="center"/>
              <w:ind w:left="28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(47,705,458)</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(30,776,173)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2,522,496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Loss on disposal of fixed assets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1,627,756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Amortization of debt discount</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808,671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555,568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license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acquisition: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(1,249,253)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5,228,096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1,013,003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1,277,700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191,393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(43,885,558)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(23,913,145)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of short-term investments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5,390,184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(1,276,594)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(666,457)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in acquisition transaction</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(1,276,594)</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17,223,727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issuance of common stock, net of offering expenses</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42,944,831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Proceeds from issuance of related party note payable</w:t>
            </w: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Payments on capital lease obligations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leasehold improvement loan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42,922,067</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10,375,942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(decrease) increase in cash and cash equivalents</w:t>
      </w:r>
    </w:p>
    <w:p>
      <w:pPr>
        <w:spacing w:after="0" w:line="9" w:lineRule="exact"/>
        <w:rPr>
          <w:sz w:val="20"/>
          <w:szCs w:val="20"/>
          <w:color w:val="auto"/>
        </w:rPr>
      </w:pPr>
    </w:p>
    <w:p>
      <w:pPr>
        <w:ind w:right="1860"/>
        <w:spacing w:after="0" w:line="380" w:lineRule="auto"/>
        <w:rPr>
          <w:sz w:val="20"/>
          <w:szCs w:val="20"/>
          <w:color w:val="auto"/>
        </w:rPr>
      </w:pPr>
      <w:r>
        <w:rPr>
          <w:rFonts w:ascii="Arial" w:cs="Arial" w:eastAsia="Arial" w:hAnsi="Arial"/>
          <w:sz w:val="15"/>
          <w:szCs w:val="15"/>
          <w:b w:val="1"/>
          <w:bCs w:val="1"/>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(2,240,085)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3,686,524</w:t>
            </w:r>
          </w:p>
        </w:tc>
      </w:tr>
      <w:tr>
        <w:trPr>
          <w:trHeight w:val="230"/>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r>
      <w:tr>
        <w:trPr>
          <w:trHeight w:val="223"/>
        </w:trPr>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46,367,489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13,601,391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ADMA Biologics, Inc. (“ADMA” or the “Company”) is a vertically integrated commercial biopharmaceutical company that manufactures, markets and develops specialty plasma-derived biologics for the treatment of Primary Immune Deficiency Disease (“PIDD”)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and, together with Biotest AG, “Biotest”) as more fully described below. ADMA Bio Centers is the Company’s source plasma collection business, with facilities located in Norcross, GA, Marietta, GA and Kennesaw, GA. All three of the Company’s plasma collection facilities have approved licenses with the U.S. Food and Drug Administration (the “FDA”) and the Norcross, GA and Marietta, GA facilities have certifications from the German Health Authority (the “GHA”) and the Korean Ministry of Food and Drug Safety.</w:t>
      </w:r>
    </w:p>
    <w:p>
      <w:pPr>
        <w:spacing w:after="0" w:line="177"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discussed in Note 3, on June 6, 2017, ADMA completed the acquisition of certain assets (the “Biotest Assets”) of BTBU, which include two FDA-licensed products, Nabi-HB (Hepatitis B Immune Globulin, Human) and BIVIGAM (Immune Globulin Intravenous, Human), and a plasma fractionation manufacturing facility located in Boca Raton, FL (the “Boca Facility”) (the “Biotest Transaction”). In addition to Nabi-HB and BIVIGAM, BTBU provides contract manufacturing services for certain clients and also generates revenues from the sale of intermediate by-products which result from the immunoglobulin production process. The Boca Facility is FDA-licensed and certified by the GHA. Immediately following the closing of the Biotest Transaction, the Biotest Assets were contributed into ADMA BioManufacturing.</w:t>
      </w:r>
    </w:p>
    <w:p>
      <w:pPr>
        <w:spacing w:after="0" w:line="193" w:lineRule="exact"/>
        <w:rPr>
          <w:rFonts w:ascii="Arial" w:cs="Arial" w:eastAsia="Arial" w:hAnsi="Arial"/>
          <w:sz w:val="18"/>
          <w:szCs w:val="18"/>
          <w:b w:val="1"/>
          <w:bCs w:val="1"/>
          <w:color w:val="auto"/>
        </w:rPr>
      </w:pPr>
    </w:p>
    <w:p>
      <w:pPr>
        <w:ind w:left="34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leadership, the production of Nabi-HB resumed during the third quarter of 2017, resulting in subsequent commercial sales.</w:t>
      </w:r>
    </w:p>
    <w:p>
      <w:pPr>
        <w:spacing w:after="0" w:line="171"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BIVIGAM is indicated for the treatment of primary humoral immunodeficiency. FDA approval for BIVIGAM was received on December 19, 2012, and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 The Company submitted a Prior Approval Supplement (the “PAS”) for BIVIGAM to amend the FDA-approved Biologics License Application (“BLA”) for BIVIGAM and once approved, ADMA intends to relaunch BIVIGAM in the United States. The Prescription Drug User Fee Act (“PDUFA”) target action date for the PAS is December 18, 2018. The BIVIGAM inventory of three conformance batches produced in the fourth quarter of 2017 and the first quarter of 2018 was used in connection with, and as the basis for, the prepared and submitted PAS, which was accepted for review by the FDA in July 2018. Upon approval of the PAS by the FDA, the Company intends to relaunch BIVIGAM. This relaunch is expected to take place during the first half of 2019, at which time the Company believes the conformance lots currently in inventory can be labeled and released for commercial sale. The anticipated relaunch of BIVIGAM is dependent upon the timing of certain FDA decisions, production slots available with the Company’s contract fill/finish provider, approvals that may need to be obtained for product labeling as well as other commercial requirements and regulatory factors.</w:t>
      </w:r>
    </w:p>
    <w:p>
      <w:pPr>
        <w:spacing w:after="0" w:line="172" w:lineRule="exact"/>
        <w:rPr>
          <w:rFonts w:ascii="Arial" w:cs="Arial" w:eastAsia="Arial" w:hAnsi="Arial"/>
          <w:sz w:val="18"/>
          <w:szCs w:val="18"/>
          <w:b w:val="1"/>
          <w:bCs w:val="1"/>
          <w:color w:val="auto"/>
        </w:rPr>
      </w:pPr>
    </w:p>
    <w:p>
      <w:pPr>
        <w:ind w:left="3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Prior to the closing of the Biotest Transaction in June 2017, BTBU was the Company’s third-party manufacturer for RI-002. In the third quarter of 2015, the FDA accepted for review the Company’s BLA for RI-002 (the “RI-002 BLA”) for the treatment of PIDD. In July 2016, the FDA issued a Complete Response Letter (the “CRL”) to the Company for the RI-002 BLA. Although the CRL did not cite any concerns with the clinical safety or efficacy data for RI-002 submitted in the RI-002 BLA, nor did the FDA request any additional clinical studies be completed prior to FDA approval of RI-002, the CRL reaffirmed the issues set forth in the November 2014 warning letter (the “Warning Letter”) that had been issued by the FDA to Biotest related to certain compliance issues identified at the Boca Facility, and also identified certain outstanding inspection issues and deficiencies at the Boca Facility and certain of the Company’s third-party vendors, and requested documentation of corrections for a number of these issues. The FDA indicated in the CRL that it cannot grant final approval of the BLA until, among other things, these deficiencies are resolved. Upon the completion of the Biotest Transaction, ADMA gained control over the regulatory, quality, general operations and drug substance manufacturing process at the Boca Facility, and the Company’s highest priority has been the remediation of the outstanding compliance issues that were identified at the Boca Facility in the Warning Letter. The Company has worked with a consulting firm consisting of quality management systems and biologics production subject matter experts in order to improve the FDA inspection classification relative to the Warning Letter compliance issues as indicated in the CRL. Based on communication received from the FDA in July 2018 following the April 2018 FDA compliance inspection of the Boca Facility, the Company has determined that this inspection of the Boca Facility has been successfully closed out and the site’s compliance status has subsequently been improved to Voluntary Action Indicated, as indicated on the FDA’s website inspection database. The Company responded to the CRL and resubmitted the RI-002 BLA on September 28, 2018. As part of the RI-002 BLA resubmission, ADMA produced three conformance batches of inventory during the first quarter of 2018, which was used in connection with such BLA submission. The Company believes that this RI-002 inventory can be used for commercial sale once the RI-002 BLA is approved by the FDA. In October 2018, the FDA acknowledged receipt of the Company’s RI-002 BLA resubmission and set a target action date under PDUFA of April 2, 2019. Upon approval of the RI-002 BLA by the FDA, the Company intends to commercialize RI-002 with a full commercial launch anticipated for the second half of 2019.</w:t>
      </w:r>
    </w:p>
    <w:p>
      <w:pPr>
        <w:sectPr>
          <w:pgSz w:w="11900" w:h="16838" w:orient="portrait"/>
          <w:cols w:equalWidth="0" w:num="1">
            <w:col w:w="11420"/>
          </w:cols>
          <w:pgMar w:left="240" w:top="22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September 30, 2018, the Company had working capital of $52.6 million, including $42.4 million of cash and cash equivalents. Based upon the Company’s current projected revenue and expenditures, including capital expenditures and regulatory and consulting fees for the remediation of the Warning Letter and ongoing discussions with the FDA, as well as continuing implementation of the Company’s commercialization and expansion activities and certain other assumptions, the Company’s management currently believes that its cash, cash equivalents, projected revenue and accounts receivable, along with the additional $10.0 million it is able to access under its senior credit facility, will be sufficient to fund ADMA’s operations, as currently conducted, into the second quarter of 2019. In order to have sufficient cash to fund its operations thereafter and to continue as a going concern, the Company will need to raise capital prior to the end of the second quarter of 2019. These estimates may change based upon how quickly the Company is able to execute on its quality management systems’ remediation plans for the ADMA BioManufacturing operations, timing of receipt of communications, determinations and feedback from the FDA regarding inspectional outcomes and remediation activities undertaken to date, commercial manufacturing ramp-up activities, timing of any potential product approvals and the various financing options available to the Company.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7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Due to numerous risks and uncertainties associated with ongoing remediation efforts, regulatory review cycles and the research and development and potential future commercialization of its products and product candidates, the Company is unable to estimate with certainty the amounts of increased capital outlays and operating expenditures associated with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additional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losses since inception in June 2004 through September 30, 2018 of $198.4 million. Management believes that the Company will continue to incur net losses and negative net cash flows from operating activities to fund its research and development and commercial programs and to meet its obligations on a timely basis through the foreseeable future. As such, these factors raise substantial doubt about the Company’s ability to continue as a going concern. The accompanying condensed consolidated financial statements do not include any adjustments related to the recoverability and classification of asset carrying amounts and the classification of liabilities that might be necessary if the Company is unable to continue as a going concern.</w:t>
      </w: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2018, the Company completed an underwritten public offering of its common stock and received net proceeds of $42.9 million (see Note 5).</w:t>
      </w:r>
    </w:p>
    <w:p>
      <w:pPr>
        <w:spacing w:after="0" w:line="237"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There can be no assurance that the Company’s research and development will be successfully completed or that any product will be approved or commercially viable.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67" w:lineRule="exact"/>
        <w:rPr>
          <w:sz w:val="20"/>
          <w:szCs w:val="20"/>
          <w:color w:val="auto"/>
        </w:rPr>
      </w:pPr>
    </w:p>
    <w:p>
      <w:pPr>
        <w:ind w:left="340" w:right="6400" w:hanging="332"/>
        <w:spacing w:after="0" w:line="50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6" w:lineRule="exact"/>
        <w:rPr>
          <w:rFonts w:ascii="Arial" w:cs="Arial" w:eastAsia="Arial" w:hAnsi="Arial"/>
          <w:sz w:val="18"/>
          <w:szCs w:val="18"/>
          <w:b w:val="1"/>
          <w:bCs w:val="1"/>
          <w:color w:val="auto"/>
        </w:rPr>
      </w:pPr>
    </w:p>
    <w:p>
      <w:pPr>
        <w:ind w:left="34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2017 included in the Company’s Annual Report on Form 10-K filed with the U.S. Securities and Exchange Commission (the “SEC”) on March 29, 2018. These condensed consolidated interim financial statements have been prepared in accordance with the instructions to Form 10-Q and Article 8 of Regulation S-X, and therefore omit or condense certain footnotes and other information normally included in consolidated interim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September 30, 2018 and its results of operations for the three and nine months ended September 30, 2018 and 2017 and cash flows for the nine months ended September 30, 2018 and 2017.</w:t>
      </w:r>
    </w:p>
    <w:p>
      <w:pPr>
        <w:spacing w:after="0" w:line="166" w:lineRule="exact"/>
        <w:rPr>
          <w:rFonts w:ascii="Arial" w:cs="Arial" w:eastAsia="Arial" w:hAnsi="Arial"/>
          <w:sz w:val="18"/>
          <w:szCs w:val="18"/>
          <w:b w:val="1"/>
          <w:bCs w:val="1"/>
          <w:color w:val="auto"/>
        </w:rPr>
      </w:pPr>
    </w:p>
    <w:p>
      <w:pPr>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the three and nine months ended September 30, 2018 and 2017, comprehensive loss was equal to the net loss amounts presented for the respective periods in the accompanying condensed consolidated statements of operations. In addition, certain prior year balances have been reclassified to conform to the current presentation. Specifically, Other current liabilities at December 31, 2017 of approximately $58,000 have been reclassified into Accrued expenses and other current liabilities in the accompanying consolidated balance sheets. Operating results for interim periods are not necessarily indicative of the results that may be expected for the full fiscal year.</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34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the valuation of inventory and assumptions used in the fair value determination of stock-based compensation and the allowance for the valuation of future tax benefits.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Company accounts for business combinations using the acquisition method of accounting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Identifiable assets acquired, liabilities assumed, and contingent consideration are recorded at their acquisition date fair values.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fair value of the acquisition-related contingent consideration subsequent to the acquisition date, including changes from events after the acquisition date, is recognized in the period of the estimated fair value change. Goodwill represents the excess of the purchase price over the fair value of identifiable assets acquired and liabilities assumed as a result of the business combination. Identifiable assets with finite lives are amortized over their useful lives. Acquisition related costs are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4) approximates fair value due to the variable interest rate on this debt. With respect to the related party note payable in the amount of $15.0 million as of September 30, 2018 which is held by a principal stockholder of the Company and was issued concurrent with an acquisition transaction with an affiliate of such stockholder (see Note 4), the Company has concluded that an estimation of fair value for this note is not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Accounts receivable are reported at realizable value, net of allowances for contractual credits and doubtful accounts, which are recognized in the period the related revenue is recorded. At September 30, 2018, four customers accounted for an aggregate of 93% of the Company’s total accounts receivable, and at December 31, 2017, two customers accounted for approximately 79%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research and development and future anticipated commercialization activities, are carried at the lower of cost or net realizable value determined by the first-in, first-out method. Research and development plasma used in engineering lots or clinical trials is processed to a finished product and subsequently expensed to research and development.</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the Company expects that the BIVIGAM and RI-002 inventory produced during 2017 and 2018 will ultimately be available for commercial sale, due to uncertainties at the time of production surrounding the timing and outcome of any FDA determinations concerning the Warning Letter and the PAS that must be approved and/or closed-out by the FDA prior to this inventory being available for commercial sale, all costs related to the production of BIVIGAM during the nine months ended September 30, 2018 in the amount of $1.1 million have been charged to cost of product revenue in the accompanying consolidated statement of operations. In addition, the costs related to the manufacture of conformance lots of RI-002 during the nine months ended September 30, 2018 in the amount of $2.9 million were also charged to cost of product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Goodwill represents the excess of purchase price over the fair value of net assets acquired by the Company. Goodwill at September 30, 2018 and December 31, 2017 was $3.5 million. All of the Company’s goodwill is attributable to its ADMA BioManufacturing business segment.</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w:t>
      </w: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and nine months ended September 30, 2018 and 2017, the Company determined that there was no impairment of its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 For sales of intermediates, title typically transfers when the product is delivered to a third party warehouse. With all other contract manufacturing, the title transfers to the customer when they take possession of the product from the Boca Facility. As the Company maintains a significant risk of loss throughout the contract manufacturing process, contract manufacturing revenue is not recognized until the product is released and title transfers to the customer.</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License and other revenues are primarily attributable to the out-licensing of RI-002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20 years, the term of the Biotest license agreement.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nine months ended September 30, 2018, three customers represented an aggregate of 90% of the Company’s consolidated revenues, with BPC representing 54% of the Company’s consolidated revenues and the other two customers representing an aggregate of 35% of the Company’s consolidated revenues. For the nine months ended September 30, 2017, sales to BPC represented 68% of the Company’s consolidated revenues, and another customer represented 8% of the Company’s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Expenses associated with remediating the issues identified in the Warning Letter for the three and nine months ended September 30, 2018 were approximately $0.1 million and $1.3 million, respectively, and are reflected in cost of product revenue in the accompanying consolidated statements of operations. For the three and nine months ended September 30, 2017, these expenses totaled $2.0 million and $2.5 million. In addition, for the nine months ended September 30, 2018, all operating expenses associated with the Boca Facility, other than the Nabi-HB production that was capitalized into inventory, have been expensed as incurred.</w:t>
      </w:r>
    </w:p>
    <w:p>
      <w:pPr>
        <w:spacing w:after="0" w:line="2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loss per common share is computed by dividing net loss attributable to common stockholders by the weighted average number of shares of common stock outstanding during the period. For purposes of computing basic and diluted loss per common share, the non-voting class of common stock (see Notes 3 and 5) is included in the common stock outstanding as the characteristics of the non-voting class are substantially the same as the voting class of common stock.</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nine months ended September 30, 2018 and 2017, the following securities were excluded from the calculation of diluted loss per common share because of their anti-dilutive effects: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4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For the Three and Nine Months Ended September 30,</w:t>
            </w:r>
          </w:p>
        </w:tc>
      </w:tr>
      <w:tr>
        <w:trPr>
          <w:trHeight w:val="223"/>
        </w:trPr>
        <w:tc>
          <w:tcPr>
            <w:tcW w:w="67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4,278,324</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3,282,792</w:t>
            </w:r>
          </w:p>
        </w:tc>
      </w:tr>
      <w:tr>
        <w:trPr>
          <w:trHeight w:val="23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528,160</w:t>
            </w:r>
          </w:p>
        </w:tc>
        <w:tc>
          <w:tcPr>
            <w:tcW w:w="2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188,859</w:t>
            </w:r>
          </w:p>
        </w:tc>
      </w:tr>
      <w:tr>
        <w:trPr>
          <w:trHeight w:val="223"/>
        </w:trPr>
        <w:tc>
          <w:tcPr>
            <w:tcW w:w="67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4,806,484</w:t>
            </w:r>
          </w:p>
        </w:tc>
        <w:tc>
          <w:tcPr>
            <w:tcW w:w="24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3,471,651</w:t>
            </w:r>
          </w:p>
        </w:tc>
      </w:tr>
      <w:tr>
        <w:trPr>
          <w:trHeight w:val="20"/>
        </w:trPr>
        <w:tc>
          <w:tcPr>
            <w:tcW w:w="67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service period of the award, which is generally the vesting term (see Note 5).</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During the three and nine months ended September 30, 2018, the Company granted options to purchase an aggregate of 61,800 and 1,044,700 shares of common stock, respectively, to its directors and employees, and during the nine months ended September 30, 2018, the Company granted options to purchase 20,000 shares of common stock to a third party service provider. During the three and nine months ended September 30, 2017, the Company granted options to purchase an aggregate of 86,000 and 1,942,595 shares of common stock, respectively, to its directors and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accounting and reporting requirements with respect to accounting for income taxes require an asset and liability approach.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income tax assets to the amount expected to be realized.</w:t>
      </w:r>
    </w:p>
    <w:p>
      <w:pPr>
        <w:spacing w:after="0" w:line="15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2018 and December 31, 2017. The Company is subject to income tax examinations by major taxing authorities for all tax years since 2013 and its tax returns may be subject to review and adjustment at a later date based on factors including, but not limited to, on-going analyses of and changes to tax laws, regulations and interpretations thereof. No interest expense or penalties have been recognized as of September 30, 2018 and December 31, 2017. During the three and nine months ended September 30, 2018 and 2017, the Company recognized no adjustments for uncertain tax positions.</w:t>
      </w: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December 22, 2017, the Tax Cuts and Jobs Act (the “TCJA”) was enacted, which included a reduction of the corporate income tax rate from 35% to 21%. This portion of the TCJA resulted in a reduction to the Company’s net deferred tax assets before valuation allowance of $17.2 million for the year ended December 31, 2017, with a corresponding $17.2 million reduction in the Company’s valuation allowance, resulting in no net impact to the Company’s tax provision. The Company expects to complete its analysis related to the TCJA and its impact on the Company’s consolidated financial statements, including the re-measurement of deferred tax assets and liabilities for the change in the corporate income tax rate, during the fourth quarter of 2018. However, the Company does not expect that the completion of this analysis will have a material impact on its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Modification Accounting for Share-Based Payment Arrangements</w:t>
      </w:r>
      <w:r>
        <w:rPr>
          <w:rFonts w:ascii="Arial" w:cs="Arial" w:eastAsia="Arial" w:hAnsi="Arial"/>
          <w:sz w:val="18"/>
          <w:szCs w:val="18"/>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Specifically, an entity would not apply modification accounting if the fair value, vesting conditions, and classification of the awards are the same immediately before and after the modification. Adoption of this new guidance in 2018 did not have a material impact on the Company’s condensed consolidated financial statements.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Based on the lease agreements the Company had in place as of September 30, 2018, and after giving effect to the Company’s obligation to transfer ownership of two of its plasma collection centers to Biotest on January 1, 2019 (see Note 3), the Company does not believe this new standard will have a material impact on its consolidated financial statements and related disclosures.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April 2016 and December 2016, the FASB issued ASU No. 2016-08, </w:t>
      </w:r>
      <w:r>
        <w:rPr>
          <w:rFonts w:ascii="Arial" w:cs="Arial" w:eastAsia="Arial" w:hAnsi="Arial"/>
          <w:sz w:val="17"/>
          <w:szCs w:val="17"/>
          <w:i w:val="1"/>
          <w:iCs w:val="1"/>
          <w:color w:val="auto"/>
        </w:rPr>
        <w:t>Revenue From Contracts with Customers (ASC 606): 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(ASC 606): Identifying Performance Obligations and Licensing</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w:t>
      </w:r>
      <w:r>
        <w:rPr>
          <w:rFonts w:ascii="Arial" w:cs="Arial" w:eastAsia="Arial" w:hAnsi="Arial"/>
          <w:sz w:val="17"/>
          <w:szCs w:val="17"/>
          <w:color w:val="auto"/>
        </w:rPr>
        <w:t>, respectively,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further clarify the implementation guidance on principal versus agent considerations contained in ASU No. 2014-09. In May 2016, the FASB issued ASU 2016-12,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narrow-scope improvements and practical expedients which provides clarification on assessing the collectability criterion, presentation of sales taxes, measurement date for non-cash consideration and completed contracts at transition. These standards became effective for the Company beginning in the first quarter of 2018.</w:t>
      </w:r>
    </w:p>
    <w:p>
      <w:pPr>
        <w:spacing w:after="0" w:line="27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340" w:right="640"/>
        <w:spacing w:after="0" w:line="342" w:lineRule="auto"/>
        <w:rPr>
          <w:sz w:val="20"/>
          <w:szCs w:val="20"/>
          <w:color w:val="auto"/>
        </w:rPr>
      </w:pPr>
      <w:r>
        <w:rPr>
          <w:rFonts w:ascii="Arial" w:cs="Arial" w:eastAsia="Arial" w:hAnsi="Arial"/>
          <w:sz w:val="16"/>
          <w:szCs w:val="16"/>
          <w:color w:val="auto"/>
        </w:rPr>
        <w:t>ADMA adopted the new revenue recognition standard and related updates effective January 1, 2018, using the modified retrospective method of adoption. Adoption of the new revenue recognition guidance did not have a material impact on the Company’s consolidated financial statements.</w:t>
      </w:r>
    </w:p>
    <w:p>
      <w:pPr>
        <w:spacing w:after="0" w:line="12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rFonts w:ascii="Arial" w:cs="Arial" w:eastAsia="Arial" w:hAnsi="Arial"/>
          <w:sz w:val="18"/>
          <w:szCs w:val="18"/>
          <w:b w:val="1"/>
          <w:bCs w:val="1"/>
          <w:color w:val="auto"/>
        </w:rPr>
      </w:pPr>
    </w:p>
    <w:p>
      <w:pPr>
        <w:ind w:left="34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June 6, 2017, ADMA completed the acquisition of the Biotest Assets from BPC. As a result of this transaction, the Company acquired Nabi-HB, BIVIGAM, the Boca Facility and certain other assets of BTBU. The acquisition of the Biotest Assets expanded the Company’s product offering with two FDA-approved products while providing direct control over the manufacturing and regulatory processes impacting the Company’s RI-002 product candidate, including remediation of the Warning Letter as well as certain other remediation matters affecting the Boca Facility. Pursuant to the acquisition, the Company issued to Biotest 4,295,580 voting shares of its common stock and 8,591,160 shares of non-voting common stock (the “NV Biotest Shares”). The Company will also transfer ownership of two of its plasma centers to Biotest on January 1, 2019 as additional consideration, which are reflected as non-current assets in the accompanying consolidated balance sheets at September 30, 2018 and December 31, 2017 in the amount of $1.2 million and $1.5 million, respectively.</w:t>
      </w:r>
    </w:p>
    <w:p>
      <w:pPr>
        <w:spacing w:after="0" w:line="192" w:lineRule="exact"/>
        <w:rPr>
          <w:rFonts w:ascii="Arial" w:cs="Arial" w:eastAsia="Arial" w:hAnsi="Arial"/>
          <w:sz w:val="18"/>
          <w:szCs w:val="18"/>
          <w:b w:val="1"/>
          <w:bCs w:val="1"/>
          <w:color w:val="auto"/>
        </w:rPr>
      </w:pPr>
    </w:p>
    <w:p>
      <w:pPr>
        <w:ind w:left="34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a result of the foregoing transaction, BPC became a principal stockholder and Biotest became a related party of the Company (see Note 9). Therefore, all transactions with Biotest subsequent to June 6, 2017, including product and license revenues attributable to Biotest (see Note 2), are related party transactions. The results from BTBU’s operations are included in the Company’s consolidated financial statements from the date of acquisition.</w:t>
      </w:r>
    </w:p>
    <w:p>
      <w:pPr>
        <w:spacing w:after="0" w:line="146" w:lineRule="exact"/>
        <w:rPr>
          <w:rFonts w:ascii="Arial" w:cs="Arial" w:eastAsia="Arial" w:hAnsi="Arial"/>
          <w:sz w:val="18"/>
          <w:szCs w:val="18"/>
          <w:b w:val="1"/>
          <w:bCs w:val="1"/>
          <w:color w:val="auto"/>
        </w:rPr>
      </w:pPr>
    </w:p>
    <w:p>
      <w:pPr>
        <w:jc w:val="both"/>
        <w:ind w:left="3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unaudited pro forma summary presents consolidated information of the Company as if the business combination had occurred on January 1, 2017. The pro forma information is presented for informational purposes only and is not necessarily indicative of the results of operations that would have been achieved had the acquisition been consummated as of that time or that may result in the future.</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476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September 30, 2017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September 30, 2017</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7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4,729,411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10,757,683</w:t>
            </w:r>
          </w:p>
        </w:tc>
      </w:tr>
      <w:tr>
        <w:trPr>
          <w:trHeight w:val="216"/>
        </w:trPr>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4,729,411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29,021,453</w:t>
            </w:r>
          </w:p>
        </w:tc>
      </w:tr>
      <w:tr>
        <w:trPr>
          <w:trHeight w:val="216"/>
        </w:trPr>
        <w:tc>
          <w:tcPr>
            <w:tcW w:w="4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7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(15,202,715)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(30,776,173)</w:t>
            </w:r>
          </w:p>
        </w:tc>
      </w:tr>
      <w:tr>
        <w:trPr>
          <w:trHeight w:val="216"/>
        </w:trPr>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(15,202,715)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(40,029,464)</w:t>
            </w:r>
          </w:p>
        </w:tc>
      </w:tr>
      <w:tr>
        <w:trPr>
          <w:trHeight w:val="216"/>
        </w:trPr>
        <w:tc>
          <w:tcPr>
            <w:tcW w:w="4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7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bl>
    <w:p>
      <w:pPr>
        <w:spacing w:after="0" w:line="202"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On May 14, 2018, the Company, ADMA BioManufacturing and ADMA Bio Centers entered into a Share Transfer, Amendment and Release Agreement with BPC, Biotest AG, Biotest US Corporation and The Biotest Divestiture Trust (the “Biotest Trust”) (the “Biotest Transfer Agreement”) whereby BPC transferred to the Company, for no cash consideration, the NV Biotest Shares. Immediately upon transfer of the NV Biotest Shares to the Company, the shares were retired and are no longer available for issuance. The retired NV Biotest Shares comprised approximately 19% of the total outstanding common stock of the Company as of May 14, 2018. In exchange for the transfer and retirement of the NV Biotest Shares, the Company (i) granted Biotest and its successors and assigns a release from all potential past, present and future indemnity claims arising under the Master Purchase and Sale Agreement, dated as of January 21, 2017, and (ii) relinquished its rights to, under certain circumstances, repurchase the two FDA-approved plasma collection centers required to be transferred to BPC on January 1, 2019. In addition, pursuant to the Biotest Transfer Agreement, BPC waived and terminated its rights to name a director and an observer to the Company’s Board of Directors (the “Board”). As BPC has made public statements regarding the U.S. Government required divestiture of all of BPC’s U.S. assets in connection with the sale of Biotest AG to CREAT Group Corporation, pursuant to the Biotest Transfer Agreement BPC transferred its remaining 10,109,534 shares of the Company’s common stock to the Biotest Trust on July 24, 2018, and the Biotest Trust is bound by all obligations of and has all of the remaining rights of BPC under that certain (i) Stockholders Agreement dated as of June 6, 2017, by and between the Company and BPC, as amended by the Biotest Transfer Agreement, and (ii) Registration Rights Agreement, dated as of June 6, 2017, by and between the Company and BPC, as amended by the Biotest Transfer Agreement. Furthermore, subject to the terms contained in the Biotest Transfer Agreement, for a 90-day period following BPC’s transfer of the remaining shares of ADMA common stock to the Biotest Trust, the Biotest Trust granted the Company a right of first negotiation for the purchase of the remaining shares of common stock held by the Biotest Trust, which right expired on October 22, 2018.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2017</w:t>
            </w:r>
          </w:p>
        </w:tc>
      </w:tr>
      <w:tr>
        <w:trPr>
          <w:trHeight w:val="210"/>
        </w:trPr>
        <w:tc>
          <w:tcPr>
            <w:tcW w:w="4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27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(3,846,457)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(4,631,542)</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Senior notes payable</w:t>
            </w:r>
          </w:p>
        </w:tc>
        <w:tc>
          <w:tcPr>
            <w:tcW w:w="2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26,153,543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25,368,458</w:t>
            </w:r>
          </w:p>
        </w:tc>
      </w:tr>
      <w:tr>
        <w:trPr>
          <w:trHeight w:val="20"/>
        </w:trPr>
        <w:tc>
          <w:tcPr>
            <w:tcW w:w="4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On October 10, 2017 (the “Marathon Closing Date”), the Company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evidenced by a secured promissory note (the “Tranche One Note”), and (ii) an additional term loan evidenced by a secured promissory note to be made in the maximum principal amount not to exceed $10.0 million (the “Tranche Two Note” and, together with the Tranche One Note, the “Notes”), which Tranche Two Note availability is subject to the satisfaction of certain conditions, including, but not limited to, those described below. The Notes each have a maturity date of April 10, 2022 (the “Maturity Date”), subject to acceleration pursuant to the Credit Agreement, including upon an Event of Default (as defined in the Credit Agreement).</w:t>
      </w:r>
    </w:p>
    <w:p>
      <w:pPr>
        <w:spacing w:after="0" w:line="197"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Borrowings under the Credit Agreement bear interest at a rate per annum equal to LIBOR plus 9.50% with a 1% LIBOR floor; provided, however, that in the event that the Company achieves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nine months ended September 30, 2018, the interest rate on the Tranche One Note ranged from 10.99% to 11.82%.</w:t>
      </w:r>
    </w:p>
    <w:p>
      <w:pPr>
        <w:spacing w:after="0" w:line="178"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will pay Marathon a facility fee in an amount equal to 9.20% of the amount of the Tranche One Note, payment of which is deferred until the Maturity Date pursuant to the terms of the Credit Agreement. Commencing on October 10, 2020, and on the first business day of each month, the Company is required to make principal payments on the Tranche One Note (and Tranche Two Note in the event it shall have been funded) in equal monthly installments over 18 months, subject to certain conditions in the Credit Agreement. The outstanding principal amount of the Notes, together with all accrued interest thereon, is due on the Maturity Date.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Credit Agreement contains market representations and warranties, affirmative covenants, negative covenants, financial covenants, and conditions that are customarily required for similar financings. The affirmative covenants, among other things, require the Company to undertake various reporting requirements. The negative covenants restrict or limit the ability of the Company and its subsidiaries to, among other things, incur new indebtedness; create liens on assets; engage in certain fundamental corporate changes or changes to the Company’s business activities; sell or otherwise dispose of assets; repurchase stock, pay dividends; repay certain other indebtedness; engage in certain affiliate transactions; or enter into any other agreements that restrict the Company’s ability to make loan repayments.</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Credit Agreement also required the establishment of a debt service reserve account, and the Company is required to maintain a certain minimum level of liquidity at all times. Liquidity is defined in the Credit Agreement as cash held in the debt service reserve account and any other deposit account subject to a control agreement with the Administrative Agent, and the required liquidity amount is reflected as restricted cash in the accompanying consolidated balance sheets as of September 30, 2018 and December 31, 2017. The minimum liquidity requirement was $4.0 million and $5.5 million as of September 30, 2018 and December 31, 2017, respectively. On May 31, 2018, the Credit Agreement was amended to reduce the minimum liquidity requirement to $5.25 million, and $250,000 was released from the debt service reserve account to the Company on June 25, 2018. On June 26, 2018, the Lender and the Administrative Agent acknowledged that the Company had met the requirements regarding its leased properties as set forth in Credit Agreement, and an additional $1.25 million was released from the debt service reserve account to the Company.</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accompanying consolidated balance sheets and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2017</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42,367,489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43,107,574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Restricted cash included in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1,500,000</w:t>
            </w: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long-term assets</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4,000,000</w:t>
            </w:r>
          </w:p>
        </w:tc>
      </w:tr>
      <w:tr>
        <w:trPr>
          <w:trHeight w:val="182"/>
        </w:trPr>
        <w:tc>
          <w:tcPr>
            <w:tcW w:w="6720" w:type="dxa"/>
            <w:vAlign w:val="bottom"/>
          </w:tcPr>
          <w:p>
            <w:pPr>
              <w:spacing w:after="0" w:line="182" w:lineRule="exact"/>
              <w:rPr>
                <w:sz w:val="20"/>
                <w:szCs w:val="20"/>
                <w:color w:val="auto"/>
              </w:rPr>
            </w:pPr>
            <w:r>
              <w:rPr>
                <w:rFonts w:ascii="Arial" w:cs="Arial" w:eastAsia="Arial" w:hAnsi="Arial"/>
                <w:sz w:val="18"/>
                <w:szCs w:val="18"/>
                <w:color w:val="auto"/>
                <w:w w:val="91"/>
              </w:rPr>
              <w:t>Total cash, cash equivalents and restricted cash as shown in the consolidated statements of</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57"/>
        </w:trPr>
        <w:tc>
          <w:tcPr>
            <w:tcW w:w="6720" w:type="dxa"/>
            <w:vAlign w:val="bottom"/>
          </w:tcPr>
          <w:p>
            <w:pPr>
              <w:spacing w:after="0"/>
              <w:rPr>
                <w:sz w:val="20"/>
                <w:szCs w:val="20"/>
                <w:color w:val="auto"/>
              </w:rPr>
            </w:pPr>
            <w:r>
              <w:rPr>
                <w:rFonts w:ascii="Arial" w:cs="Arial" w:eastAsia="Arial" w:hAnsi="Arial"/>
                <w:sz w:val="18"/>
                <w:szCs w:val="18"/>
                <w:color w:val="auto"/>
              </w:rPr>
              <w:t>cash flows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46,367,489</w:t>
            </w:r>
          </w:p>
        </w:tc>
        <w:tc>
          <w:tcPr>
            <w:tcW w:w="2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48,607,574</w:t>
            </w: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 At September 30, 2018 and December 31, 2017, the Company was in compliance with all of the covenants contained in its senior lending agreements.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Related Party Note Payable</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3"/>
        </w:trPr>
        <w:tc>
          <w:tcPr>
            <w:tcW w:w="6940" w:type="dxa"/>
            <w:vAlign w:val="bottom"/>
            <w:gridSpan w:val="2"/>
          </w:tcPr>
          <w:p>
            <w:pPr>
              <w:spacing w:after="0"/>
              <w:rPr>
                <w:sz w:val="20"/>
                <w:szCs w:val="20"/>
                <w:color w:val="auto"/>
              </w:rPr>
            </w:pPr>
            <w:r>
              <w:rPr>
                <w:rFonts w:ascii="Arial" w:cs="Arial" w:eastAsia="Arial" w:hAnsi="Arial"/>
                <w:sz w:val="18"/>
                <w:szCs w:val="18"/>
                <w:color w:val="auto"/>
              </w:rPr>
              <w:t>A summary of the outstanding related party note payable is as follows: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 2017</w:t>
            </w:r>
          </w:p>
        </w:tc>
      </w:tr>
      <w:tr>
        <w:trPr>
          <w:trHeight w:val="210"/>
        </w:trPr>
        <w:tc>
          <w:tcPr>
            <w:tcW w:w="6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Biotest - Gross proceeds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(157,604)</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Note payable - related party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14,865,981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14,842,396</w:t>
            </w:r>
          </w:p>
        </w:tc>
      </w:tr>
      <w:tr>
        <w:trPr>
          <w:trHeight w:val="20"/>
        </w:trPr>
        <w:tc>
          <w:tcPr>
            <w:tcW w:w="2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140"/>
        <w:spacing w:after="0" w:line="276" w:lineRule="auto"/>
        <w:rPr>
          <w:sz w:val="20"/>
          <w:szCs w:val="20"/>
          <w:color w:val="auto"/>
        </w:rPr>
      </w:pPr>
      <w:r>
        <w:rPr>
          <w:rFonts w:ascii="Arial" w:cs="Arial" w:eastAsia="Arial" w:hAnsi="Arial"/>
          <w:sz w:val="17"/>
          <w:szCs w:val="17"/>
          <w:color w:val="auto"/>
        </w:rPr>
        <w:t>In connection with the acquisition of the Biotest Assets (see Note 3), ADMA BioManufacturing issued a subordinated note payable to Biotest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all amounts outstanding under the Credit Agreement. In the event of default, all principal and unpaid interest is due on demand. The subordinated note also contains several non-financial covenants with which the Company was in compliance as of September 30, 2018.</w:t>
      </w:r>
    </w:p>
    <w:p>
      <w:pPr>
        <w:spacing w:after="0" w:line="173"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On July 20, 2018, in connection with the U.S. Government required divestiture of all of BPC’s U.S. assets in connection with the sale of Biotest AG to CREAT Group Corporation, Biotest AG, BPC, ADMA BioManufacturing and the Company entered into an Assignment and Assumption Agreement whereby BPC transferred to Biotest AG all of its obligations, rights, title and interest in the subordinated loan agreement under which the Company borrowed $15.0 million from BPC.</w:t>
      </w:r>
    </w:p>
    <w:p>
      <w:pPr>
        <w:spacing w:after="0" w:line="183" w:lineRule="exact"/>
        <w:rPr>
          <w:sz w:val="20"/>
          <w:szCs w:val="20"/>
          <w:color w:val="auto"/>
        </w:rPr>
      </w:pPr>
    </w:p>
    <w:p>
      <w:pPr>
        <w:ind w:left="340" w:right="8760" w:hanging="332"/>
        <w:spacing w:after="0" w:line="503"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2018 and December 31, 2017.</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September 30, 2018 and December 31, 2017, the Company was authorized to issue 75,000,000 shares of its common stock, and 46,351,243 and 36,725,499 shares of common stock, respectively, were outstanding. After giving effect to shares reserved for the issuance of warrants and stock options, as of September 30, 2018, 23,842,273 shares of common stock were available for issuance.</w:t>
      </w:r>
    </w:p>
    <w:p>
      <w:pPr>
        <w:spacing w:after="0" w:line="181" w:lineRule="exact"/>
        <w:rPr>
          <w:rFonts w:ascii="Arial" w:cs="Arial" w:eastAsia="Arial" w:hAnsi="Arial"/>
          <w:sz w:val="18"/>
          <w:szCs w:val="18"/>
          <w:b w:val="1"/>
          <w:bCs w:val="1"/>
          <w:color w:val="auto"/>
        </w:rPr>
      </w:pPr>
    </w:p>
    <w:p>
      <w:pPr>
        <w:ind w:left="340" w:right="5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14, 2018, pursuant to the Biotest Transfer Agreement, all 8,591,160 shares of the Company’s non-voting common stock (see Note 3) were transferred from Biotest to the Company and the shares were immediately retired and are no longer available for issuance.</w:t>
      </w:r>
    </w:p>
    <w:p>
      <w:pPr>
        <w:spacing w:after="0" w:line="146" w:lineRule="exact"/>
        <w:rPr>
          <w:rFonts w:ascii="Arial" w:cs="Arial" w:eastAsia="Arial" w:hAnsi="Arial"/>
          <w:sz w:val="18"/>
          <w:szCs w:val="18"/>
          <w:b w:val="1"/>
          <w:bCs w:val="1"/>
          <w:color w:val="auto"/>
        </w:rPr>
      </w:pPr>
    </w:p>
    <w:p>
      <w:pPr>
        <w:ind w:left="3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June 2018, the Company completed an underwritten public offering of 9,623,430 shares of common stock for gross proceeds of $46.0 million. The Company received net proceeds from this offering, after underwriters’ commissions and other offering expenses, of $42.9 million. The net proceeds have been and will continue to be used, among other things, (i) for continued remediation and ongoing improvements and enhancements at the Boca Facility, (ii) to submit the PAS for, and relaunch of, BIVIGAM, (iii) to resubmit the RI-002 BLA, (iv) for expenses associated with obtaining with FDA approval of ADMA’s third plasma collection facility, and (v) for general corporate purposes and other capital expenditures.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25"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2018 and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ind w:left="96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0" w:type="dxa"/>
            <w:vAlign w:val="bottom"/>
          </w:tcPr>
          <w:p>
            <w:pPr>
              <w:spacing w:after="0"/>
              <w:rPr>
                <w:sz w:val="1"/>
                <w:szCs w:val="1"/>
                <w:color w:val="auto"/>
              </w:rPr>
            </w:pPr>
          </w:p>
        </w:tc>
      </w:tr>
      <w:tr>
        <w:trPr>
          <w:trHeight w:val="515"/>
        </w:trPr>
        <w:tc>
          <w:tcPr>
            <w:tcW w:w="1680" w:type="dxa"/>
            <w:vAlign w:val="bottom"/>
          </w:tcPr>
          <w:p>
            <w:pPr>
              <w:spacing w:after="0"/>
              <w:rPr>
                <w:sz w:val="24"/>
                <w:szCs w:val="24"/>
                <w:color w:val="auto"/>
              </w:rPr>
            </w:pPr>
          </w:p>
        </w:tc>
        <w:tc>
          <w:tcPr>
            <w:tcW w:w="74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ADMA BIOLOGICS, INC. AND SUBSIDIARIES</w:t>
            </w:r>
          </w:p>
        </w:tc>
        <w:tc>
          <w:tcPr>
            <w:tcW w:w="9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74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6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940" w:type="dxa"/>
            <w:vAlign w:val="bottom"/>
            <w:gridSpan w:val="5"/>
          </w:tcPr>
          <w:p>
            <w:pPr>
              <w:ind w:left="5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4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5.8 - 6.3 years</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5.8 - 6.3 years</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Volatility</w:t>
            </w:r>
          </w:p>
        </w:tc>
        <w:tc>
          <w:tcPr>
            <w:tcW w:w="7200" w:type="dxa"/>
            <w:vAlign w:val="bottom"/>
            <w:gridSpan w:val="2"/>
          </w:tcPr>
          <w:p>
            <w:pPr>
              <w:jc w:val="center"/>
              <w:ind w:left="5370"/>
              <w:spacing w:after="0"/>
              <w:rPr>
                <w:sz w:val="20"/>
                <w:szCs w:val="20"/>
                <w:color w:val="auto"/>
              </w:rPr>
            </w:pPr>
            <w:r>
              <w:rPr>
                <w:rFonts w:ascii="Arial" w:cs="Arial" w:eastAsia="Arial" w:hAnsi="Arial"/>
                <w:sz w:val="18"/>
                <w:szCs w:val="18"/>
                <w:color w:val="auto"/>
                <w:w w:val="93"/>
              </w:rPr>
              <w:t>54-57%</w:t>
            </w:r>
          </w:p>
        </w:tc>
        <w:tc>
          <w:tcPr>
            <w:tcW w:w="2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58-64%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0" w:type="dxa"/>
            <w:vAlign w:val="bottom"/>
            <w:gridSpan w:val="2"/>
            <w:shd w:val="clear" w:color="auto" w:fill="CCEEFF"/>
          </w:tcPr>
          <w:p>
            <w:pPr>
              <w:jc w:val="center"/>
              <w:ind w:left="5370"/>
              <w:spacing w:after="0"/>
              <w:rPr>
                <w:sz w:val="20"/>
                <w:szCs w:val="20"/>
                <w:color w:val="auto"/>
              </w:rPr>
            </w:pPr>
            <w:r>
              <w:rPr>
                <w:rFonts w:ascii="Arial" w:cs="Arial" w:eastAsia="Arial" w:hAnsi="Arial"/>
                <w:sz w:val="18"/>
                <w:szCs w:val="18"/>
                <w:color w:val="auto"/>
                <w:w w:val="87"/>
              </w:rPr>
              <w:t>0.0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6"/>
              </w:rPr>
              <w:t>Risk-free interest rate</w:t>
            </w:r>
          </w:p>
        </w:tc>
        <w:tc>
          <w:tcPr>
            <w:tcW w:w="7200" w:type="dxa"/>
            <w:vAlign w:val="bottom"/>
            <w:gridSpan w:val="2"/>
          </w:tcPr>
          <w:p>
            <w:pPr>
              <w:jc w:val="center"/>
              <w:ind w:left="5390"/>
              <w:spacing w:after="0"/>
              <w:rPr>
                <w:sz w:val="20"/>
                <w:szCs w:val="20"/>
                <w:color w:val="auto"/>
              </w:rPr>
            </w:pPr>
            <w:r>
              <w:rPr>
                <w:rFonts w:ascii="Arial" w:cs="Arial" w:eastAsia="Arial" w:hAnsi="Arial"/>
                <w:sz w:val="18"/>
                <w:szCs w:val="18"/>
                <w:color w:val="auto"/>
                <w:w w:val="91"/>
              </w:rPr>
              <w:t>2.40-2.97%</w:t>
            </w:r>
          </w:p>
        </w:tc>
        <w:tc>
          <w:tcPr>
            <w:tcW w:w="220" w:type="dxa"/>
            <w:vAlign w:val="bottom"/>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1"/>
              </w:rPr>
              <w:t>1.60-2.29%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September 30, 2018 is 7.7 years. The weighted average remaining contractual life of stock options exercisable at September 30, 2018 is 6.2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3680" w:type="dxa"/>
            <w:vAlign w:val="bottom"/>
            <w:gridSpan w:val="5"/>
          </w:tcPr>
          <w:p>
            <w:pPr>
              <w:jc w:val="right"/>
              <w:ind w:right="9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14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990"/>
              <w:spacing w:after="0"/>
              <w:rPr>
                <w:sz w:val="20"/>
                <w:szCs w:val="20"/>
                <w:color w:val="auto"/>
              </w:rPr>
            </w:pPr>
            <w:r>
              <w:rPr>
                <w:rFonts w:ascii="Arial" w:cs="Arial" w:eastAsia="Arial" w:hAnsi="Arial"/>
                <w:sz w:val="18"/>
                <w:szCs w:val="18"/>
                <w:b w:val="1"/>
                <w:bCs w:val="1"/>
                <w:color w:val="auto"/>
              </w:rPr>
              <w:t>September 30, 2018</w:t>
            </w:r>
          </w:p>
        </w:tc>
      </w:tr>
      <w:tr>
        <w:trPr>
          <w:trHeight w:val="191"/>
        </w:trPr>
        <w:tc>
          <w:tcPr>
            <w:tcW w:w="7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7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7140" w:type="dxa"/>
            <w:vAlign w:val="bottom"/>
          </w:tcPr>
          <w:p>
            <w:pPr>
              <w:spacing w:after="0"/>
              <w:rPr>
                <w:sz w:val="20"/>
                <w:szCs w:val="20"/>
                <w:color w:val="auto"/>
              </w:rPr>
            </w:pPr>
          </w:p>
        </w:tc>
        <w:tc>
          <w:tcPr>
            <w:tcW w:w="1960" w:type="dxa"/>
            <w:vAlign w:val="bottom"/>
            <w:gridSpan w:val="2"/>
          </w:tcPr>
          <w:p>
            <w:pPr>
              <w:ind w:left="6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7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3,276,043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(46,285)</w:t>
            </w:r>
          </w:p>
        </w:tc>
        <w:tc>
          <w:tcPr>
            <w:tcW w:w="22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1,064,700</w:t>
            </w:r>
          </w:p>
        </w:tc>
        <w:tc>
          <w:tcPr>
            <w:tcW w:w="22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63"/>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period and expected to vest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4,278,324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r>
      <w:tr>
        <w:trPr>
          <w:trHeight w:val="197"/>
        </w:trPr>
        <w:tc>
          <w:tcPr>
            <w:tcW w:w="7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Options exercisable</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2,026,707</w:t>
            </w:r>
          </w:p>
        </w:tc>
        <w:tc>
          <w:tcPr>
            <w:tcW w:w="22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r>
      <w:tr>
        <w:trPr>
          <w:trHeight w:val="20"/>
        </w:trPr>
        <w:tc>
          <w:tcPr>
            <w:tcW w:w="7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2018, an aggregate of 1,959 option shares were exercised in cashless exercise transactions resulting in the issuance of an aggregate of 585 shares of common stock, and 1,729 option shares were exercised for cash. Stock-based compensation expense for the three and nine months ended September 30, 2018 and 2017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2017</w:t>
            </w:r>
          </w:p>
        </w:tc>
      </w:t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84,588</w:t>
            </w:r>
          </w:p>
        </w:tc>
        <w:tc>
          <w:tcPr>
            <w:tcW w:w="7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141,405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246,231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262,822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Plasma centers</w:t>
            </w: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7,836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22,682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36,288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444,651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331,946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1,245,702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726,062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40,506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113,141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27,798</w:t>
            </w:r>
          </w:p>
        </w:tc>
      </w:tr>
      <w:tr>
        <w:trPr>
          <w:trHeight w:val="230"/>
        </w:trPr>
        <w:tc>
          <w:tcPr>
            <w:tcW w:w="4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577,581</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505,730</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1,627,756</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1,052,970</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2018, the Company had $4.7 million of unrecognized compensation expense related to options granted under the Company’s equity incentive plans, which is expected to be recognized over a weighted-average period of 2.7 years.</w:t>
      </w:r>
    </w:p>
    <w:p>
      <w:pPr>
        <w:spacing w:after="0" w:line="27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2" w:right="239" w:bottom="1440" w:gutter="0" w:footer="0" w:header="0"/>
        </w:sectPr>
      </w:pPr>
    </w:p>
    <w:bookmarkStart w:id="20" w:name="page21"/>
    <w:bookmarkEnd w:id="20"/>
    <w:p>
      <w:pPr>
        <w:spacing w:after="0" w:line="200" w:lineRule="exact"/>
        <w:rPr>
          <w:sz w:val="20"/>
          <w:szCs w:val="20"/>
          <w:color w:val="auto"/>
        </w:rPr>
      </w:pPr>
    </w:p>
    <w:p>
      <w:pPr>
        <w:spacing w:after="0" w:line="273"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the components of inventories: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ind w:left="332" w:right="516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Raw materials Work-in-progress Finished goods 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-588010</wp:posOffset>
            </wp:positionV>
            <wp:extent cx="68776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-313690</wp:posOffset>
            </wp:positionV>
            <wp:extent cx="68776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411"/>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10,247,437</w:t>
            </w:r>
          </w:p>
        </w:tc>
        <w:tc>
          <w:tcPr>
            <w:tcW w:w="220" w:type="dxa"/>
            <w:vAlign w:val="bottom"/>
          </w:tcPr>
          <w:p>
            <w:pPr>
              <w:spacing w:after="0"/>
              <w:rPr>
                <w:sz w:val="24"/>
                <w:szCs w:val="24"/>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10,143,149</w:t>
            </w:r>
          </w:p>
        </w:tc>
      </w:tr>
      <w:tr>
        <w:trPr>
          <w:trHeight w:val="230"/>
        </w:trPr>
        <w:tc>
          <w:tcPr>
            <w:tcW w:w="22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1,440,168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1,265,339</w:t>
            </w:r>
          </w:p>
        </w:tc>
      </w:tr>
      <w:tr>
        <w:trPr>
          <w:trHeight w:val="230"/>
        </w:trPr>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2,189,829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1,219,693</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13,877,434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12,628,181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52" w:space="720"/>
            <w:col w:w="3940"/>
          </w:cols>
          <w:pgMar w:left="248" w:top="229" w:right="239" w:bottom="1440" w:gutter="0" w:footer="0" w:header="0"/>
        </w:sectPr>
      </w:pPr>
    </w:p>
    <w:p>
      <w:pPr>
        <w:spacing w:after="0" w:line="2" w:lineRule="exact"/>
        <w:rPr>
          <w:sz w:val="20"/>
          <w:szCs w:val="20"/>
          <w:color w:val="auto"/>
        </w:rPr>
      </w:pPr>
    </w:p>
    <w:p>
      <w:pPr>
        <w:ind w:left="332" w:right="180"/>
        <w:spacing w:after="0" w:line="257" w:lineRule="auto"/>
        <w:rPr>
          <w:sz w:val="20"/>
          <w:szCs w:val="20"/>
          <w:color w:val="auto"/>
        </w:rPr>
      </w:pPr>
      <w:r>
        <w:rPr>
          <w:rFonts w:ascii="Arial" w:cs="Arial" w:eastAsia="Arial" w:hAnsi="Arial"/>
          <w:sz w:val="18"/>
          <w:szCs w:val="18"/>
          <w:color w:val="auto"/>
        </w:rPr>
        <w:t>Inventories are stated at the lower of cost or net realizable value with cost being determined on the first-in, first-out method. Finished goods inventories as of September 30, 2018 is comprised of Nabi-HB, a portion of which is recorded at fair value as part of the purchase price allocation of the Biotest Assets acquired, and plasma collected at ADMA Bio Centers which is expected to be sold. Raw materials includes materials expected to be used in the production of Nabi-HB, BIVIGAM and RI-002. All other activities and materials associated with the production of inventories used in research and development activities are expensed as incurred.</w:t>
      </w:r>
    </w:p>
    <w:p>
      <w:pPr>
        <w:spacing w:after="0" w:line="184" w:lineRule="exact"/>
        <w:rPr>
          <w:sz w:val="20"/>
          <w:szCs w:val="20"/>
          <w:color w:val="auto"/>
        </w:rPr>
      </w:pPr>
    </w:p>
    <w:p>
      <w:pPr>
        <w:ind w:left="332" w:hanging="332"/>
        <w:spacing w:after="0"/>
        <w:tabs>
          <w:tab w:leader="none" w:pos="3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September 30, 2018 and December 31, 2017 consist of the following:</w:t>
      </w:r>
    </w:p>
    <w:p>
      <w:pPr>
        <w:spacing w:after="0" w:line="235"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00" w:type="dxa"/>
            <w:vAlign w:val="bottom"/>
            <w:gridSpan w:val="8"/>
          </w:tcPr>
          <w:p>
            <w:pPr>
              <w:ind w:left="40"/>
              <w:spacing w:after="0"/>
              <w:rPr>
                <w:sz w:val="20"/>
                <w:szCs w:val="20"/>
                <w:color w:val="auto"/>
              </w:rPr>
            </w:pPr>
            <w:r>
              <w:rPr>
                <w:rFonts w:ascii="Arial" w:cs="Arial" w:eastAsia="Arial" w:hAnsi="Arial"/>
                <w:sz w:val="18"/>
                <w:szCs w:val="18"/>
                <w:b w:val="1"/>
                <w:bCs w:val="1"/>
                <w:color w:val="auto"/>
              </w:rPr>
              <w:t>September 30, 2018</w:t>
            </w:r>
          </w:p>
        </w:tc>
        <w:tc>
          <w:tcPr>
            <w:tcW w:w="900" w:type="dxa"/>
            <w:vAlign w:val="bottom"/>
          </w:tcPr>
          <w:p>
            <w:pPr>
              <w:spacing w:after="0"/>
              <w:rPr>
                <w:sz w:val="20"/>
                <w:szCs w:val="20"/>
                <w:color w:val="auto"/>
              </w:rPr>
            </w:pPr>
          </w:p>
        </w:tc>
        <w:tc>
          <w:tcPr>
            <w:tcW w:w="248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w w:val="92"/>
              </w:rPr>
              <w:t>December 31, 2017</w:t>
            </w:r>
          </w:p>
        </w:tc>
      </w:tr>
      <w:tr>
        <w:trPr>
          <w:trHeight w:val="205"/>
        </w:trPr>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spacing w:after="0" w:line="205"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ind w:left="220"/>
              <w:spacing w:after="0" w:line="205" w:lineRule="exact"/>
              <w:rPr>
                <w:sz w:val="20"/>
                <w:szCs w:val="20"/>
                <w:color w:val="auto"/>
              </w:rPr>
            </w:pPr>
            <w:r>
              <w:rPr>
                <w:rFonts w:ascii="Arial" w:cs="Arial" w:eastAsia="Arial" w:hAnsi="Arial"/>
                <w:sz w:val="18"/>
                <w:szCs w:val="18"/>
                <w:b w:val="1"/>
                <w:bCs w:val="1"/>
                <w:color w:val="auto"/>
              </w:rPr>
              <w:t>Accumulated</w:t>
            </w:r>
          </w:p>
        </w:tc>
        <w:tc>
          <w:tcPr>
            <w:tcW w:w="960" w:type="dxa"/>
            <w:vAlign w:val="bottom"/>
            <w:tcBorders>
              <w:top w:val="single" w:sz="8" w:color="auto"/>
            </w:tcBorders>
          </w:tcPr>
          <w:p>
            <w:pPr>
              <w:spacing w:after="0"/>
              <w:rPr>
                <w:sz w:val="17"/>
                <w:szCs w:val="17"/>
                <w:color w:val="auto"/>
              </w:rPr>
            </w:pPr>
          </w:p>
        </w:tc>
      </w:tr>
      <w:tr>
        <w:trPr>
          <w:trHeight w:val="234"/>
        </w:trPr>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b w:val="1"/>
                <w:bCs w:val="1"/>
                <w:color w:val="auto"/>
              </w:rPr>
              <w:t>Amortization</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Net</w:t>
            </w:r>
          </w:p>
        </w:tc>
      </w:tr>
      <w:tr>
        <w:trPr>
          <w:trHeight w:val="182"/>
        </w:trPr>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Trademark and other intangible rights related to</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Nabi-HB</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$ 4,100,046</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780,961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8"/>
              </w:rPr>
              <w:t>$ 3,319,085</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$ 4,100,046</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341,670</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$ 3,758,376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907,421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172,842</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734,579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907,421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75,618</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831,803</w:t>
            </w: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914,575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161,982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817,386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259,171</w:t>
            </w:r>
          </w:p>
        </w:tc>
      </w:tr>
      <w:tr>
        <w:trPr>
          <w:trHeight w:val="223"/>
        </w:trPr>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$ 6,084,024</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1,868,378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$ 4,215,646</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$ 6,084,024</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1,234,674</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$ 4,849,350</w:t>
            </w: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80"/>
        <w:spacing w:after="0" w:line="312" w:lineRule="auto"/>
        <w:rPr>
          <w:sz w:val="20"/>
          <w:szCs w:val="20"/>
          <w:color w:val="auto"/>
        </w:rPr>
      </w:pPr>
      <w:r>
        <w:rPr>
          <w:rFonts w:ascii="Arial" w:cs="Arial" w:eastAsia="Arial" w:hAnsi="Arial"/>
          <w:sz w:val="16"/>
          <w:szCs w:val="16"/>
          <w:color w:val="auto"/>
        </w:rPr>
        <w:t>All of the Company’s intangible assets were acquired in the Biotest Transaction. Amortization expense related to these intangible assets for the three and nine months ended September 30, 2018 was $0.2 million and $0.6 million, respectively. Amortization expense for the three and nine months ended September 30, 2017 was $0.3 million. Estimated aggregate future aggregate amortization expense for the next five years is expected to be as follows:</w:t>
      </w:r>
    </w:p>
    <w:p>
      <w:pPr>
        <w:spacing w:after="0" w:line="161"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3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2019</w:t>
            </w:r>
          </w:p>
        </w:tc>
        <w:tc>
          <w:tcPr>
            <w:tcW w:w="3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844,938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715,352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715,352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715,352</w:t>
            </w:r>
          </w:p>
        </w:tc>
      </w:tr>
    </w:tbl>
    <w:p>
      <w:pPr>
        <w:spacing w:after="0" w:line="3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229" w:right="239" w:bottom="1440" w:gutter="0" w:footer="0" w:header="0"/>
          <w:type w:val="continuous"/>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and related accumulated depreciation are summarized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 2017</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7,386,573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7,148,405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1,598,565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1,086,756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1,136,623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1,136,623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1,460,984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738,093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1,650,029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1,642,903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15,670,559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15,660,559</w:t>
            </w:r>
          </w:p>
        </w:tc>
      </w:tr>
      <w:tr>
        <w:trPr>
          <w:trHeight w:val="210"/>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33,242,774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31,752,780</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(2,880,145)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(1,285,922)</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30,362,629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30,466,858</w:t>
            </w:r>
          </w:p>
        </w:tc>
      </w:tr>
      <w:tr>
        <w:trPr>
          <w:trHeight w:val="20"/>
        </w:trPr>
        <w:tc>
          <w:tcPr>
            <w:tcW w:w="7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3 to 10 years. Leasehold improvements are amortized over the lesser of the lease term or their estimated useful lives.</w:t>
      </w:r>
    </w:p>
    <w:p>
      <w:pPr>
        <w:spacing w:after="0" w:line="147"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The Company recorded depreciation expense on property and equipment for the three and nine months ended September 30, 2018 of $0.6 million and $1.9 million, respectively, which includes $0.1 million and $0.3 million, respectively, of depreciation expense on the plasma assets to be transferred (see Note 3). Depreciation expense for the three and nine months ended September 30, 2017 was $0.6 million and $0.9 million, respectively.</w:t>
      </w:r>
    </w:p>
    <w:p>
      <w:pPr>
        <w:spacing w:after="0" w:line="14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leases an office building and equipment from Areth, LLC (“Areth”) on a month-to-month basis pursuant to a shared services agreement, effective as of January 1, 2016, as amended effective September 25, 2017 and September 27, 2018 (the “Areth Agreement”). Monthly rent on this facility is $10,000. Rent expense under the Areth Agreement for the three and nine months ended September 30, 2018 was $30,000 and $90,000, respectively. Rent expense for the three and nine months ended September 30, 2017 was $48,000 and $144,000, respectively. Areth is a company controlled by Dr. Jerrold B. Grossman, the Company’s Vice Chairman of the Board, and Adam Grossman, the Company’s President and Chief Executive Officer.</w:t>
      </w:r>
    </w:p>
    <w:p>
      <w:pPr>
        <w:spacing w:after="0" w:line="158" w:lineRule="exact"/>
        <w:rPr>
          <w:rFonts w:ascii="Arial" w:cs="Arial" w:eastAsia="Arial" w:hAnsi="Arial"/>
          <w:sz w:val="18"/>
          <w:szCs w:val="18"/>
          <w:b w:val="1"/>
          <w:bCs w:val="1"/>
          <w:color w:val="auto"/>
        </w:rPr>
      </w:pPr>
    </w:p>
    <w:p>
      <w:pPr>
        <w:ind w:left="340" w:right="2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part of the Biotest Transaction, the Company issued a $15.0 million subordinated note payable to Biotest (see Note 4), and recognized interest expense on this note for the three and nine months ended September 30, 2018 in the amount of $0.2 and $0.7 million, respectively. Interest expense on this note for the three and nine months ended September 30, 2017 was $0.2 million and $0.3 million, respectively.</w:t>
      </w:r>
    </w:p>
    <w:p>
      <w:pPr>
        <w:spacing w:after="0" w:line="165" w:lineRule="exact"/>
        <w:rPr>
          <w:rFonts w:ascii="Arial" w:cs="Arial" w:eastAsia="Arial" w:hAnsi="Arial"/>
          <w:sz w:val="18"/>
          <w:szCs w:val="18"/>
          <w:b w:val="1"/>
          <w:bCs w:val="1"/>
          <w:color w:val="auto"/>
        </w:rPr>
      </w:pPr>
    </w:p>
    <w:p>
      <w:pPr>
        <w:jc w:val="both"/>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and nine months ended September 30, 2018 and 2017, the Company recognized revenues under its out-licensing agreements with Biotest of approximately $36,000 and $107,000, respectively. Deferred revenue of $2.6 million and $2.7 million as of September 30, 2018 and December 31, 2017, respectively, is related to these agreements.</w:t>
      </w:r>
    </w:p>
    <w:p>
      <w:pPr>
        <w:spacing w:after="0" w:line="181" w:lineRule="exact"/>
        <w:rPr>
          <w:rFonts w:ascii="Arial" w:cs="Arial" w:eastAsia="Arial" w:hAnsi="Arial"/>
          <w:sz w:val="18"/>
          <w:szCs w:val="18"/>
          <w:b w:val="1"/>
          <w:bCs w:val="1"/>
          <w:color w:val="auto"/>
        </w:rPr>
      </w:pPr>
    </w:p>
    <w:p>
      <w:pPr>
        <w:ind w:left="34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Biotest is the Company’s largest customer for the sale of normal source plasma. Plasma sales to Biotest for the three and nine months ended September 30, 2018 were $2.2 million and $7.0 million, respectively. For the three and nine months ended September 30, 2017, plasma sales to Biotest were $2.8 million and $7.3 million, respectively. Accounts receivable includes $1.0 million and $1.2 million due from Biotest as of September 30, 2018 and December 31, 2017, respectively. Additionally, Biotest is a supplier of plasma to ADMA. For the three and nine months ended September 30, 2018, the Company purchased $1.7 million and $2.5 million, respectively, of plasma from Biotest. Plasma purchases from Biotest for the three and nine months ended September 30, 2017 were $1.4 million and $1.7 million, respectively. Included in accounts payable is $1.8 million and $0.1 million due to Biotest as of September 30, 2018 and December 31, 2017, respectively. The following table summarizes the related party balances with Biotest: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ind w:left="34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15"/>
        </w:trPr>
        <w:tc>
          <w:tcPr>
            <w:tcW w:w="2820" w:type="dxa"/>
            <w:vAlign w:val="bottom"/>
          </w:tcPr>
          <w:p>
            <w:pPr>
              <w:spacing w:after="0"/>
              <w:rPr>
                <w:sz w:val="24"/>
                <w:szCs w:val="24"/>
                <w:color w:val="auto"/>
              </w:rPr>
            </w:pPr>
          </w:p>
        </w:tc>
        <w:tc>
          <w:tcPr>
            <w:tcW w:w="4980" w:type="dxa"/>
            <w:vAlign w:val="bottom"/>
            <w:gridSpan w:val="7"/>
          </w:tcPr>
          <w:p>
            <w:pPr>
              <w:jc w:val="center"/>
              <w:ind w:left="30"/>
              <w:spacing w:after="0"/>
              <w:rPr>
                <w:sz w:val="20"/>
                <w:szCs w:val="20"/>
                <w:color w:val="auto"/>
              </w:rPr>
            </w:pPr>
            <w:r>
              <w:rPr>
                <w:rFonts w:ascii="Arial" w:cs="Arial" w:eastAsia="Arial" w:hAnsi="Arial"/>
                <w:sz w:val="18"/>
                <w:szCs w:val="18"/>
                <w:b w:val="1"/>
                <w:bCs w:val="1"/>
                <w:color w:val="auto"/>
              </w:rPr>
              <w:t>ADMA BIOLOGICS, INC. AND SUBSIDIARIES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r>
        <w:trPr>
          <w:trHeight w:val="234"/>
        </w:trPr>
        <w:tc>
          <w:tcPr>
            <w:tcW w:w="914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r>
      <w:tr>
        <w:trPr>
          <w:trHeight w:val="210"/>
        </w:trPr>
        <w:tc>
          <w:tcPr>
            <w:tcW w:w="2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 and purchase of plasma</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2,207,312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2,808,640</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7,009,380</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7,262,915</w:t>
            </w: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2,529,788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1,735,640</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107,125</w:t>
            </w:r>
          </w:p>
        </w:tc>
        <w:tc>
          <w:tcPr>
            <w:tcW w:w="26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w:t>
            </w:r>
          </w:p>
        </w:tc>
        <w:tc>
          <w:tcPr>
            <w:tcW w:w="260" w:type="dxa"/>
            <w:vAlign w:val="bottom"/>
          </w:tcPr>
          <w:p>
            <w:pPr>
              <w:spacing w:after="0"/>
              <w:rPr>
                <w:sz w:val="18"/>
                <w:szCs w:val="18"/>
                <w:color w:val="auto"/>
              </w:rPr>
            </w:pPr>
          </w:p>
        </w:tc>
      </w:tr>
      <w:tr>
        <w:trPr>
          <w:trHeight w:val="459"/>
        </w:trPr>
        <w:tc>
          <w:tcPr>
            <w:tcW w:w="2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282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60" w:type="dxa"/>
            <w:vAlign w:val="bottom"/>
          </w:tcPr>
          <w:p>
            <w:pPr>
              <w:spacing w:after="0"/>
              <w:rPr>
                <w:sz w:val="21"/>
                <w:szCs w:val="21"/>
                <w:color w:val="auto"/>
              </w:rPr>
            </w:pPr>
          </w:p>
        </w:tc>
      </w:tr>
      <w:tr>
        <w:trPr>
          <w:trHeight w:val="22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1,005,971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1,245,677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1,791,354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139,939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314,820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14,865,981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14,842,396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292,500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2,582,908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2,690,033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-1234440</wp:posOffset>
            </wp:positionV>
            <wp:extent cx="20580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8035" cy="46291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-616585</wp:posOffset>
            </wp:positionV>
            <wp:extent cx="20580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8035" cy="15430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-307975</wp:posOffset>
            </wp:positionV>
            <wp:extent cx="20580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8035" cy="154305"/>
                    </a:xfrm>
                    <a:prstGeom prst="rect">
                      <a:avLst/>
                    </a:prstGeom>
                    <a:noFill/>
                  </pic:spPr>
                </pic:pic>
              </a:graphicData>
            </a:graphic>
          </wp:anchor>
        </w:drawing>
      </w:r>
    </w:p>
    <w:p>
      <w:pPr>
        <w:spacing w:after="0" w:line="182"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September 30, 2018 and December 31, 2017, approximately $20,000 and $0.3 million, respectively, was payable by the Company to BPC for services rendered and expenses incurred on behalf of the Company related to these agreements. This amount is reflected in accrued expenses in the accompanying consolidated balance sheets. The services component of amounts billed to the Company by BPC for the three months and nine months ended September 30, 2018 was not material to the Company’s consolidated financial statements.</w:t>
      </w:r>
    </w:p>
    <w:p>
      <w:pPr>
        <w:spacing w:after="0" w:line="166" w:lineRule="exact"/>
        <w:rPr>
          <w:sz w:val="20"/>
          <w:szCs w:val="20"/>
          <w:color w:val="auto"/>
        </w:rPr>
      </w:pPr>
    </w:p>
    <w:p>
      <w:pPr>
        <w:ind w:left="340" w:right="300"/>
        <w:spacing w:after="0" w:line="312" w:lineRule="auto"/>
        <w:rPr>
          <w:sz w:val="20"/>
          <w:szCs w:val="20"/>
          <w:color w:val="auto"/>
        </w:rPr>
      </w:pPr>
      <w:r>
        <w:rPr>
          <w:rFonts w:ascii="Arial" w:cs="Arial" w:eastAsia="Arial" w:hAnsi="Arial"/>
          <w:sz w:val="16"/>
          <w:szCs w:val="16"/>
          <w:color w:val="auto"/>
        </w:rPr>
        <w:t>Under the terms of the acquisition of the Biotest Assets, the Company will transfer ownership of two plasma collection centers to BPC on January 1, 2019. The Company has estimated the fair value of these assets to be $12.6 million, and the obligation to transfer these assets to Biotest is reflected in non-current liabilities in the accompanying consolidated balance sheet as of September 30, 2018 and December 31, 2017.</w:t>
      </w:r>
    </w:p>
    <w:p>
      <w:pPr>
        <w:spacing w:after="0" w:line="143" w:lineRule="exact"/>
        <w:rPr>
          <w:sz w:val="20"/>
          <w:szCs w:val="20"/>
          <w:color w:val="auto"/>
        </w:rPr>
      </w:pPr>
    </w:p>
    <w:p>
      <w:pPr>
        <w:ind w:left="340" w:right="7640" w:hanging="332"/>
        <w:spacing w:after="0" w:line="503"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Contract manufacturing agreement</w:t>
      </w:r>
    </w:p>
    <w:p>
      <w:pPr>
        <w:spacing w:after="0" w:line="225" w:lineRule="exact"/>
        <w:rPr>
          <w:rFonts w:ascii="Arial" w:cs="Arial" w:eastAsia="Arial" w:hAnsi="Arial"/>
          <w:sz w:val="18"/>
          <w:szCs w:val="18"/>
          <w:b w:val="1"/>
          <w:bCs w:val="1"/>
          <w:color w:val="auto"/>
        </w:rPr>
      </w:pPr>
    </w:p>
    <w:p>
      <w:pPr>
        <w:ind w:left="34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This contract, as amended from time to time,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3" w:name="page24"/>
    <w:bookmarkEnd w:id="2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2018.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is engaged in the manufacture, marketing and development of specialty plasma-derived biologics. The Company’s operating segments reflect the consummation of the Biotest Transaction on June 6, 2017 (see Notes 1 and 3), and the nature of its operations subsequent to the close of the transaction. The Company’s ADMA BioManufacturing segment reflects the Company’s immune globulin manufacturing and development operations in Boca Raton, FL, acquired on June 6, 2017 (see Note 3). The Plasma Collection Centers segment consists of three FDA-licensed source plasma collection facilities located in Georgia.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1,985,630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2,208,972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4,230,310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7,671,279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1,492,830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(10,214,933)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(10,470,343)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56,123,178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5,524,105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44,697,817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106,345,100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651,317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191,547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847,057</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2018</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5,796,597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7,025,144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26,334,602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4,717,917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31,052,519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(32,656,560)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(7,846,711)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(43,741,284)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(3,231,529)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(3,964,174)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(33,389,183)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(3,238,035)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(47,705,458)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772,339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504,255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1,922,448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581,059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2,522,496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1,879,921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2,813,782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9,552,128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1,738,988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11,291,116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(3,387,360)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(14,427,760)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(10,770,048)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(3,924,767)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(15,202,715)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55,452,496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3,517,274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13,843,710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72,813,480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723,098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836,071</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2,419,144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8,231,414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10,757,683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12,050,984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5,190,438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17,241,422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(13,650,801)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(28,766,631)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(13,950,336)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(15,204,473)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(30,776,173)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881,496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309,606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291,194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nine months ended September 30,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3,063,219</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1,217,524</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533,921</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1,363,563</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Equipment acquired through capital lease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165,644</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180"/>
              <w:spacing w:after="0"/>
              <w:rPr>
                <w:sz w:val="20"/>
                <w:szCs w:val="20"/>
                <w:color w:val="auto"/>
              </w:rPr>
            </w:pPr>
            <w:r>
              <w:rPr>
                <w:rFonts w:ascii="Arial" w:cs="Arial" w:eastAsia="Arial" w:hAnsi="Arial"/>
                <w:sz w:val="18"/>
                <w:szCs w:val="18"/>
                <w:color w:val="auto"/>
              </w:rPr>
              <w:t>Assets acquired through the issuance of common stock and liabilities assumed</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60,161,629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The following discussion,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2017, filed on March 29, 2018 (the “2017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ADMA Biologics, Inc. (the “Company”, “ADMA”, “we”, “us” or “our”) is a vertically integrated commercial biopharmaceutical company that manufactures, markets and develops specialty plasma-derived biologics for the treatment of Primary Immune Deficiency Disease (“PIDD”), and the prevention and treatment of certain infectious diseases. Our targeted patient populations include immune-compromised individuals who suffer from an underlying immune deficiency disorder or who may be immune-suppressed for medical reasons. We currently have two approved products: Nabi-HB, which is currently marketed and indicated for the treatment of acute exposure to blood containing Hepatitis B surface antigen (“HBsAg”); and BIVIGAM, which is indicated for the treatment of primary humoral immunodeficiency. We are also developing a pipeline of plasma-derived therapeutics, including our lead pipeline product candidate, RI-002, for the treatment of PIDD. RI-002 is currently under FDA review with a target action due date under the Prescription Drug User Fee Act (“PDUFA”) of April 2, 2019. Our products and product candidates are intended to be used by physician specialists focused on caring for immune-compromised patients with or at risk for certain infectious diseases. Through our wholly-owned subsidiary, ADMA Bio Centers Georgia, Inc. (“ADMA Bio Centers”), we operate three U.S. Food and Drug Administration (the “FDA”)-licensed source plasma collection facilities located in the United States, two of which are certified by the German Health Authority (“GHA”) and Korean Ministry of Food and Drug Safety (“KMFDS”).</w:t>
      </w:r>
    </w:p>
    <w:p>
      <w:pPr>
        <w:spacing w:after="0" w:line="17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June 6, 2017, we completed the acquisition of certain assets (the “Biotest Assets”) of the Therapy Business Unit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GHA. In addition to the manufacture and sale of Nabi-HB and BIVIGAM, we also provide contract manufacturing services for certain historical clients, including the sale of intermediate by-products. Immediately following the acquisition, the Biotest Assets were contributed into our subsidiary, ADMA BioManufacturing, LLC (“ADMA BioManufacturing”).</w:t>
      </w:r>
    </w:p>
    <w:p>
      <w:pPr>
        <w:spacing w:after="0" w:line="16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On May 14, 2018, we, ADMA BioManufacturing and ADMA Bio Centers entered into a Share Transfer, Amendment and Release Agreement with BPC, Biotest AG, Biotest US Corporation and The Biotest Divestiture Trust (the “Biotest Trust”) (the “Biotest Transfer Agreement”) whereby BPC transferred to us, for no cash consideration, 8,591,160 shares of our non-voting common stock, previously issued to BPC in connection with the Biotest Transaction and representing 100% of our issued and outstanding non-voting common stock (the “NV Biotest Shares”) and 19% of our total outstanding common stock, $0.0001 par value per share (the “Common Stock”), as of May 14, 2018. Immediately upon transfer of the NV Biotest Shares to us, the shares were retired and are no longer available for issuance. In exchange for the transfer and retirement of the NV Biotest Shares, we have (i) granted Biotest and its successors and assigns a release from all potential past, present and future indemnity claims arising under that certain Master Purchase and Sale Agreement, dated as of January 21, 2017 (as amended, restated, supplemented or otherwise modified from time to time, the “Purchase Agreement”), with BPC, and for certain limited purposes set forth in the Purchase Agreement, Biotest AG and Biotest US (together with Biotest AG, the “Biotest Guarantors”), and (ii) relinquished our rights to repurchase our two FDA-approved plasma collection centers required to be transferred to BPC on January 1, 2019. In addition, pursuant to the Biotest Transfer Agreement, BPC waived and terminated its rights to name a director and an observer to our Board of Directors (the “Board”). As BPC has made public statements regarding the U.S. Government required divestiture of all of BPC’s U.S. assets in connection with the sale of Biotest AG to CREAT Group Corporation, pursuant to the Biotest Transfer Agreement BPC, on July 24, 2018 BPC transferred its remaining 10,109,534 shares of our Common Stock to the Biotest Trust, and the Biotest Trust is bound by all obligations of and has all of the remaining rights of BPC under that certain (i) Stockholders Agreement dated as of June 6, 2017, by and between us and BPC, as amended by the Biotest Transfer Agreement, and (ii) Registration Rights Agreement, dated as of June 6, 2017, by and between us and BPC, as amended by the Biotest Transfer Agreement. Furthermore, subject to the terms contained in the Biotest Transfer Agreement, for a 90-day period following the date of the transfer of the remaining ADMA shares to the Biotest Trust, the Biotest Trust has granted us a right of first negotiation for the purchase of the remaining shares of Common Stock held by the Biotest Trust, which right expired on October 22, 2018.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Under our leadership, production of Nabi-HB at the Boca Facility resumed during the third quarter of 2017 and we continue to produce and release this product as demand indicates.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G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and a third conformance lot in the first quarter of 2018. We filed a Prior Approval Supplement (the “PAS”) with the FDA during the first half of 2018 to include the ADMA optimization improvements for BIVIGAM, and the PAS was accepted for review by the FDA in July 2018, and the Prescription Drug User Fee Act (“PDUFA”) target action date for the PAS is December 18, 2018. The BIVIGAM inventory of three conformance batches produced in the fourth quarter of 2017 and the first quarter of 2018 was used in connection with, and as the basis for, the prepared and submitted PAS. Upon FDA approval of the PAS, we anticipate being in a position to relaunch BIVIGAM during the first half of 2019, at which time we believe the conformance lots currently in inventory can be labeled and released for commercial sale. The anticipated relaunch of BIVIGAM is dependent upon the timing of certain FDA decisions, production slots available with our contract fill/finish provider, approvals that may need to be obtained for product labeling as well as other commercial requirements and regulatory factors.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Pipeline Product Candidate – RI-002</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currently developing our lead pipeline product candidate, RI-002, for the treatment of PIDD, and have completed a pivotal Phase III clinical trial, which met the primary endpoint of no Serious Bacterial Infections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IgG from this blended plasma pool resulting in a final IVIG product enriched with naturally occurring polyclonal anti-pathogen antibodies, such as streptococcus pneumonia, H. influenza type B, Cytomegalovirus, measles and tetanus. We use our proprietary RSV microneutralization assay to test for standardized levels of neutralizing antibodies to RSV in the final drug product.</w:t>
      </w:r>
    </w:p>
    <w:p>
      <w:pPr>
        <w:spacing w:after="0" w:line="16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Prior to the closing of the Biotest Transaction, BTBU was our third-party manufacturer for RI-002. In the third quarter of 2015, the FDA accepted for review our Biologics License Application (“BLA”) for RI-002 (the “RI-002 BLA”) for the treatment of PIDD. In July 2016, the FDA issued a Complete Response Letter (the “CRL”), which reaffirmed the issues set forth in the November 2014 Warning Letter that had been issued by the FDA to Biotest related to certain issues identified at the Boca Facility (the “Warning Letter”), but did not cite any concerns with the clinical safety or efficacy data for RI-002 submitted in our RI-002 BLA, nor did the FDA request any additional clinical studies be completed prior to FDA approval of RI-002. The FDA identified in the CRL, among other things, certain outstanding inspection issues and deficiencies related to Chemistry, Manufacturing and Controls and Good Manufacturing Practices at the Boca Facility and at certain of our third-party vendors, and requested documentation of corrections for a number of these issues. The FDA indicated in the CRL that it cannot grant final approval of our RI-002 BLA until, among other things, these deficiencies are resolved. Upon the completion of the Biotest Transaction, we gained control over the regulatory, quality, general operations and drug substance manufacturing process and our highest priority has been to remediate the outstanding compliance issues that were identified at the Boca Facility in the Warning Letter.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Status Update for RI-002 CRL Response and BLA Resubmission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been working with a consulting firm consisting of quality management systems and biologics production subject matter experts in order to improve the FDA inspection classification relative to the Warning Letter compliance issues as indicated in the CRL. Based on official communication received in an Establishment Inspection Report from the FDA in July 2018 following the April 2018 FDA compliance inspection of the Boca Facility, we have determined that the April 2018 inspection has been successfully closed out and the site’s compliance status has subsequently been improved to Voluntary Action Indicated (“VAI”), as indicated on the FDA’s website inspection database. We believe that this VAI compliance classification is acceptable for the FDA to grant approvals for new applications. As such, we responded to the CRL and resubmitted the RI-002 BLA on September 28, 2018. As part of the RI-002 BLA resubmission, we produced three conformance batches of inventory during the first quarter of 2018, which was used in connection with such BLA submission. We believe that this RI-002 inventory can be used for commercial sale once the RI-002 BLA is approved by the FDA. In October of 2018, the FDA acknowledged receipt of our RI-002 BLA resubmission and set a target action date under PDUFA of April 2, 2019. Upon approval of the RI-002 BLA by the FDA, we intend to commercialize RI-002 with a full commercial launch anticipated for the second half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Facilities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ADMA Bio Centers, our wholly-owned subsidiary, currently operates three FDA-licensed source plasma collection facilities located in the United States, two of which are GHA and KMFDS-certified. ADMA Bio Centers provides us with a portion of our blood plasma for the manufacture of our products and product candidates.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United States, and other locations where we are approved globally under supply agreements or in the open “spot” market. As part of the purchase price to acquire the Biotest Assets, we agreed to transfer ownership of two of our plasma collection facilities to BPC on January 1, 2019.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178"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summarized accounting policies and their application are considered to be critical to understanding our business operations, financial condition and results of operations.</w:t>
      </w:r>
    </w:p>
    <w:p>
      <w:pPr>
        <w:ind w:right="280"/>
        <w:spacing w:after="0" w:line="261" w:lineRule="auto"/>
        <w:rPr>
          <w:sz w:val="20"/>
          <w:szCs w:val="20"/>
          <w:color w:val="auto"/>
        </w:rPr>
      </w:pPr>
      <w:r>
        <w:rPr>
          <w:rFonts w:ascii="Arial" w:cs="Arial" w:eastAsia="Arial" w:hAnsi="Arial"/>
          <w:sz w:val="18"/>
          <w:szCs w:val="18"/>
          <w:color w:val="auto"/>
        </w:rPr>
        <w:t>For a detailed discussion on the application of these and our other accounting policies, see Note 2 to the Consolidated Financial Statements included in the 2017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Revenues for the three and nine months ended September 30, 2018 are comprised of (i) revenues from Nabi-HB, (ii) product revenues from the sale of human plasma collected from our plasma collection centers segment; and (iii) license and other revenues primarily attributable to the out-licensing of RI-002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for a period of approximately 22 years, the term of the Biotest license agreement.</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For the nine months ended September 30, 2018, three customers represented an aggregate of 90% of our consolidated revenues, with BPC, Amerisource Bergen (“AB”) and McKesson Corporation (“McKesson”) representing 54%, 16% and 20%, respectively, of the Company’s consolidated revenues. For the nine months ended September 30, 2017, sales to BPC represented 68% of the Company’s consolidated revenues, and sales to SK Plasma Co., Ltd. (“SK”) represented 8% of our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Accounts receivable are reported at realizable value, net of allowances for contractual credits and doubtful accounts, which are recognized in the period the related revenue is recorded. At September 30, 2018, four customers represented an aggregate of 93% of our total accounts receivable, with McKesson, AB, BPC and Sanofi Pasteur S.A. (“Sanofi”) representing approximately 35%, 25%, 22% and 11%, respectively, of our consolidated accounts receivable. At December 31, 2017, Sanofi and BPC represented 48% and 30%, respectively, of our total accounts receivable.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three and nine months ended September 30, 2018 of approximately $0.1 million and $1.3 million, respectively, are expensed as incurred and are reflected in cost of product revenue. In addition, for the nine months September 30, 2018, all operating expenses associated with the Boca Facility, other than the limited Nabi-HB production that was capitalized into inventory, were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During the three and nine months ended September 30, 2018, we granted options to purchase an aggregate of 61,800 and 1,044,700 shares of Common Stock, respectively, to our directors and employees, and during the nine months ended September 30, 2018, we granted options to purchase 20,000 shares of Common Stock to a third party service provider. During the three and nine months ended September 30, 2017, we granted options to purchase an aggregate of 86,000 and 1,942,595 shares of Common Stock, respectively, to our directors and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and development (“R&amp;D”) costs are expensed as incurred, including costs associated with (i) planning and conducting clinical trials;</w:t>
      </w:r>
    </w:p>
    <w:p>
      <w:pPr>
        <w:spacing w:after="0" w:line="46" w:lineRule="exact"/>
        <w:rPr>
          <w:sz w:val="20"/>
          <w:szCs w:val="20"/>
          <w:color w:val="auto"/>
        </w:rPr>
      </w:pPr>
    </w:p>
    <w:p>
      <w:pPr>
        <w:ind w:right="40" w:firstLine="8"/>
        <w:spacing w:after="0" w:line="261"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plasma storage and transportation costs for RI-002 (iii) quality testing, validation, regulatory consulting and filing fees; and (iv) employees’ compensation expenses directly related to R&amp;D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and nine months ended September 30, 2018 and 2017, we determined that there was no impairment of our long-lived assets.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its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nine months ended September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April 5, 2012, the Jumpstart Our Business Startups Act (the “JOBS Act”) was signed into law. The JOBS Act contains provisions that, among other things, reduce certain reporting requirements for qualifying public companies. We could be an emerging growth company until December 31, 2018, which is the last day of the fiscal year following the fifth anniversary of the first sale of our common equity securities pursuant to an effective registration statement under the Securities Act of 1933, as amended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 As an “emerging growth company,” we may, under Section 7(a)(2)(B) of the Securities Act, delay adoption of new or revised accounting standards applicable to public companies until such standards would otherwise apply to private companies. We may take advantage of this extended transition period until the first to occur of the date that we (i) are no longer an “emerging growth company” or (ii) affirmatively and irrevocably opt out of this extended transition period.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auditors provide an attestation report on our internal control over financial reporting.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May 2017, the Financial Accounting Standards Board (the “FASB”) issued Accounting Standards Update (“ASU”) No. 2017-09, </w:t>
      </w:r>
      <w:r>
        <w:rPr>
          <w:rFonts w:ascii="Arial" w:cs="Arial" w:eastAsia="Arial" w:hAnsi="Arial"/>
          <w:sz w:val="17"/>
          <w:szCs w:val="17"/>
          <w:i w:val="1"/>
          <w:iCs w:val="1"/>
          <w:color w:val="auto"/>
        </w:rPr>
        <w:t>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Share-Based Payment Arrangements</w:t>
      </w:r>
      <w:r>
        <w:rPr>
          <w:rFonts w:ascii="Arial" w:cs="Arial" w:eastAsia="Arial" w:hAnsi="Arial"/>
          <w:sz w:val="17"/>
          <w:szCs w:val="17"/>
          <w:color w:val="auto"/>
        </w:rPr>
        <w:t>, which amends the scope of modification accounting for share-based payment arrangements.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provides guidance on the types of changes to the terms or conditions of share-based payment awards to which an entity would be required to apply modification accounting under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Specifically, an entity would not apply modification accounting if the fair value, vesting conditions, and classification of the awards are the same immediately before and after the modification. Adoption of this new guidance in 2018 did not have a material impact on our condensed consolidated financial statements.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Based on the lease agreements we had in place as of September 30, 2018, and after giving effect to our obligation to transfer ownership of two of our plasma collection centers to BPC on January 1, 2019 (see Note 3 to the consolidated financial statements), we do not believe this new standard will have a material impact on our consolidated financial statements and related disclosures.</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April 2016 and December 2016, the FASB issued ASU No. 2016-08, </w:t>
      </w:r>
      <w:r>
        <w:rPr>
          <w:rFonts w:ascii="Arial" w:cs="Arial" w:eastAsia="Arial" w:hAnsi="Arial"/>
          <w:sz w:val="18"/>
          <w:szCs w:val="18"/>
          <w:i w:val="1"/>
          <w:iCs w:val="1"/>
          <w:color w:val="auto"/>
        </w:rPr>
        <w:t>Revenue From Contracts with Customers (ASC 606):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Versus Agent Considerations</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(ASC 606</w:t>
      </w:r>
      <w:r>
        <w:rPr>
          <w:rFonts w:ascii="Arial" w:cs="Arial" w:eastAsia="Arial" w:hAnsi="Arial"/>
          <w:sz w:val="18"/>
          <w:szCs w:val="18"/>
          <w:color w:val="auto"/>
        </w:rPr>
        <w:t>)</w:t>
      </w:r>
      <w:r>
        <w:rPr>
          <w:rFonts w:ascii="Arial" w:cs="Arial" w:eastAsia="Arial" w:hAnsi="Arial"/>
          <w:sz w:val="18"/>
          <w:szCs w:val="18"/>
          <w:i w:val="1"/>
          <w:iCs w:val="1"/>
          <w:color w:val="auto"/>
        </w:rPr>
        <w:t>: Identifying Performance Obligations and Licensing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ASU No.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xml:space="preserve">, respectively, which further clarify the implementation guidance on principal versus agent considerations contained in ASU No. 2014-09. In May 2016, the FASB issued ASU 2016-12,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narrow-scope improvements and practical expedients that provide clarification on assessing the collectability criterion,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sales taxes, measurement date for non-cash consideration and completed contracts at transition. These standards became effective for the Company in the first quarter of 2018.</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adopted the new standard and related updates effective January 1, 2018, using the modified retrospective method of adoption. Adoption of the new revenue recognition guidance did not have a material impact on our condensed consolidated financial statements.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2018, our third fiscal quarter, compared to the three months ended September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4,230,310</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4,729,411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9,164,109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11,291,116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(2,127,007)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(6,561,705)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1,317,234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1,814,069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1,973,338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1,582,694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273,828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5,355,794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4,195,464</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(13,791,400)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(14,427,760)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(782,969)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58,390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8,014</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(15,135,485)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(15,202,715)</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recorded total revenues of $4.2 million during the three months ended September 30, 2018, as compared to $4.7 million during the three months ended September 30, 2017, a decrease of $0.5 million, or approximately 11%. The decrease is due to a $0.6 million decrease in source plasma revenue from our ADMA Bio Centers operations, which was partially offset by a $0.1 million increase in Nabi-HB revenue. The decrease in source plasma revenue is mainly due to the timing of shipments to certain customers in accordance with their agreements with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Cost of product revenue was $9.2 million for the three months ended September 30, 2018, as compared to $11.3 million for the three months ended September 30, 2017, a decrease of $2.1 million. The decrease is mainly due to a $1.8 million reduction in facility remediation costs, as the compliance status of the Boca Facility was upgraded as a result of the FDA inspection that took place in April 2018. In addition, we experienced a $0.7 million decrease in cost of product revenue related to Nabi-HB, as the Nabi-HB inventory sold in the third quarter of 2017 was carried at a higher value as a result of the Biotest Transaction (see Note 6 to the consolidated financial statements), resulting in higher cost of revenue in 2017. These decrease in cost of product revenue were partially offset by an increase in unabsorbed manufacturing costs related to the Boca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R&amp;D expenses totaled $1.3 million for the three months ended September 30, 2018, as compared to $1.8 million for the three months ended September 30, 2017. The decrease is primarily due to fewer employees associated with R&amp;D activities as we continue to focus more of our business on commercial operations in 2018 as compared to 2017. As a result of the Biotest Transaction, a number of ADMA employees that were previously contributing in R&amp;D functions are now contributing more of their time to an FDA-approved facility generating commercial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Plasma center operating expenses were $2.0 million for the three months ended September 30, 2018, as compared to $1.6 million for the three months ended September 30, 2017. Plasma center operating expenses consist of: general and administrative plasma center costs; overhead comprised of rent, maintenance, utilities, wages, stock-based compensation and benefits for center staff; plasma collection supplies, plasma transportation and storage (off-site); advertising and promotion expenses; and computer software fees related to donor collections. The increase in plasma center operating expenses is mainly attributable to the opening of our third plasma center in Kennesaw, GA in December 2017.</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(see Note 3 to the consolidated financial statements), and was $0.2 million for the three months ended September 30, 2018, as compared to $0.3 million for the three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Selling, general and administrative (“SG&amp;A”) expenses were $5.4 million for the three months ended September 30, 2018, an increase of $1.2 million from the three months ended September 30, 2017. The increase was primarily due to increased headcount and related expenses of approximately $0.6 million, increased legal and professional fees of $0.2 million, branded prescription drug fees in 2018 of $0.2 million, an increase in insurance expense of $0.1 million and increased marketing costs in preparation for commercialization of BIVIGAM and RI-002 of $0.1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Our operating loss was $13.8 million for the three months ended September 30, 2018, as compared to $14.4 million for the three months ended September 30, 2017. The decrease in operating loss was mainly due to the reductions in cost of product revenue and R&amp;D expenses, partially offset by increased SG&amp;A and plasma center operating expenses and lower total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Interest expense was $1.4 million for the three months ended September 30, 2018, as compared to $0.8 million for the three months ended September 30, 2017. The increase is due to higher outstanding debt in 2018 resulting from the refinancing of our senior debt in the fourth quarter of 2017 (see “Liquidity and Capital Resources”), as well as the increase in the interest rate on our senior debt and an increase in amortization of debt discount.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net loss was $15.1 million for the three months ended September 30, 2018, as compared to $15.2 million for the three months ended September 30, 2017, as the improvement in operating loss was offset by the increase in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Biotest Transaction, our operating results include the results of BTBU effective as of June 6, 2017. Therefore, our results of operations for the nine months ended September 30, 2018 are not comparable to the results of operations for the nine months ended September 30, 2017. The following table presents a summary of the changes in our results of operations for the nine months ended September 30, 2018 compared to the nine months ended September 30, 2017: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spacing w:after="0"/>
              <w:rPr>
                <w:rFonts w:ascii="Arial" w:cs="Arial" w:eastAsia="Arial" w:hAnsi="Arial"/>
                <w:sz w:val="14"/>
                <w:szCs w:val="14"/>
                <w:i w:val="1"/>
                <w:iCs w:val="1"/>
                <w:color w:val="0000EE"/>
                <w:w w:val="94"/>
              </w:rPr>
            </w:pPr>
            <w:hyperlink w:anchor="page2">
              <w:r>
                <w:rPr>
                  <w:rFonts w:ascii="Arial" w:cs="Arial" w:eastAsia="Arial" w:hAnsi="Arial"/>
                  <w:sz w:val="14"/>
                  <w:szCs w:val="14"/>
                  <w:i w:val="1"/>
                  <w:iCs w:val="1"/>
                  <w:color w:val="0000EE"/>
                  <w:w w:val="94"/>
                </w:rPr>
                <w:t>Table of Contents</w:t>
              </w:r>
            </w:hyperlink>
          </w:p>
        </w:tc>
      </w:tr>
      <w:tr>
        <w:trPr>
          <w:trHeight w:val="534"/>
        </w:trPr>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12,928,866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10,757,683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2,171,183</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31,052,519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17,241,422</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13,811,097</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(18,123,653)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(6,483,739)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(11,639,914)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4,071,040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4,365,205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(294,165)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5,545,240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4,662,340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633,704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346,849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286,855</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15,367,647</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12,908,498</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2,459,149</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(43,741,284)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(28,766,631)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(14,974,653)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(4,084,815)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(2,043,982)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(2,040,833)</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120,641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34,440</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86,201</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(47,705,458)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(30,776,173)</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(16,929,285)</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Revenues for the nine months ended September 30, 2018 were $12.9 million, as compared to $10.8 million during the nine months ended September 30, 2017, an increase of $2.2 million, or approximately 20%. The increase is due to an increase in revenue attributable to the assets acquired in the Biotest Transaction of $3.4 million, partially offset by a decrease in product revenue attributable to our plasma collection centers of $1.2 million due to the timing of shipments to certain customers, and to increased competition from other local plasma donation centers which have opened in close proximity to our more established centers.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Cost of product revenue was $31.1 million for the nine months ended September 30, 2018, as compared to $17.2 million for the nine months ended September 30, 2017. The increase is mainly attributable to our acquisition of the Boca Facility in June 2017, while our 2018 results include a full nine months of operating activities at the Boca Facility. As a result, we experienced a $10.4 million increase in unabsorbed manufacturing costs related to the Boca Facility in 2018 as compared to 2017. We also incurred approximately $2.9 million of costs related to the production of RI-002 and $1.5 million of costs related to the production of BIVIGAM and the related intermediates, partially offset by lower facility remediation expenses in the amount of $0.9 million.</w:t>
      </w:r>
    </w:p>
    <w:p>
      <w:pPr>
        <w:spacing w:after="0" w:line="15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Although we expect that the BIVIGAM and RI-002 conformance lots produced in 2017 and 2018 will be approved by the FDA and released for commercial sale, due to uncertainties at the time this inventory was produced surrounding the Warning Letter, the PAS related to improvements in the manufacturing process and the RI-002 BLA that must be approved by the FDA prior to this inventory being available for commercial release and sale, we have not capitalized these costs into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R&amp;D expenses totaled $4.1 million for the nine months ended September 30, 2018, as compared to $4.4 million for the nine months ended September 30, 2017. The decrease is due to fewer employees whose activities are associated with R&amp;D activities as we continue to focus more of our business on commercial operations in 2018 compared to 2017, partially offset by increased testing expense related to RI-002.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Plasma center expenses were $5.5 million for the nine months ended September 30, 2018, as compared to $4.7 million for the nine months ended September 30, 2017. The increase is mainly attributable to the opening of our third plasma center in Kennesaw, GA in December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SG&amp;A expenses were $15.4 million for the nine months ended September 30, 2018, an increase of $2.5 million from the nine months ended September 30, 2017. The increase reflects a full nine months of operations at the Boca Facility, as compared to four months of operating activity at the Boca Facility in 2017, resulting in higher expenses of $6.3 million, partially offset by $3.9 million of 2017 acquisition transaction expenses not present in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Amortization expense was $0.6 million for the nine months ended September 30, 2018, as compared to $0.3 million for the nine months ended September 30, 2017, and reflects nine months of expense in 2018 and four months of expense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operating loss was $43.7 million for the nine months ended September 30, 2018, as compared to $28.8 million for the nine months ended September 30, 2017. The increase in operating loss was mainly due to the $13.8 million increase in cost of product revenue associated with the Boca Facility and, to a lesser extent, the increases in other operating expenses, partially offset by the $2.2 million increase in total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Interest expense was $4.1 million for the nine months ended September 30, 2018, as compared to $2.0 million for the nine months ended September 30, 2017. The increase is due to higher outstanding debt in 2018 resulting from the refinancing of our senior debt in the fourth quarter of 2017 and the $15.0 million note issued to BPC in June 2017, as well as the increase in the interest rate on our senior debt and increased amortization of debt discount.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net loss was $47.7 million for the nine months ended September 30, 2018, as compared to $30.8 million for the nine months ended September 30, 2017, an increase of $16.9 million, which is mainly due to the increase in operating loss and, to a lesser extent, the increase in interest expense.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September 30, 2018, we had working capital of $52.6 million, including cash and cash equivalents of $42.4 million, and stockholders’ equity of $37.2 million, as compared to working capital of $53.7 million, including cash and cash equivalents of $43.1 million, and stockholders’ equity of $40.3 million as of December 31, 2017. We have had limited revenue from operations and have incurred an accumulated deficit of $198.4 million since inception. For the nine months ended September 30, 2018 and 2017, we had negative cash flows from operations of $43.9 million and $23.9 million, respectively, and for the years ended December 31, 2017 and 2016 we had negative cash flows from operations of $37.3 million and $18.3 million, respectively. We have funded our operations to date primarily from the sale of our equity and debt securities, acquisition proceeds from the Biotest Transaction and loans from our principal stockholders.</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to continue to spend substantial amounts on product development, quality assurance, regulatory affairs, procurement of raw material plasma, manufacturing, marketing, sales and conducting clinical trials for our product candidates and purchasing clinical trial materials from our suppliers, some of which may be required by the FDA. We currently anticipate, based upon our projected revenue and expenditures, that our cash, cash equivalents, projected revenue and accounts receivable, along with the $10.0 million we are able to access under the Credit Agreement (as defined below), will be sufficient to fund our operations, as currently conducted, into the second quarter of 2019. In order to have sufficient cash to fund our operations thereafter and to continue as a going concern, we will need to raise additional capital prior to the end of the second quarter of 2019. This time frame may change based upon how quickly we are able to execute on our quality management systems’ enhancement plans for the ADMA BioManufacturing operations, commercial manufacturing ramp-up activities and the various financing options available to us. We currently have no firm commitments for additional financing, and we cannot provide any assurance that we will be able to secure additional financing on terms that are acceptable to us, or at all. 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Furthermore, if the assumptions underlying our estimated expenses are incorrect, we may have to raise additional capital sooner than anticipated. Because of numerous risks and uncertainties associated with the research and development and potential future commercialization of our product candidates, we are unable to estimate with certainty the amounts of increased capital outlays and operating expenditures associated with our anticipated clinical trials and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the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178"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Our long-term liquidity depends upon our ability to raise additional capital, fund our research and development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have been and will continue to be used, among other things, (i) for continued remediation and ongoing improvement and enhancements at the Boca Facility, (ii) to submit the PAS for, and relaunch of, BIVIGAM, (iii) to resubmit the RI-002 BLA, (iv) for expenses associated with obtaining with FDA approval of ADMA’s third plasma collection facility, and (v) for general corporate purposes and other capital expenditures.</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were used for (i) the purchase of raw material inventory and the ramp-up of our manufacturing capabilities, (ii) continued remediation of the issues identified in the CRL and the Warning Letter and completion of our internal quality management systems overhaul, (iii) capital expenditures for the Boca Facility, (iv) product launch and medical education campaigns, (v) the build-out of our third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PAS and obtaining marketing clearance for the relaunch of BIVIGAM and refiling the RI-002 BLA.</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10, 2017 (the “Marathon Closing Date”), we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(the “Tranche One Loan”), and (ii) an additional term loan to be made in the maximum principal amount not to exceed $10.0 million (the “Tranche Two Loan” and, together with the Tranche One Loan, the “Loans”), which Tranche Two Loan availability is subject to the satisfaction of certain conditions, including, but not limited to, those described below. The Loans each have a maturity date of April 10, 2022 (the “Maturity Date”), subject to acceleration pursuant to the Credit Agreement, including upon an Event of Default (as defined in the Credit Agreement).</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the Marathon Closing Date, we used approximately $17.0 million of the Tranche One Loan to retire and pay in full our previously existing credit facility, as amended, with Oxford Finance, LLC (“Oxford”) and all of the obligations thereunder, including the end-of-term liability of $1.8 million and prepayment penalties of $0.2 million. We also (i) used $5.5 million of the Tranche One Loan to pre-fund a debt service reserve account in accordance with the terms of the Credit Agreement, and (ii) paid diligence fees, legal and other expenses associated with the Credit Facility in the amount of approximately $1.5 million, which fees exclude a deferred facility fee to Marathon equal to 9.20% of the Tranche One Loan payable at maturity. The remaining $6.0 million of proceeds was used for the continued remediation of the issues identified in the CRL and the Warning Letter and for general corporate purposes.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The obligation of Marathon to make the Tranche Two Loan is subject to the satisfaction of certain conditions related to FDA approval for specified products and our financial condition, including, without limitation, the following: (a) (i) the FDA must validate the improved manufacturing process of BIVIGAM and (ii) not less than $0.5 million in net revenue must be generated in calendar year 2018 from the sale in the United States of BIVIGAM; or (b)</w:t>
      </w:r>
    </w:p>
    <w:p>
      <w:pPr>
        <w:ind w:right="40" w:firstLine="8"/>
        <w:spacing w:after="0" w:line="261"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must approve the commercialization of RI-002 and (ii) not less than $0.5 million in net revenue must be generated in calendar year 2019 from the sale in the United States of RI-002.</w:t>
      </w:r>
    </w:p>
    <w:p>
      <w:pPr>
        <w:spacing w:after="0" w:line="184"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the Marathon Closing Date, we issued a promissory note in favor of the Administrative Agent in the principal amount of $30.0 million (the “Tranche One Note”), evidencing our indebtedness resulting from the Tranche One Loan. Borrowings under the Credit Agreement bear interest at a rate per annum equal to LIBOR plus 9.50% with a 1% LIBOR floor; provided, however, that in the event that we achieve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nine months ended September 30, 2018, the interest rate on the Tranche One Note ranged from 10.99% to 11.82%.</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will pay Marathon a facility fee in an amount equal to 9.20% of the amount funded, payment of which is deferred until the Maturity Date pursuant to the terms of the Credit Agreement. Commencing on October 10, 2020, and on the first business day of each month, we are required to make principal payments on the Tranche One Loan (and Tranche Two Loan in the event it shall have been funded) in equal monthly installments over 18 months, subject to certain conditions in the Credit Agreement. The outstanding principal amount of the Loans, together with all accrued interest thereon, is due on the Maturity Date.</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obligations under the Credit Agreement are secured by a first-priority lien and security interest in substantially all of our assets, including a mortgage on the Boca Facility, and those of our subsidiaries as well as all of the equity interests in each subsidiary.</w:t>
      </w:r>
    </w:p>
    <w:p>
      <w:pPr>
        <w:spacing w:after="0" w:line="17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 Credit Agreement contains market representations and warranties, affirmative covenants, negative covenants, financial covenants, and conditions that are customarily required for similar financings. The affirmative covenants, among other things, require us to undertake various reporting requirements. The negative covenants restrict or limit our and our subsidiaries’ ability to, among other things, incur new indebtedness; create liens on assets; engage in certain fundamental corporate changes or changes to our business activities; sell or otherwise dispose of assets; repurchase stock, pay dividends; repay certain other indebtedness; engage in certain affiliate transactions; or enter into any other agreements that restrict our ability to make loan repayments. In addition, the terms of the Credit Agreement required the establishment of a debt service reserve account, and we are required to maintain a certain minimum level of liquidity at all times. Liquidity is defined in the Credit Agreement as cash held in the debt service reserve account and any other deposit account subject to a control agreement with the Administrative Agent, and the required liquidity amount is reflected as restricted cash in the accompanying consolidated balance sheets as of September 30, 2018 and December 31, 2017. The minimum liquidity requirement was $4.0 million and $5.5 million as of September 30, 2018 and December 31, 2017, respectively. On the Marathon Closing Date, $5.5 million of the Tranche One Note proceeds was deposited into the debt service reserve account. On May 31, 2018, the Credit Agreement was amended to reduce the minimum liquidity requirement to $5.25 million, and $250,000 was released from the debt service reserve account to us on June 25, 2018. On June 26, 2018, the Lender and the Administrative Agent acknowledged that the Company had met the requirements regarding our leased properties as set forth in the Credit Agreement, and an additional $1.25 million was released from the debt service reserve account to us.</w:t>
      </w:r>
    </w:p>
    <w:p>
      <w:pPr>
        <w:spacing w:after="0" w:line="18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June 2017, we received $27.5 million in connection with the Biotest Transaction, comprised of $12.5 million in cash from BPC and an unsecured subordinated 6% note payable to Biotest in the amount of $15.0 million. Also in June 2017, BPC provided us with a firm equity commitment to invest up to an additional $12.5 million in future equity financings of the Company, and this equity commitment was satisfied in its entirety in the foregoing November 2017 public offering of Common Stock. In July 2018, BPC transferred to Biotest AG all of its obligations, rights, title and interest in the unsecured subordinated $15.0 million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September 30,</w:t>
      </w:r>
    </w:p>
    <w:p>
      <w:pPr>
        <w:sectPr>
          <w:pgSz w:w="11900" w:h="16838" w:orient="portrait"/>
          <w:cols w:equalWidth="0" w:num="1">
            <w:col w:w="11420"/>
          </w:cols>
          <w:pgMar w:left="240" w:top="229"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200"/>
        <w:spacing w:after="0" w:line="360" w:lineRule="auto"/>
        <w:rPr>
          <w:sz w:val="20"/>
          <w:szCs w:val="20"/>
          <w:color w:val="auto"/>
        </w:rPr>
      </w:pPr>
      <w:r>
        <w:rPr>
          <w:rFonts w:ascii="Arial" w:cs="Arial" w:eastAsia="Arial" w:hAnsi="Arial"/>
          <w:sz w:val="16"/>
          <w:szCs w:val="16"/>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19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(43,885,558)</w:t>
            </w:r>
          </w:p>
        </w:tc>
        <w:tc>
          <w:tcPr>
            <w:tcW w:w="22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(23,913,145)</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(1,276,594)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17,223,727</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42,922,067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10,375,942</w:t>
            </w:r>
          </w:p>
        </w:tc>
      </w:tr>
      <w:tr>
        <w:trPr>
          <w:trHeight w:val="224"/>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(2,240,085)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3,686,524</w:t>
            </w:r>
          </w:p>
        </w:tc>
      </w:tr>
      <w:tr>
        <w:trPr>
          <w:trHeight w:val="431"/>
        </w:trPr>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46,367,489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13,601,391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520" w:space="720"/>
            <w:col w:w="3180"/>
          </w:cols>
          <w:pgMar w:left="240" w:top="229" w:right="239" w:bottom="1440" w:gutter="0" w:footer="0" w:header="0"/>
          <w:type w:val="continuous"/>
        </w:sectPr>
      </w:pPr>
    </w:p>
    <w:p>
      <w:pPr>
        <w:spacing w:after="0" w:line="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Cash used in operations for the nine months ended September 30, 2018 was $43.9 million, an increase of $20.0 million from the same period of a year ago, mainly due to the higher net loss in 2018. The following table illustrates the primary components of our cash flows from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(47,705,458)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(30,776,173)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4,864,998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2,736,833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(481,782)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(1,249,253)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(201,472)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(969,042)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359,813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6,505,796</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171,277</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(727,305)</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(43,885,558)</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(23,913,145)</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Net cash used in investing activities for the nine months ended September 30, 2018 was $1.3 million, consisting of capital expenditures at the Boca Facility and final build-out costs of our third plasma center. Although we have no specific material commitments for capital expenditures as of September 30, 2018, we expect our total capital expenditures will be between $1.0 million and $2.0 million for the remainder of fiscal 2018.</w:t>
      </w:r>
    </w:p>
    <w:p>
      <w:pPr>
        <w:spacing w:after="0" w:line="16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Net cash provided by investing activities was $17.2 million for the nine months ended September 30, 2017, primarily consisting of a $12.5 million equity infusion from BPC in accordance with the terms of the Biotest Transaction and $5.4 million from the liquidation of short-term investments, partially offset by capital expenditures of $0.7 million.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Cash provided by financing activities during the nine months ended September 30, 2018 was $42.9 million, which was a result of the net proceeds received from the June 2018 public offering of our Common Stock. Net cash provided by financing activities totaled $10.4 million for the nine months ended September 30, 2017, consisting primarily $15.0 million of proceeds from the issuance of a subordinated note payable to Biotest in accordance with the terms of the Biotest Transaction, partially offset by $4.4 of principal payments under our previously existing senior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in 2017, 2016 and 2015, or for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2018. Based on this evaluation, our principal executive officer and our principal financial officer concluded that our disclosure controls and procedures as of September 30, 2018 are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we continue with the integration of the business processes and information systems in effect prior to the closing of the Biotest Transaction with those of ADMA BioManufacturing, we are modifying our internal control over financial reporting to address the integrated operations. The integration plan and related internal control modifications are expected to continue through our current fiscal year. Other than these integration-related changes, there have been no changes in our internal control over financial reporting during the quarter ended September 30, 2018 that has materially affected, or is reasonably likely to materially affect, our internal control over financial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There are numerous and varied risks that may prevent us from achieving our goals. We believe that the following are the material risks that we face. If any of the following risks actually occurs, our business, financial condition or results of operations may be materially adversely affected. In such case, the trading price of our Common Stock could decline and investors in our Common Stock could lose all or part of their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Unless and until we receive approval from the FDA and other regulatory authorities for our RI-002 product candidate and other products and product candidates in our pipeline, we do not expect to sell and generate revenue from the commercialization of RI-002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our research and development and commercial programs, establish and build out a commercial sales force and commercial infrastructure and meet our ongoing obligations. If we are unable to successfully raise additional capital prior to the end of the second quarter of 2019,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Based upon our projected revenue and expenditures for fiscal 2018, including regulatory and consulting fees for the remediation of the Warning Letter and ongoing discussions with the FDA, continuing implementation of our commercialization and expansion activities and certain other assumptions, we currently believe that our cash, cash equivalents, projected revenue and accounts receivable, along with the additional $10.0 million we expect to be able to access through our existing senior credit facility will be sufficient to fund our operations, as currently conducted, into the second quarter of 2019. In order to have sufficient cash to fund our operations thereafter and to continue as a going concern, we will need to raise additional equity or debt financing before the end of the second quarter of 2019. This timeframe may change based upon how quickly we are able to execute on our quality management systems’ remediation plans for the ADMA BioManufacturing operations, commercial manufacturing ramp-up activities and the various financing options available to us. These estimates may also change based upon whether or when the FDA approves RI-002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Failure to timely and effectively remediate and close out the outstanding Warning Letter and other inspection issues and deficiencies at the Boca Facility will have a material adverse effect on our business. Failure of the FDA to adhere to its stated timelines in the Code of Federal Regulations, as well as any potential government shut-downs or unforeseen government office closings may affect our ability to resolve the Warning Letter and other inspection issues within the timelines provided.</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RI-002. In response to our RI-002 BLA submission in 2015, in July 2016 the FDA issued the CRL. The CRL did not specify or request the need for any addition clinical trials or data; however, the CRL reaffirmed the issues set forth in the Warning Letter issued to Biotest relating to inspection issues identified at the Boca Facility. The FDA identified in the CRL, among other things, certain outstanding inspection issues and deficiencies related to Chemistry, Manufacturing and Controls (“CMC”) and Good Manufacturing Practices (“GMP”) at the Boca Facility and at certain of our third-party vendors, and requested documentation of corrections for a number of these issues. The FDA indicated in the CRL that it cannot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have been working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We believe that we have successfully closed out the April 2018 FDA inspection of the Boca Facility, however there can be no assurances as to the timing by which the FDA may make any determinations post-inspection concerning our compliance status. There can also be no assurances that our ongoing efforts to remediate the Warning Letter and other inspection issues and deficiencies at the Boca Facility will be effective or whether the FDA will accept these efforts. Failure to timely remediate the issues identified in the Warning Letter and other inspection issues and deficiencies and/or receive approval from the FDA would have a material adverse effect on our business,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for the foreseeable future, and we may never achieve or maintain profitability. For the years ended December 31, 2017 and 2016, we incurred net losses of $43.8 and $19.5 million, respectively, and for the nine months ended September 30, 2018 and 2017, we incurred net losses of $47.7 million and $30.8 million, respectively. From our inception in 2004 through September 30, 2018, we have incurred an accumulated deficit of $198.4 million. Even if we succeed in developing and commercializing one or more of our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6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remediate the outstanding compliance deficiencies identified by the FDA in the CRL and Warning Letter at the Boca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integrate the Biotest Assets into our business.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before the end of the second quarter of 2019 to fund our operations in order to continue as a going concern.</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CohnReznick LLP, our independent registered public accounting firm, has included an explanatory paragraph in their opinion that accompanies our audited consolidated financial statements as of and for the year ended December 31, 2017,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consolidated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Our audited consolidated financial statements as of and for the year ended December 31, 2017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8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anticipate that our principal sources of liquidity will only be sufficient to fund our activities, as currently conducted, into the second quarter of 2019. In order to have sufficient cash to fund our operations thereafter and to continue as a going concern, we will need to raise additional equity or debt financing prior to the end of the second quarter of 2019. This time frame may change based upon how quickly we are able to execute on our quality management systems’ remediation plans for the ADMA BioManufacturing operations, commercial manufacturing ramp-up activities and the various financing options available to us.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end of the second quarter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have not demonstrated an ability to perform the functions necessary for the successful commercialization of RI-002. The successful development and commercialization of any product candidate will require us or our collaborators to perform a variety of functions, including:</w:t>
      </w:r>
    </w:p>
    <w:p>
      <w:pPr>
        <w:spacing w:after="0" w:line="14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product candidates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ADMA Bio Centers operates FDA-licensed, GHA and KMFDS-certified source plasma collection facilities located in the United States, which provide us with a portion of our blood plasma for the manufacture of our products and product candidates. Plasma collected from ADMA Bio Centers' facilities that is not used to manufacture our products and product candidates is sold to third-party customers in the United States and other locations where we are approved globally under supply agreements or in the open "spot" market. Furthermore, we have completed the construction of our third plasma collection facility, initiated collections for this facility in December 2017, and we received our FDA license for this facility in October 2018. Nabi-HB and BIVIGAM are manufactured at the Boca Facility, an FDA-licensed facility certified by the GHA. A portion of our revenues are dependent upon the continued operation of these facilities. Our operations are vulnerable to interruption by fire, weather related events such as hurricanes, wind and rain, other acts of God, electric power loss, telecommunications failure, equipment failure and breakdown, human error, employee issues and events beyond our control. We do not have detailed disaster recovery plans for our facilities nor do we have a backup manufacturing facility, other than our other facilities, or contractual arrangements with any other manufacturers in the event of a casualty to or destruction of any facility or if any facility ceases to be available to us for any other reason. If we are required to rebuild or relocate any of our facilities, a substantial investment in improvements and equipment would be necessary. We carry only a limited amount of business interruption insurance, which may not sufficiently compensate us for losses that may occur.</w:t>
      </w:r>
    </w:p>
    <w:p>
      <w:pPr>
        <w:spacing w:after="0" w:line="16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lead pipeline product candidate, RI-002, requires extensive clinical data analysis and regulatory review and may require additional testing. Clinical trials and data analysis can be very expensive, time-consuming and difficult to design and implement. If we are unsuccessful in obtaining regulatory approval for RI-002, or any of our product candidates do not provide positive results, we may be required to delay or abandon development of such product, which would have a material adverse impact on our business.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While we have met the primary endpoint for our pivotal Phase III trial for RI-002, we cannot provide any assurance or certainty regarding when we might receive regulatory approval of our RI-002 BLA. Furthermore, failure can occur at any stage of the process, and we could encounter problems that cause us to abandon our RI-002 BLA or repeat clinical trials. The commencement and completion of clinical trials for any current or future development product candidate may be delayed by several factors, including:</w:t>
      </w:r>
    </w:p>
    <w:p>
      <w:pPr>
        <w:spacing w:after="0" w:line="19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Investigational New Drug (“IND”) submissions or the conduct of these trials. Therefore, we cannot provide any assurance or predict with certainty the schedule for future clinical trials. In the event we do not ultimately receive regulatory approval for RI-002, we may be required to terminate development of our only product candidate. Unless we acquire or develop other product candidates that are saleable, our business will be limited to plasma collection and sales, as well as sales of Nabi-HB and BIVIGAM.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Even though our clinical trials for RI-002 have been completed as planned, we cannot be certain that their results will support our product candidate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the clinical trial and product testing for RI-002 were performed outside of the United States, and therefore, may not have been performed in accordance with standards normally required by the FDA and other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the necessary U.S. or worldwide regulatory approvals to commercialize RI-002, we will not be able to sell RI-002.</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cannot obtain regulatory approval for RI-002, we will not be able to generate revenue from this product candidate.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RI-002 or any other product candidate we may acquire or develop in the future. In order to obtain FDA approval of RI-002 or any other product candidate requiring FDA approval, our clinical development must demonstrate that the product candidate is safe for humans and effective for its intended use, and we must successfully complete an FDA BLA review. Obtaining FDA approval of any other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RI-002 BLA. In addition, the FDA could determine that we must test additional subjects and/or require that we conduct further studies with more subjects. We may never obtain regulatory approval for RI-002, or any other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United States.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United States.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approval from the FDA to market RI-002, our ability to market RI-002 for alternative applications could be limited.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We have sought approval from the FDA to market RI-002 for the treatment of PIDD and, even if approved, we cannot be sure whether we will be able to obtain FDA approval for any desired future indications for RI-002.</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researchers, developers and vendors to develop RI-002, and such parties are, to some extent, outside of our control.</w:t>
      </w:r>
    </w:p>
    <w:p>
      <w:pPr>
        <w:spacing w:after="0" w:line="24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Historically a single customer has accounted for a significant amount of our total revenue and, together with a second customer, represented 78% of our total revenue for the year ended December 31, 2017 and, collectively with two other customers, represented an aggregate of 90% of our total revenue for the nine months ended September 30, 2018. Therefore, the loss of such single customer could have a material adverse effect on our business, results of operations and financial condition.</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Historically, a significant amount of our total revenue is attributable to a single customer, BPC. For the year ended December 31, 2017, BPC and Sanofi represented 78% of our total revenue, with BPC representing 47% of our total revenue and Sanofi representing 31% of our total revenue. For the nine months ended September 30, 2018, three customers represented an aggregate of 90% of our consolidated revenues, with BPC, McKesson Corporation and AmerisourceBergen representing 54%, 20% and 16%, respectively, of our consolidated revenues. For the nine months ended September 30, 2017, sales to BPC represented 68% of our consolidated revenues, and sales to SK represented 8% of our consolidated revenues.</w:t>
      </w:r>
    </w:p>
    <w:p>
      <w:pPr>
        <w:spacing w:after="0" w:line="15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Although we expect this concentration to continue to decrease during 2018 as additional accretive revenues are generated from the Biotest Assets, BPC is still expected to account for a significant portion of our total revenue in fiscal 2018.</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loss of BPC as a customer or a material change in the revenue generated by BPC could have a material adverse effect on our business, results of operations and financial condition. Factors that could influence our relationships with our customers include, among other things:</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jc w:val="center"/>
        <w:ind w:right="1020" w:firstLine="332"/>
        <w:spacing w:after="0" w:line="581"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produce and deliver a sufficient quantity of our products in a timely manner to meet our customers’ requirements. Additionally, an adverse change in the financial condition of BPC could have a material adverse effect on our business and results of operations.</w:t>
      </w:r>
    </w:p>
    <w:p>
      <w:pPr>
        <w:spacing w:after="0" w:line="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Issues with product quality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the FDA approves a product made by us, physicians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Industry and other market data used in our periodic reports filed with the SEC and certain other materials, including those undertaken by us or our engaged consultants, may not prove to be representative of current and future market conditions or future results.</w:t>
      </w:r>
    </w:p>
    <w:p>
      <w:pPr>
        <w:spacing w:after="0" w:line="147"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Our periodic reports filed with the SEC and certain other materials include statistical and other industry and market data that we obtained from industry publications and research, surveys and studies conducted by third parties and surveys and studies we commissioned regarding the market potential for our current products as well as RI-002.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long-term success may depend on our ability to supplement our existing product portfolio through new product development or the in-license or acquisition of other new products and product candidates, and if our business development efforts are not successful, our ability to achieve profitability may be adversely impacted.</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current product development portfolio consists primarily of RI-002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RI-002, as well as the revenue we may generate from the sale of Nabi-HB, BIVIGAM, contract manufacturing, and intermediates and plasma attributable to the operations of ADMA Bio Centers, to support our operations.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ADMA Bio Centers facilities collect information from donors in the United States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We could be subject to enforcement action and litigation exposure if we fail to adhere to these data privacy and security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strategic and financial benefits currently anticipated from the Biotest Transaction.</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may not realize all of the strategic and financial benefits currently anticipated from the Biotest Transaction. For example, we may not realize the anticipated benefits of acquiring control of all aspects of RI-002 drug manufacturing, regulatory affairs and business operations. In addition, we may not be able to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apply for the PAS related to the manufacturing of BIVIGAM or reapply for FDA approval to market and sell RI-002, which could have a material adverse effect on us. Failure to resolve any outstanding issues or any administrative actions taken or changes made by the FDA toward our contract manufacturers, vendors or us could impact our ability to receive approval for RI-002, including the timing thereof, disrupt our business operations and the timing of our commercialization efforts and may have a material adverse effect on our financial condition and operating results.</w:t>
      </w:r>
    </w:p>
    <w:p>
      <w:pPr>
        <w:spacing w:after="0" w:line="17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4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resolved by the FDA, and we have no assurances as to the timing by which the FDA may inspect the Boca Facility and/or make any determinations post-inspection concerning our compliance status. These factors could have a material adverse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the Biotest Assets into our business.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agreed to transfer assets that have historically generated substantially all of our revenue.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part of the purchase price to acquire the Biotest Assets, we have agreed to transfer to BPC ownership of our two licensed plasma collection facilities in the United States and certain related assets and liabilities. These plasma collection facilities to be transferred have historically been the source of substantially all of our revenue. Although we have completed construction of a new plasma collection facility, there can be no assurances that we will generate similar revenues as historically reported from the plasma collection facilities we will transfer to BPC on January 1, 2019.</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while the Purchase Agreement contains certain non-compete clauses, such clauses do not prohibit either the Biotest Guarantors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credit agreement (the “Credit Agreement”) with Marathon Healthcare Finance Fund, L.P. (“Marathon”) is subject to acceleration in specified circumstances, which may result in Marathon taking possession and disposing of any collateral.</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October 10, 2017, we entered into the Credit Agreement with Marathon which provides for a senior secured term loan Credit Facility in an aggregate amount of up to $40.0 million, comprised of (i) the $30.0 million Tranche One Loan, (ii) an additional Tranche Two Loan to be made in the maximum principal amount not to exceed $10.0 million, which Tranche Two Loan availability is subject to the satisfaction of certain conditions. The Loans each have a Maturity Date of April 10, 2022,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5% per annum, the occurrence of an Event of Default could result in, among other things, the termination of commitments under the Credit Facility, the declaration that all outstanding Loans are immediately due and payable in whole or in part, and Marathon taking immediate possession of, and selling, any collateral securing the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RI-002 (if we obtain regulatory approval)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United States Patent and Trademark Office. Even if enforceable, we cannot provide any assurances that they will provide significant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competition. The processes, systems, and/or security measures we use to preserve the integrity and confidentiality of our data and trade secrets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and we may not have adequate remedies as a result of any such breaches. In addition, our trade secrets may otherwise become known or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independently discovered by competitors. There can be no assurance that the confidentiality, nondisclosure and non-competition agreements with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consultants and other parties with access to our proprietary information to protect our trade secrets, proprietary technology, processes and other proprietary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or any other security measures relating to such trade secrets, proprietary technology, processes and proprietary rights, will be adequate, will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that we will have adequate remedies for any breach, that others will not independently develop substantially equivalent proprietary information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third parties will not otherwise gain access to our trade secrets or proprietary knowledge. To the extent that our consultants, contractors or collaborators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intellectual property owned by others in their work for us, disputes may arise as to the rights in related or resulting know-how and inventions.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United States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Patent rights covering RI-002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and no assurance can be given that we will</w:t>
      </w:r>
    </w:p>
    <w:p>
      <w:pPr>
        <w:ind w:right="60"/>
        <w:spacing w:after="0" w:line="261" w:lineRule="auto"/>
        <w:rPr>
          <w:sz w:val="20"/>
          <w:szCs w:val="20"/>
          <w:color w:val="auto"/>
        </w:rPr>
      </w:pPr>
      <w:r>
        <w:rPr>
          <w:rFonts w:ascii="Arial" w:cs="Arial" w:eastAsia="Arial" w:hAnsi="Arial"/>
          <w:sz w:val="18"/>
          <w:szCs w:val="18"/>
          <w:color w:val="auto"/>
        </w:rPr>
        <w:t>prevail. There is no assurance that RI-002, or any other of our products for which we are issued a patent, will enjoy market exclusivity for the full time period of the respective patent.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 Notwithstanding the foregoing, in the event Mr. Grossman is terminated for cause or resigns other than for good reason, then the standstill provisions contained in the Stockholders Agreement, which prohibits BPC or its transferee from, among other things, acquiring more than (i) 50%, less one share, of our issued and outstanding shares of capital stock on an as-converted basis, or (ii) 30% of the issued and outstanding shares of Common Stock, will terminate and be of no further force and effect. Such event could result in BPC or its transferee acquiring additional shares of our Common Stock or taking other actions with the goal of acquiring additional shares of our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Cyberattacks and other security breaches could compromise our proprietary and confidential information which could harm our business and reputation.</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may be harmed.</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currently collect human blood plasma at our ADMA Bio Centers facilities, and if we cannot maintain FDA approval for these facilities we may be adversely affected and may not be able to sell or use this human blood plasma for future commercial purposes.</w:t>
      </w:r>
    </w:p>
    <w:p>
      <w:pPr>
        <w:spacing w:after="0" w:line="1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intend to maintain FDA and other governmental and regulatory approvals of our ADMA Bio Centers collection facilities for the collection of human blood plasma. These facilities are subject to FDA and other governmental and regulatory inspections and extensive regulation, including compliance with current cGMP, FDA and other government approvals. Failure to comply with applicable governmental regulations or to receive applicable approvals for our future facilities, including our third facility,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currently operate under the Warning Letter due to issues identified by the FDA in their prior inspections while the Boca Facility was under Biotest’s ownership and operational control. We engaged a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believe that we have successfully closed out the April 2018 FDA inspection of the Boca Facility, however there can be no assurances as to the timing by which the FDA may make such a determination after any inspection.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laws governing our conduct in the United States are enforceable on the federal and state levels by criminal, civil and administrative penalties. Violations of laws such as the Federal Food, Drug, and Cosmetic Act, the Social Security Act (including the Anti-Kickback Law),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For example, under the Anti-Kickback Law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and the companion Health Care and Education Reconciliation Act, which together are referred to as the “Healthcare Reform Law”, such payments by pharmaceutical manufacturers to U.S. healthcare practitioners and academic medical centers must be publicly disclosed.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6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Law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Law and various other laws, rules and regulations.</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United States or the European Union, we could be adversely affected.</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In the future, we may need to adopt healthcare compliance and ethics programs that would incorporate the OIG's recommendations, and train our applicable employees in such compliance. Such a program may be expensive and may not assure that we will avoid compliance issues.</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processes for plasma-based biologics are complex and involve biological intermediates that are susceptible to contamination.</w:t>
      </w:r>
    </w:p>
    <w:p>
      <w:pPr>
        <w:spacing w:after="0" w:line="24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and manufacturing processes against transmittable diseases.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centers. This strategy is dependent upon our ability to maintain a cGMP compliant environment in both plasma centers and to expand production and attract donors to both centers. There is no assurance that the FDA will inspect and license our unlicensed plasma collection centers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centers to more efficient production levels may be affected by changes in the economic environment and population in selected regions where ADMA Bio Centers operates its current or future plasma centers,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centers.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the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approved three biosimilar products in 2016. As a result of the biosimilar pathway in the United States, we expect in the future to face greater competition from biosimilar products, including a possible increase in patent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United States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There have been repeated attempts by Congress to repeal or change the Healthcare Reform Law. At this time, it remains unclear whether there will be any changes made to or any repeal or replacement of the Healthcare Reform Law, with respect to certain of its provisions or in its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The difficult economic environment may adversely affect demand for our products. RI-002, our current product candidate, is expected to be sold to hospitals, specialty pharmacies and clinicians in the United States.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operations have consumed substantial amounts of cash since inception. For the nine months ended September 30, 2018 and 2017, we had negative cash flows from operations of $43.9 million and $23.9 million, respectively, and for the years ended December 31, 2017 and 2016, we had negative cash flows from operations of approximately $37.3 million and $18.3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We currently anticipate, based upon our projected revenue and expenditures, as well as the additional $10.0 million we expect to be able to access under the Credit Agreement, that our current cash, cash equivalents and accounts receivable will be sufficient to fund our operations, as currently conducted, into the second quarter of 2019. In order to have sufficient cash to fund our operations thereafter and to continue as a going concern, we will need to raise additional equity or debt financing prior to the end of the second quarter of 2019. This time frame may change based upon how quickly we are able to execute on our operational initiatives and the various financing options available to us.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balances could be adversely affected if the financial institutions in which we hold our cash were to fail.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cash balances; however, we can provide no assurance that access to our cash balances will not be impacted by adverse conditions in the financial and credit markets.</w:t>
      </w:r>
    </w:p>
    <w:p>
      <w:pPr>
        <w:spacing w:after="0" w:line="17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have incurred substantial losses during our history. As of December 31, 2017, we had federal and state NOLs of $125.3 million and $201.5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imposes limitations on a company’s ability to use NOLs upon certain changes in such ownership. If we are limited in our ability to use our NOLs in future years in which we have taxable income, we will pay more taxes than if we were able to fully utilize our NOLs. We may experience ownership changes in the future as a result of subsequent shifts in our stock ownership that we cannot predict or control that could result in further limitations being placed on our ability to utilize our federal NOLs.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Tax Cuts and Jobs Act (the “TCJA”) could adversely affect our business and financial condition.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in FDA approval for RI-002;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RI-002;</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once the deficiencies identified in the CRL have been resolved by us to the satisfaction of the FDA;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extremely speculative and there can be no assurance of any return on any such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investment in our Common Stock is extremely speculative and there is no assurance that investors will obtain any return on their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be subject to substantial risks involved in an investment in us, including the risk of losing their entire investment.</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of November 5, 2018 most of our 46,351,243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(“Rule 144”) or under effective registration statements. The 4,295,580 shares of Common Stock and the 8,591,160 NV Biotest Shares acquired by BPC in the Biotest Transaction were subject to a lock-up for six months after closing of the Biotest Transaction, which lock-up expired on December 6, 2017. For three years after the end of such six-month period, subject to certain limited exceptions, under the Stockholders Agreement, sales by the Biotest Trust (as the transferee of BPC’s remaining 10,109,534 shares of our Common Stock pursuant to the Biotest Transfer Agreement effective July 24, 2018) of our equity interests may not exceed 15% of the issued and outstanding Common Stock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then the Biotest Trust may sell its equity interests in us at any time (subject to applicable securities laws). On May 14, 2018, we, ADMA BioManufacturing and ADMA Bio Centers entered into the Biotest Transfer Agreement with BPC, Biotest AG, Biotest US and the Biotest Trust whereby BPC transferred to us, for no cash consideration, the 8,591,160 NV Biotest Shares, representing 100% of our then-issued and outstanding non-voting common stock. Immediately upon transfer of the NV Biotest Shares to us, the shares were retired and are no longer available for issuance. At the closing of the Biotest Transaction, we entered into the Registration Rights Agreement with BPC, pursuant to which the Biotest Trust, as BPC’s transferee, has, among other things, certain registration rights under the Securities Act with respect to its shares of our Common Stock, subject to certain transfer restrictions. Sales of a substantial number of shares of our Common Stock, or the perception that such sales may occur, may adversely impact the market price of our Common Stock.</w:t>
      </w:r>
    </w:p>
    <w:p>
      <w:pPr>
        <w:spacing w:after="0" w:line="1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“A&amp;R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Provisions of our A&amp;R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As of September 30, 2018, the Biotest Trust, our directors and executive officers and their affiliates beneficially owned in excess of 36% of the outstanding shares of our Common Stock. In addition, these provisions may limit the ability of stockholders to approve transactions that they may deem to be in their best interests. These provisions include:</w:t>
      </w:r>
    </w:p>
    <w:p>
      <w:pPr>
        <w:spacing w:after="0" w:line="17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to institute a stockholder rights plan, also known as a poison pill, that would work to dilute our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1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Because the price of our Common Stock has historically traded below $5.00 per share, our Common Stock may be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an “emerging growth company,” as defined by the Jumpstart Our Business Startups Act (the “JOBS Act”).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We may continue to take advantage of this extended transition period until the first to occur of the date that we (i) are no longer an “emerging growth company” or (ii) affirmatively and irrevocably opt out of this extended transition period.</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could be an emerging growth company until December 31, 2018, which is the last day of the fiscal year following the fifth anniversary of the first sale of our common equity securities pursuant to an effective registration statement under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registered public accounting firm provide an attestation report on our internal control over financial reporting.</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our stock price may be more volatile and our stock price may decline dramatically.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when we cease being an “emerging growth company.”</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When we cease to be an “emerging growth company” and when our independent registered public accounting firm is required to undertake an assessment of our internal control over financial reporting, the cost of our compliance with Section 404 of the Sarbanes-Oxley Act (“Section 404”) will correspondingly increase.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A&amp;R Certificate of Incorporation authorizes the issuance of up to 10,000,000 shares of “blank check” preferred stock, with such designation rights and preferences as may be determined from time to time by the Board. Currently, our A&amp;R Certificate of Incorporation authorizes the issuance of up to 75,000,000 shares of Common Stock, of which 23,842,273 shares remain available for issuance and may be issued by us without stockholder approval, and up to 8,591,160 shares of non-voting common stock, all of which were reacquired by us in May 2018 pursuant to the Biotest Transfer Agreement and were subsequently retired and are no longer available for issuance.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0000EE"/>
            </w:tcBorders>
            <w:gridSpan w:val="10"/>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1"/>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0" w:type="dxa"/>
            <w:vAlign w:val="bottom"/>
            <w:gridSpan w:val="14"/>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8520" w:type="dxa"/>
            <w:vAlign w:val="bottom"/>
            <w:tcBorders>
              <w:bottom w:val="single" w:sz="8" w:color="0000EE"/>
            </w:tcBorders>
            <w:gridSpan w:val="7"/>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Assignment and Assumption Agreement (ADMA Loan), dated as of July 20, 2018, by and among Biotest AG, Biotest</w:t>
              </w:r>
            </w:hyperlink>
          </w:p>
        </w:tc>
        <w:tc>
          <w:tcPr>
            <w:tcW w:w="1180" w:type="dxa"/>
            <w:vAlign w:val="bottom"/>
            <w:gridSpan w:val="11"/>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Pharmaceuticals Corporation, ADMA BioManufacturing, LLC and ADMA Biologics, Inc. (incorporated herein by reference to</w:t>
              </w:r>
            </w:hyperlink>
          </w:p>
        </w:tc>
        <w:tc>
          <w:tcPr>
            <w:tcW w:w="520" w:type="dxa"/>
            <w:vAlign w:val="bottom"/>
            <w:gridSpan w:val="9"/>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Exhibit 10.1 to the Company’s Current Report on Form 8-K, filed with the SEC on July 24, 2018).</w:t>
              </w:r>
            </w:hyperlink>
          </w:p>
        </w:tc>
        <w:tc>
          <w:tcPr>
            <w:tcW w:w="2600" w:type="dxa"/>
            <w:vAlign w:val="bottom"/>
            <w:gridSpan w:val="12"/>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Agreement to Transfer Land, dated as of July 20, 2018, by and among Biotest Real Estate Corp., Biotest AG, Biotest Pharmaceuticals</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Corporation, ADMA BioManufacturing, LLC and ADMA Biologics, Inc. (incorporated herein by reference to Exhibit 10.2 to the</w:t>
              </w:r>
            </w:hyperlink>
          </w:p>
        </w:tc>
        <w:tc>
          <w:tcPr>
            <w:tcW w:w="36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Company’s Current Report on Form 8-K, filed with the SEC on July 24, 2018).</w:t>
              </w:r>
            </w:hyperlink>
          </w:p>
        </w:tc>
        <w:tc>
          <w:tcPr>
            <w:tcW w:w="3980" w:type="dxa"/>
            <w:vAlign w:val="bottom"/>
            <w:gridSpan w:val="13"/>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Amendment #1 to the Plasma Supply Agreement, dated as of July 19, 2018, by and between Biotest Pharmaceuticals Corporation and</w:t>
              </w:r>
            </w:hyperlink>
          </w:p>
        </w:tc>
        <w:tc>
          <w:tcPr>
            <w:tcW w:w="4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ADMA BioManufacturing, LLC (incorporated herein by reference to Exhibit 10.2 to the Company’s Quarterly Report on Form 10-Q,</w:t>
              </w:r>
            </w:hyperlink>
          </w:p>
        </w:tc>
        <w:tc>
          <w:tcPr>
            <w:tcW w:w="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filed with the SEC on August 10, 2018).</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300" w:type="dxa"/>
            <w:vAlign w:val="bottom"/>
            <w:tcBorders>
              <w:bottom w:val="single" w:sz="8" w:color="0000EE"/>
            </w:tcBorders>
            <w:gridSpan w:val="11"/>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Amendment to Plasma Purchase Agreement, dated as of July 19, 2018, by and between Biotest Pharmaceuticals Corporation and</w:t>
              </w:r>
            </w:hyperlink>
          </w:p>
        </w:tc>
        <w:tc>
          <w:tcPr>
            <w:tcW w:w="40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ADMA BioManufacturing, LLC (incorporated herein by reference to Exhibit 10.3 to the Company’s Quarterly Report on Form 10-Q,</w:t>
              </w:r>
            </w:hyperlink>
          </w:p>
        </w:tc>
        <w:tc>
          <w:tcPr>
            <w:tcW w:w="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filed with the SEC on August 10, 2018).</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Certification of Principal Executive Officer pursuant to Rules 13a-14(a) and 15d-14(a), as adopted pursuant to Section 302 of the</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Sarbanes-Oxley Act of 2002.</w:t>
              </w:r>
            </w:hyperlink>
          </w:p>
        </w:tc>
        <w:tc>
          <w:tcPr>
            <w:tcW w:w="40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2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Certification of Principal Financial Officer pursuant to Rules 13a-14(a) and 15d-14(a), as adopted pursuant to Section 302 of the</w:t>
              </w:r>
            </w:hyperlink>
          </w:p>
        </w:tc>
        <w:tc>
          <w:tcPr>
            <w:tcW w:w="44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1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Sarbanes-Oxley Act of 2002.</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0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Oxley Act of 2002.</w:t>
              </w:r>
            </w:hyperlink>
          </w:p>
        </w:tc>
        <w:tc>
          <w:tcPr>
            <w:tcW w:w="8300" w:type="dxa"/>
            <w:vAlign w:val="bottom"/>
            <w:gridSpan w:val="16"/>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Oxley Act of 2002.</w:t>
              </w:r>
            </w:hyperlink>
          </w:p>
        </w:tc>
        <w:tc>
          <w:tcPr>
            <w:tcW w:w="8040" w:type="dxa"/>
            <w:vAlign w:val="bottom"/>
            <w:tcBorders>
              <w:top w:val="single" w:sz="8" w:color="0000EE"/>
            </w:tcBorders>
            <w:gridSpan w:val="11"/>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w w:val="93"/>
              </w:rPr>
              <w:t>The following materials from ADMA Biologics, Inc.’s Form 10-Q for the quarter ended September 30, 2018, formatted in Extensible</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w w:val="95"/>
              </w:rPr>
              <w:t>Business Reporting Language (XBRL): (i) Condensed Consolidated Balance Sheets as of September 30, 2018 (Unaudited) and</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w w:val="96"/>
              </w:rPr>
              <w:t>December 31, 2017, (ii) Condensed Consolidated Statements of Operations (Unaudited) for the three and nine months ended</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w w:val="92"/>
              </w:rPr>
              <w:t>September 30, 2018 and 2017, (iii) Condensed Consolidated Statement of Changes in Stockholders' Equity (Unaudited) for the nine</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w w:val="91"/>
              </w:rPr>
              <w:t>months ended September 30, 2018, (iv) Condensed Consolidated Statements of Cash Flows (Unaudited) for the nine months ended</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18"/>
          </w:tcPr>
          <w:p>
            <w:pPr>
              <w:spacing w:after="0"/>
              <w:rPr>
                <w:sz w:val="20"/>
                <w:szCs w:val="20"/>
                <w:color w:val="auto"/>
              </w:rPr>
            </w:pPr>
            <w:r>
              <w:rPr>
                <w:rFonts w:ascii="Arial" w:cs="Arial" w:eastAsia="Arial" w:hAnsi="Arial"/>
                <w:sz w:val="18"/>
                <w:szCs w:val="18"/>
                <w:color w:val="auto"/>
              </w:rPr>
              <w:t>September 30, 2018 and 2017, and (v) Notes to (Unaudited) Condensed Consolidated Financial Statements.</w:t>
            </w:r>
          </w:p>
        </w:tc>
      </w:tr>
    </w:tbl>
    <w:p>
      <w:pPr>
        <w:spacing w:after="0"/>
        <w:rPr>
          <w:sz w:val="20"/>
          <w:szCs w:val="20"/>
          <w:color w:val="auto"/>
        </w:rPr>
      </w:pPr>
      <w:r>
        <w:rPr>
          <w:rFonts w:ascii="Arial" w:cs="Arial" w:eastAsia="Arial" w:hAnsi="Arial"/>
          <w:sz w:val="18"/>
          <w:szCs w:val="18"/>
          <w:color w:val="auto"/>
        </w:rPr>
        <w:t>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 accordance with SEC Release 33-8238, Exhibit 32.1 and 32.2 are being furnished and not filed.</w:t>
      </w:r>
    </w:p>
    <w:p>
      <w:pPr>
        <w:spacing w:after="0" w:line="225" w:lineRule="exact"/>
        <w:rPr>
          <w:sz w:val="20"/>
          <w:szCs w:val="20"/>
          <w:color w:val="auto"/>
        </w:rPr>
      </w:pPr>
    </w:p>
    <w:p>
      <w:pPr>
        <w:ind w:right="80" w:firstLine="8"/>
        <w:spacing w:after="0" w:line="277" w:lineRule="auto"/>
        <w:tabs>
          <w:tab w:leader="none" w:pos="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ectPr>
          <w:pgSz w:w="11900" w:h="16838" w:orient="portrait"/>
          <w:cols w:equalWidth="0" w:num="1">
            <w:col w:w="11420"/>
          </w:cols>
          <w:pgMar w:left="2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September 30, 2018,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1080" w:hanging="356"/>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80" w:right="680" w:hanging="356"/>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September 30, 2018,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1080" w:hanging="356"/>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80" w:right="680" w:hanging="356"/>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8, 2018</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60" w:type="dxa"/>
            <w:vAlign w:val="bottom"/>
          </w:tcPr>
          <w:p>
            <w:pPr>
              <w:spacing w:after="0"/>
              <w:rPr>
                <w:sz w:val="16"/>
                <w:szCs w:val="16"/>
                <w:color w:val="auto"/>
              </w:rPr>
            </w:pPr>
          </w:p>
        </w:tc>
        <w:tc>
          <w:tcPr>
            <w:tcW w:w="26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6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(Principal</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ý"/>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1)"/>
      <w:numFmt w:val="lowerRoman"/>
      <w:start w:val="2"/>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1">
    <w:nsid w:val="4516DD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85" Type="http://schemas.openxmlformats.org/officeDocument/2006/relationships/hyperlink" Target="http://www.sec.gov/Archives/edgar/data/1368514/000119380518001014/e618190_ex10-1.htm" TargetMode="External"/><Relationship Id="rId86" Type="http://schemas.openxmlformats.org/officeDocument/2006/relationships/hyperlink" Target="http://www.sec.gov/Archives/edgar/data/1368514/000119380518001014/e618190_ex10-2.htm" TargetMode="External"/><Relationship Id="rId87" Type="http://schemas.openxmlformats.org/officeDocument/2006/relationships/hyperlink" Target="http://www.sec.gov/Archives/edgar/data/1368514/000119380518001059/e618214_ex10-2.htm" TargetMode="External"/><Relationship Id="rId88" Type="http://schemas.openxmlformats.org/officeDocument/2006/relationships/hyperlink" Target="http://www.sec.gov/Archives/edgar/data/1368514/000119380518001059/e618214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2020-01-10T22:50:21Z</dcterms:created>
  <dcterms:modified xsi:type="dcterms:W3CDTF">2020-01-10T22:50:21Z</dcterms:modified>
</cp:coreProperties>
</file>