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9" w:lineRule="exact"/>
        <w:rPr>
          <w:sz w:val="24"/>
          <w:szCs w:val="24"/>
          <w:color w:val="auto"/>
        </w:rPr>
      </w:pPr>
    </w:p>
    <w:p>
      <w:pPr>
        <w:ind w:left="660" w:right="1920" w:hanging="652"/>
        <w:spacing w:after="0" w:line="258"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660" w:right="1900" w:hanging="652"/>
        <w:spacing w:after="0" w:line="25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 to 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001-36728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ADMA BIOLOGICS,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60" w:type="dxa"/>
            <w:vAlign w:val="bottom"/>
            <w:gridSpan w:val="3"/>
          </w:tcPr>
          <w:p>
            <w:pPr>
              <w:jc w:val="center"/>
              <w:ind w:right="2980"/>
              <w:spacing w:after="0"/>
              <w:rPr>
                <w:sz w:val="20"/>
                <w:szCs w:val="20"/>
                <w:color w:val="auto"/>
              </w:rPr>
            </w:pPr>
            <w:r>
              <w:rPr>
                <w:rFonts w:ascii="Arial" w:cs="Arial" w:eastAsia="Arial" w:hAnsi="Arial"/>
                <w:sz w:val="18"/>
                <w:szCs w:val="18"/>
                <w:color w:val="auto"/>
                <w:w w:val="89"/>
              </w:rPr>
              <w:t>Delaware</w:t>
            </w:r>
          </w:p>
        </w:tc>
        <w:tc>
          <w:tcPr>
            <w:tcW w:w="3720" w:type="dxa"/>
            <w:vAlign w:val="bottom"/>
            <w:gridSpan w:val="5"/>
          </w:tcPr>
          <w:p>
            <w:pPr>
              <w:jc w:val="right"/>
              <w:ind w:right="880"/>
              <w:spacing w:after="0"/>
              <w:rPr>
                <w:sz w:val="20"/>
                <w:szCs w:val="20"/>
                <w:color w:val="auto"/>
              </w:rPr>
            </w:pPr>
            <w:r>
              <w:rPr>
                <w:rFonts w:ascii="Arial" w:cs="Arial" w:eastAsia="Arial" w:hAnsi="Arial"/>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520" w:type="dxa"/>
            <w:vAlign w:val="bottom"/>
            <w:gridSpan w:val="5"/>
          </w:tcPr>
          <w:p>
            <w:pPr>
              <w:jc w:val="center"/>
              <w:ind w:right="11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20" w:type="dxa"/>
            <w:vAlign w:val="bottom"/>
            <w:gridSpan w:val="5"/>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720" w:type="dxa"/>
            <w:vAlign w:val="bottom"/>
          </w:tcPr>
          <w:p>
            <w:pPr>
              <w:spacing w:after="0"/>
              <w:rPr>
                <w:sz w:val="24"/>
                <w:szCs w:val="24"/>
                <w:color w:val="auto"/>
              </w:rPr>
            </w:pPr>
          </w:p>
        </w:tc>
        <w:tc>
          <w:tcPr>
            <w:tcW w:w="4800" w:type="dxa"/>
            <w:vAlign w:val="bottom"/>
            <w:gridSpan w:val="4"/>
          </w:tcPr>
          <w:p>
            <w:pPr>
              <w:jc w:val="center"/>
              <w:ind w:right="1840"/>
              <w:spacing w:after="0"/>
              <w:rPr>
                <w:sz w:val="20"/>
                <w:szCs w:val="20"/>
                <w:color w:val="auto"/>
              </w:rPr>
            </w:pPr>
            <w:r>
              <w:rPr>
                <w:rFonts w:ascii="Arial" w:cs="Arial" w:eastAsia="Arial" w:hAnsi="Arial"/>
                <w:sz w:val="18"/>
                <w:szCs w:val="18"/>
                <w:color w:val="auto"/>
                <w:w w:val="88"/>
              </w:rPr>
              <w:t>465 State Route 17, Ramsey, New Jersey</w:t>
            </w:r>
          </w:p>
        </w:tc>
        <w:tc>
          <w:tcPr>
            <w:tcW w:w="2840" w:type="dxa"/>
            <w:vAlign w:val="bottom"/>
            <w:gridSpan w:val="4"/>
          </w:tcPr>
          <w:p>
            <w:pPr>
              <w:jc w:val="right"/>
              <w:ind w:right="200"/>
              <w:spacing w:after="0"/>
              <w:rPr>
                <w:sz w:val="20"/>
                <w:szCs w:val="20"/>
                <w:color w:val="auto"/>
              </w:rPr>
            </w:pPr>
            <w:r>
              <w:rPr>
                <w:rFonts w:ascii="Arial" w:cs="Arial" w:eastAsia="Arial" w:hAnsi="Arial"/>
                <w:sz w:val="18"/>
                <w:szCs w:val="18"/>
                <w:color w:val="auto"/>
              </w:rPr>
              <w:t>07446</w:t>
            </w: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(201) 478-5552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Preferred Share Purchase Right</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1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1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Arial" w:cs="Arial" w:eastAsia="Arial" w:hAnsi="Arial"/>
                <w:sz w:val="18"/>
                <w:szCs w:val="18"/>
                <w:color w:val="auto"/>
                <w:w w:val="93"/>
              </w:rPr>
              <w:t>Smaller reporting company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Arial" w:cs="Arial" w:eastAsia="Arial" w:hAnsi="Arial"/>
                <w:sz w:val="18"/>
                <w:szCs w:val="18"/>
                <w:color w:val="auto"/>
                <w:w w:val="94"/>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tabs>
          <w:tab w:leader="none" w:pos="8980" w:val="left"/>
          <w:tab w:leader="none" w:pos="96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August 6, 2021, there were 132,769,471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00" w:type="dxa"/>
            <w:vAlign w:val="bottom"/>
            <w:gridSpan w:val="7"/>
          </w:tcPr>
          <w:p>
            <w:pPr>
              <w:jc w:val="center"/>
              <w:ind w:right="2900"/>
              <w:spacing w:after="0"/>
              <w:rPr>
                <w:sz w:val="20"/>
                <w:szCs w:val="20"/>
                <w:color w:val="auto"/>
              </w:rPr>
            </w:pPr>
            <w:r>
              <w:rPr>
                <w:rFonts w:ascii="Arial" w:cs="Arial" w:eastAsia="Arial" w:hAnsi="Arial"/>
                <w:sz w:val="18"/>
                <w:szCs w:val="18"/>
                <w:b w:val="1"/>
                <w:bCs w:val="1"/>
                <w:color w:val="auto"/>
              </w:rPr>
              <w:t>ADMA BIOLOGICS, INC. AND SUBSIDIARIES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00" w:type="dxa"/>
            <w:vAlign w:val="bottom"/>
            <w:gridSpan w:val="7"/>
          </w:tcPr>
          <w:p>
            <w:pPr>
              <w:jc w:val="center"/>
              <w:ind w:right="2880"/>
              <w:spacing w:after="0"/>
              <w:rPr>
                <w:sz w:val="20"/>
                <w:szCs w:val="20"/>
                <w:color w:val="auto"/>
              </w:rPr>
            </w:pPr>
            <w:r>
              <w:rPr>
                <w:rFonts w:ascii="Arial" w:cs="Arial" w:eastAsia="Arial" w:hAnsi="Arial"/>
                <w:sz w:val="18"/>
                <w:szCs w:val="18"/>
                <w:b w:val="1"/>
                <w:bCs w:val="1"/>
                <w:color w:val="auto"/>
              </w:rPr>
              <w:t>INDEX</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2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w:t>
            </w: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2021 (Unaudited) and December 31, 2020</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80" w:type="dxa"/>
            <w:vAlign w:val="bottom"/>
            <w:gridSpan w:val="17"/>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Operations (Unaudited) for the Three and Six Months Ended June 30, 2021 and 2020</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4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Changes in Stockholders’ Equity (Unaudited) for the Three and Six Months Ended June 30,</w:t>
              </w:r>
            </w:hyperlink>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80" w:type="dxa"/>
            <w:vAlign w:val="bottom"/>
            <w:gridSpan w:val="17"/>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2021 and 2020</w:t>
              </w:r>
            </w:hyperlink>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 for the Six Months Ended June 30, 2021 and 2020</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2.</w:t>
            </w: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3.</w:t>
            </w: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Controls and Procedures.</w:t>
              </w:r>
            </w:hyperlink>
          </w:p>
        </w:tc>
        <w:tc>
          <w:tcPr>
            <w:tcW w:w="7660" w:type="dxa"/>
            <w:vAlign w:val="bottom"/>
            <w:tcBorders>
              <w:bottom w:val="single" w:sz="8" w:color="CCEEFF"/>
            </w:tcBorders>
            <w:gridSpan w:val="8"/>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20" w:type="dxa"/>
            <w:vAlign w:val="bottom"/>
            <w:gridSpan w:val="19"/>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PART II OTHER INFORMATION</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w:t>
            </w: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1A.</w:t>
            </w: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2.</w:t>
            </w: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Unregistered Sales of Equity Securities and Use of Proceeds.</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3.</w:t>
            </w: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Defaults Upon Senior Securities.</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4.</w:t>
            </w: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Mine Safety Disclosures.</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5.</w:t>
            </w: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Item 6.</w:t>
            </w:r>
          </w:p>
        </w:tc>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73">
              <w:r>
                <w:rPr>
                  <w:rFonts w:ascii="Arial" w:cs="Arial" w:eastAsia="Arial" w:hAnsi="Arial"/>
                  <w:sz w:val="18"/>
                  <w:szCs w:val="18"/>
                  <w:color w:val="0000EE"/>
                  <w:w w:val="95"/>
                </w:rPr>
                <w:t>SIGNATURES</w:t>
              </w:r>
            </w:hyperlink>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This Quarterly Report on Form 10-Q includes our trademarks, trade names and service marks, such as “ASCENIV</w:t>
      </w:r>
      <w:r>
        <w:rPr>
          <w:rFonts w:ascii="Arial" w:cs="Arial" w:eastAsia="Arial" w:hAnsi="Arial"/>
          <w:sz w:val="26"/>
          <w:szCs w:val="26"/>
          <w:color w:val="auto"/>
          <w:vertAlign w:val="superscript"/>
        </w:rPr>
        <w:t>™</w:t>
      </w:r>
      <w:r>
        <w:rPr>
          <w:rFonts w:ascii="Arial" w:cs="Arial" w:eastAsia="Arial" w:hAnsi="Arial"/>
          <w:sz w:val="16"/>
          <w:szCs w:val="16"/>
          <w:color w:val="auto"/>
        </w:rPr>
        <w:t>,” “Nabi-HB</w:t>
      </w:r>
      <w:r>
        <w:rPr>
          <w:rFonts w:ascii="Arial" w:cs="Arial" w:eastAsia="Arial" w:hAnsi="Arial"/>
          <w:sz w:val="26"/>
          <w:szCs w:val="26"/>
          <w:color w:val="auto"/>
          <w:vertAlign w:val="superscript"/>
        </w:rPr>
        <w:t>®</w:t>
      </w:r>
      <w:r>
        <w:rPr>
          <w:rFonts w:ascii="Arial" w:cs="Arial" w:eastAsia="Arial" w:hAnsi="Arial"/>
          <w:sz w:val="16"/>
          <w:szCs w:val="16"/>
          <w:color w:val="auto"/>
        </w:rPr>
        <w:t>” and “BIVIGAM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which are protected under applicable intellectual property laws and are the property of ADMA Biologics, Inc., or its subsidiaries. Solely for convenience, trademarks, trade names and service marks referred to in this report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and ASCENIV on a commercial scale and commercialize these products as a result of their approval by the U.S. Food and Drug Administration (the “FDA”) in 2019;</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25"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we have addressed the delays experienced with final drug product Good Manufacturing Practices (“GMP”) release testing by our third-party vendors by adding additional release testing laboratories to our FDA-approved consortium listed in our drug approval documents;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and reliance on third-party supply agreements as well as any extensions to such agreements;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BIVIGAM, ASCENIV and Nabi-HB, for any purpose, including FDA-approved indications, by physicians, patients or payers;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products to other comparably run hyperimmune and immune globulin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for ASCENIV and BIVIGAM to provide meaningful clinical improvement for patients living with Primary Immune Deficiency</w:t>
      </w:r>
    </w:p>
    <w:p>
      <w:pPr>
        <w:spacing w:after="0" w:line="35" w:lineRule="exact"/>
        <w:rPr>
          <w:sz w:val="20"/>
          <w:szCs w:val="20"/>
          <w:color w:val="auto"/>
        </w:rPr>
      </w:pPr>
    </w:p>
    <w:p>
      <w:pPr>
        <w:ind w:left="660" w:right="440"/>
        <w:spacing w:after="0" w:line="260" w:lineRule="auto"/>
        <w:rPr>
          <w:sz w:val="20"/>
          <w:szCs w:val="20"/>
          <w:color w:val="auto"/>
        </w:rPr>
      </w:pPr>
      <w:r>
        <w:rPr>
          <w:rFonts w:ascii="Arial" w:cs="Arial" w:eastAsia="Arial" w:hAnsi="Arial"/>
          <w:sz w:val="18"/>
          <w:szCs w:val="18"/>
          <w:color w:val="auto"/>
        </w:rPr>
        <w:t>Disease, Primary Humoral Immunodeficiency Disease (“PIDD” or “PI”) or other immune deficiencies or any other condition for which the products may be prescribed or evaluated;</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related to the expansion of our manufacturing capacity, yield improvements, supply-chain robustness, in-house fill-finish capabilities, distribution and other collaborative agreements and the success of such endeavors;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estimates regarding revenues, expenses, capital requirements, timing to profitability and the need for and availability of additional financing;</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25"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the coronavirus COVID-19 pandemic on our business, financial condition, liquidity and results of operations, and our ability to continue operations in the same manner as previously conducted prior to the macroeconomic effects of the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domestic and global economic conditions or performance;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2020 and in this Quarterly Report on Form 10-Q for the quarter ended June 30, 2021.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98"/>
              </w:rPr>
              <w:t>PART I</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rPr>
              <w:t>ADMA BIOLOGICS, INC. AND SUBSIDIARIES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42,408,958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55,921,152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23,544,594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13,237,290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99,699,743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81,535,599</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5,701,863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3,046,466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171,355,158</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153,740,507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46,486,980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41,593,090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2,086,445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2,444,121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3,529,509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3,529,509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to use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6,829,040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4,259,191</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2,526,660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2,106,976</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232,813,792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207,673,394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6,167,465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11,073,708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11,490,239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8,365,143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Current portion of lease obligations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385,858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365,682</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18,186,396</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19,947,367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Senior notes payable, net of discount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93,877,017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92,968,866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2,047,281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2,118,698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Lease obligations, net of current portion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7,073,415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4,334,151</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36,151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54,886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121,220,260</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119,423,968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7"/>
              </w:rPr>
              <w:t>Common Stock - voting, $0.0001 par value, 300,000,000 and 150,000,000 shares authorized, 131,872,026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104,902,888 shares issued and outstanding</w:t>
            </w:r>
          </w:p>
        </w:tc>
        <w:tc>
          <w:tcPr>
            <w:tcW w:w="10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13,187</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489,330,692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428,704,039</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(377,750,347)</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(340,465,103)</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111,593,532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88,249,426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232,813,792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207,673,394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6"/>
          </w:tcPr>
          <w:p>
            <w:pPr>
              <w:jc w:val="right"/>
              <w:ind w:right="221"/>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01"/>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17,794,881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7,751,885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33,807,791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17,915,921</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License revenue</w:t>
            </w: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35,709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35,709</w:t>
            </w: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71,417</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71,417</w:t>
            </w:r>
          </w:p>
        </w:tc>
      </w:tr>
      <w:tr>
        <w:trPr>
          <w:trHeight w:val="223"/>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17,830,590</w:t>
            </w:r>
          </w:p>
        </w:tc>
        <w:tc>
          <w:tcPr>
            <w:tcW w:w="2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7,787,594</w:t>
            </w: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33,879,208</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17,987,338</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w w:val="98"/>
              </w:rPr>
              <w:t>Cost of product revenue (exclusive of amortization expense shown below)</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18,832,624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13,495,629</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36,602,746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30,324,855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1,158,866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1,656,420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2,146,515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3,185,158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Plasma center operating expenses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2,803,326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877,902</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5,045,669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1,378,546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178,838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357,676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357,676</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10,438,168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8,702,630</w:t>
            </w: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20,472,083</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16,634,714</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33,411,822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24,911,419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64,624,689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51,880,949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(15,581,232)</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(17,123,825)</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(30,745,481)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(33,893,611)</w:t>
            </w:r>
          </w:p>
        </w:tc>
      </w:tr>
      <w:tr>
        <w:trPr>
          <w:trHeight w:val="216"/>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19,411</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27,985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267,479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(3,246,680)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(3,067,306)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(6,442,430)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(5,784,397)</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8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(83,317)</w:t>
            </w:r>
          </w:p>
        </w:tc>
        <w:tc>
          <w:tcPr>
            <w:tcW w:w="1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(125,318)</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(12,792)</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Other expense, net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(3,324,071</w:t>
            </w:r>
          </w:p>
        </w:tc>
        <w:tc>
          <w:tcPr>
            <w:tcW w:w="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(3,054,266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(6,539,763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(5,529,710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(18,905,303)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(20,178,091)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(37,285,244)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(39,423,321)</w:t>
            </w:r>
          </w:p>
        </w:tc>
      </w:tr>
      <w:tr>
        <w:trPr>
          <w:trHeight w:val="210"/>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09"/>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Basic and Diluted</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127,416,126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86,347,467</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121,571,501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80,064,641</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2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104,902,888</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428,704,039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(340,465,103)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88,249,426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781,397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781,397</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Vesting of Restricted Stock Units, net of shares withheld for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and retired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61,385</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 net of offering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18,080,708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41,910,707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41,912,515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(18,379,941)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(18,379,941)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123,044,981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471,336,826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(358,845,044)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112,504,086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805,189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805,189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 net of offering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8,827,045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17,188,677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17,189,560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(18,905,303)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(18,905,303)</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131,872,026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13,187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489,330,692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(377,750,347)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111,593,532</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700" w:type="dxa"/>
            <w:vAlign w:val="bottom"/>
            <w:gridSpan w:val="9"/>
          </w:tcPr>
          <w:p>
            <w:pPr>
              <w:ind w:left="3640"/>
              <w:spacing w:after="0"/>
              <w:rPr>
                <w:sz w:val="20"/>
                <w:szCs w:val="20"/>
                <w:color w:val="auto"/>
              </w:rPr>
            </w:pPr>
            <w:r>
              <w:rPr>
                <w:rFonts w:ascii="Arial" w:cs="Arial" w:eastAsia="Arial" w:hAnsi="Arial"/>
                <w:sz w:val="18"/>
                <w:szCs w:val="18"/>
                <w:b w:val="1"/>
                <w:bCs w:val="1"/>
                <w:color w:val="auto"/>
              </w:rPr>
              <w:t>For the Three and Six Months Ended June 30, 2020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2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59,318,355</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290,903,772</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(264,716,555)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676,548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676,548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88,701,336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88,704,039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1,958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(19,245,230)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(19,245,230)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86,345,313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380,288,833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(283,961,785)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96,335,683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715,608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715,608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4,668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6,255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6,255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(20,178,091)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(20,178,091)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86,349,981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8,635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381,010,696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(304,139,876)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76,879,455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rPr>
              <w:t>ADMA BIOLOGICS,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201"/>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(37,285,244)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(39,423,321)</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2,555,622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1,674,490</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Loss on disposal of fixed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78,135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3,518</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1,586,586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1,392,156</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908,151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874,732</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license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(71,417)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(71,417)</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(10,307,304)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(3,044,246)</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(18,164,144)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(2,936,614)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(2,655,397)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(2,159,834)</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Deposits and other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(144,657)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(283,195)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(4,906,244)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(2,264,932)</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2,980,534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399,295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(65,984)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(92,067)</w:t>
            </w: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(65,491,363)</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(45,931,435)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(7,046,735)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(6,243,284)</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Proceeds from the sale of property and equipment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2,000</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(7,046,735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(6,241,284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common stock, net of offering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59,102,075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88,704,039</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stock options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13,432</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Taxes paid on vested Restricted Stock Units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(59,311)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note payable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12,500,000</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Payments on finance lease obligations</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(16,860)</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(15,765)</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59,025,904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101,201,706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(13,512,194)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49,028,987</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55,921,152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26,752,135</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42,408,958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75,781,122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60" w:firstLine="607"/>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firstLine="607"/>
        <w:spacing w:after="0" w:line="290" w:lineRule="auto"/>
        <w:rPr>
          <w:sz w:val="20"/>
          <w:szCs w:val="20"/>
          <w:color w:val="auto"/>
        </w:rPr>
      </w:pPr>
      <w:r>
        <w:rPr>
          <w:rFonts w:ascii="Arial" w:cs="Arial" w:eastAsia="Arial" w:hAnsi="Arial"/>
          <w:sz w:val="16"/>
          <w:szCs w:val="16"/>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(the “Biotest Assets”) of BTBU, which included the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eight plasma collection facilities in various stages of approval and development located throughout the U.S., two of which hold an approved license with the U.S. Food and Drug Administration (the “FDA”) while a third facility has a Biologics License Application (“BLA”) pending FDA approval.</w:t>
      </w:r>
    </w:p>
    <w:p>
      <w:pPr>
        <w:spacing w:after="0" w:line="165" w:lineRule="exact"/>
        <w:rPr>
          <w:sz w:val="20"/>
          <w:szCs w:val="20"/>
          <w:color w:val="auto"/>
        </w:rPr>
      </w:pPr>
    </w:p>
    <w:p>
      <w:pPr>
        <w:ind w:right="20" w:firstLine="607"/>
        <w:spacing w:after="0" w:line="288" w:lineRule="auto"/>
        <w:rPr>
          <w:sz w:val="20"/>
          <w:szCs w:val="20"/>
          <w:color w:val="auto"/>
        </w:rPr>
      </w:pPr>
      <w:r>
        <w:rPr>
          <w:rFonts w:ascii="Arial" w:cs="Arial" w:eastAsia="Arial" w:hAnsi="Arial"/>
          <w:sz w:val="16"/>
          <w:szCs w:val="16"/>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right="20" w:firstLine="607"/>
        <w:spacing w:after="0" w:line="269" w:lineRule="auto"/>
        <w:rPr>
          <w:sz w:val="20"/>
          <w:szCs w:val="20"/>
          <w:color w:val="auto"/>
        </w:rPr>
      </w:pPr>
      <w:r>
        <w:rPr>
          <w:rFonts w:ascii="Arial" w:cs="Arial" w:eastAsia="Arial" w:hAnsi="Arial"/>
          <w:sz w:val="17"/>
          <w:szCs w:val="17"/>
          <w:color w:val="auto"/>
        </w:rPr>
        <w:t>As of June 30, 2021, the Company had working capital of $153.2 million, including $42.4 million of cash and cash equivalents. Based upon the Company’s current projected revenue and expenditures, including capital expenditures and continued implementation of the Company’s commercialization and expansion activities, the Company’s management currently believes that its cash, cash equivalents, projected revenue and accounts receivable will be sufficient to fund ADMA’s operations, as currently conducted, into the fourth quarter of 2021. In order to have sufficient cash to fund its operations thereafter, the Company anticipates it will need to raise additional capital before the end of the fourth quarter of 2021. These estimates may change based upon several factors, including the success of the Company’s commercial sales of its products, manufacturing ramp-up activities, the acceptability of ADMA’s immune globulin products by physicians, patients or payers and the various financing options that may be available to the Company. In addition, the Company’s end-to-end production cycle from procurement of raw materials to commercial release of finished product can take between seven and 12 months or potentially longer, requiring substantial investments in raw material plasma and other manufacturing materials. The Company currently has no firm commitments for additional financing, and there can be no assurance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Due to numerous risks and uncertainties associated with FDA review, inspections and approvals related to the Company’s products or the labeled indications of such products, ongoing compliance requirements and capacity expansion efforts at the Company’s Boca Facility and future commercialization of the Company’s products, including the Company’s ability to obtain adequate quantities of FDA-approved plasma with proper specifications on acceptable terms for use in the Company’s manufacturing process, as well as the additional uncertainties surrounding the COVID-19 pandemic (see Note 10), the Company is unable to estimate with certainty the amounts of increased capital outlays and operating expenditures required to fund its commercial and development activities. The Company’s current estimates may be subject to change as circumstances regarding its business requirements evolve. Failure to secure any necessary financing in a timely manner and on commercially reasonable terms could have a material adverse effect on the Company’s business plan and financial performance and it could be forced to delay or discontinue its commercialization, product development or clinical activities or delay or discontinue the approval efforts for any of the Company’s products or product candidates. The Company has reported cumulative losses since inception in June 2004 through June 30, 2021 of $377.8 million.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1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the Company’s existing stockholders and, in such event, the market value of its common stock may decline. The incurrence of additional indebtedness would result in increased fixed obligations and could also result in covenants that would restrict the Company’s operations or other financing alternatives. In addition, the Company is exploring additional contract manufacturing arrangements and other business development opportunities, which may provide additional liquidity to the Company.</w:t>
      </w:r>
    </w:p>
    <w:p>
      <w:pPr>
        <w:spacing w:after="0" w:line="192"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During the six months ended June 30, 2021, the Company raised $59.1 million from the open market sale agreement dated August 5, 2020, as amended, (the “2020 Sale Agreement”) with Jefferies LLC (“Jefferies”), pursuant to which the Company could offer and sell, from time to time, at its option, through or to Jefferies, shares of the Company’s common stock (see Note 8). In July of 2021, the Company raised an additional $1.5 million under the 2020 Sale Agreement, and the Company has reached the maximum amount of funds that can be raised under the 2020 Sale Agreement.</w:t>
      </w:r>
    </w:p>
    <w:p>
      <w:pPr>
        <w:spacing w:after="0" w:line="157"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On May 28, 2021, the Company entered into a new Open Market Sale AgreementSM (the “2021 Sale Agreement”) with Jefferies, pursuant to which the Company may offer and sell, from time to time, at its option, through or to Jefferies, up to an aggregate of $50,000,000 of shares of the Company’s common stock. As of August 11, 2021, there have been no sales of common stock under the 2021 Sale Agreement.</w:t>
      </w:r>
    </w:p>
    <w:p>
      <w:pPr>
        <w:spacing w:after="0" w:line="165"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There can be no assurance that the Company’s approved products will be commercially viable, or that research and development,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1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annual audited consolidated financial statements and notes thereto as of and for the year ended December 31, 2020 included in the Company’s Annual Report on Form 10-K filed with the U.S. Securities and Exchange Commission (the “SEC”) on March 25, 2021. The accompanying consolidated balance sheet as of December 31, 2020 was derived from the audited financial statements as of and for the year ended December 31, 2020.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June 30, 2021 and its results of operations, changes in equity and cash flows for the three and six months ended June 30, 2021.</w:t>
      </w:r>
    </w:p>
    <w:p>
      <w:pPr>
        <w:spacing w:after="0" w:line="18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the three and six months ended June 30, 2021 and 2020,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7) approximates fair value due to the variable interest rate on this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Accounts receivable is reported at realizable value, net of allowances for contractual credits and doubtful accounts in the amount of $0.2 million and $0.1 million at June 30, 2021 and December 31, 2020, respectively, which are recognized in the period the related revenue is recorded. </w:t>
      </w:r>
      <w:r>
        <w:rPr>
          <w:rFonts w:ascii="Arial" w:cs="Arial" w:eastAsia="Arial" w:hAnsi="Arial"/>
          <w:sz w:val="17"/>
          <w:szCs w:val="17"/>
          <w:color w:val="212529"/>
        </w:rPr>
        <w:t>The Company</w:t>
      </w:r>
      <w:r>
        <w:rPr>
          <w:rFonts w:ascii="Arial" w:cs="Arial" w:eastAsia="Arial" w:hAnsi="Arial"/>
          <w:sz w:val="17"/>
          <w:szCs w:val="17"/>
          <w:color w:val="auto"/>
        </w:rPr>
        <w:t xml:space="preserve"> </w:t>
      </w:r>
      <w:r>
        <w:rPr>
          <w:rFonts w:ascii="Arial" w:cs="Arial" w:eastAsia="Arial" w:hAnsi="Arial"/>
          <w:sz w:val="17"/>
          <w:szCs w:val="17"/>
          <w:color w:val="212529"/>
        </w:rPr>
        <w:t xml:space="preserve">extends credit to its customers based upon an evaluation of each customer’s financial condition and credit history. Evaluations of the financial condition and associated credit risk of customers are performed on an ongoing basis. </w:t>
      </w:r>
      <w:r>
        <w:rPr>
          <w:rFonts w:ascii="Arial" w:cs="Arial" w:eastAsia="Arial" w:hAnsi="Arial"/>
          <w:sz w:val="17"/>
          <w:szCs w:val="17"/>
          <w:color w:val="000000"/>
        </w:rPr>
        <w:t>Based on these evaluations, the Company has concluded that its credit risk is</w:t>
      </w:r>
      <w:r>
        <w:rPr>
          <w:rFonts w:ascii="Arial" w:cs="Arial" w:eastAsia="Arial" w:hAnsi="Arial"/>
          <w:sz w:val="17"/>
          <w:szCs w:val="17"/>
          <w:color w:val="212529"/>
        </w:rPr>
        <w:t xml:space="preserve"> </w:t>
      </w:r>
      <w:r>
        <w:rPr>
          <w:rFonts w:ascii="Arial" w:cs="Arial" w:eastAsia="Arial" w:hAnsi="Arial"/>
          <w:sz w:val="17"/>
          <w:szCs w:val="17"/>
          <w:color w:val="000000"/>
        </w:rPr>
        <w:t>minimal. At June 30, 2021, six customers accounted for an aggregate of 94% of the Company’s total accounts receivable, and at December 31, 2020, three customers accounted for approximately 92% of the Company’s total accounts receivable.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ind w:right="80" w:firstLine="607"/>
        <w:spacing w:after="0" w:line="255" w:lineRule="auto"/>
        <w:rPr>
          <w:sz w:val="20"/>
          <w:szCs w:val="20"/>
          <w:color w:val="auto"/>
        </w:rPr>
      </w:pPr>
      <w:r>
        <w:rPr>
          <w:rFonts w:ascii="Arial" w:cs="Arial" w:eastAsia="Arial" w:hAnsi="Arial"/>
          <w:sz w:val="18"/>
          <w:szCs w:val="18"/>
          <w:color w:val="auto"/>
        </w:rPr>
        <w:t>Raw materials inventory consists of various materials purchased from suppliers, including normal source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spacing w:after="0" w:line="192" w:lineRule="exact"/>
        <w:rPr>
          <w:sz w:val="20"/>
          <w:szCs w:val="20"/>
          <w:color w:val="auto"/>
        </w:rPr>
      </w:pPr>
    </w:p>
    <w:p>
      <w:pPr>
        <w:ind w:right="60" w:firstLine="607"/>
        <w:spacing w:after="0" w:line="290"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sectPr>
          <w:pgSz w:w="11900" w:h="16838" w:orient="portrait"/>
          <w:cols w:equalWidth="0" w:num="1">
            <w:col w:w="11220"/>
          </w:cols>
          <w:pgMar w:left="320" w:top="122" w:right="3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June 30, 2021 and December 31, 2020 was $3.5 million. All of the Company’s goodwill is attributable to its ADMA BioManufacturing business segment and is related to the 2017 Biotest Transaction.</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2020 did not result in a goodwill impairment charge, and the Company did not record any impairment charges related to goodwill for the three and six months ended June 30, 2021 and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and six months ended June 30, 2021 and 2020, the Company determined that there was no impairment of its long-lived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Revenues for the three and six months ended June 30, 2021 and 2020 are comprised of (i) revenues from the sale of the Company’s immunoglobulin products, BIVIGAM, ASCENIV and Nabi-HB, (ii)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4"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For the six months ended June 30, 2021, five customers represented an aggregate of 85% of the Company’s consolidated revenues. For the six months ended June 30, 2020, three customers represented an aggregate of 81% of the Company’s consolidated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in the accompanying condensed consolidated financial statements as the Company reported a net loss for all periods presented. For the six months ended June 30, 2021 and 2020, the following securities were excluded from the calculation of diluted loss per common share because of their anti-dilutive effects: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40" w:type="dxa"/>
            <w:vAlign w:val="bottom"/>
          </w:tcPr>
          <w:p>
            <w:pPr>
              <w:spacing w:after="0"/>
              <w:rPr>
                <w:sz w:val="20"/>
                <w:szCs w:val="20"/>
                <w:color w:val="auto"/>
              </w:rPr>
            </w:pPr>
          </w:p>
        </w:tc>
        <w:tc>
          <w:tcPr>
            <w:tcW w:w="2800" w:type="dxa"/>
            <w:vAlign w:val="bottom"/>
            <w:gridSpan w:val="4"/>
          </w:tcPr>
          <w:p>
            <w:pPr>
              <w:spacing w:after="0"/>
              <w:rPr>
                <w:sz w:val="20"/>
                <w:szCs w:val="20"/>
                <w:color w:val="auto"/>
              </w:rPr>
            </w:pPr>
            <w:r>
              <w:rPr>
                <w:rFonts w:ascii="Arial" w:cs="Arial" w:eastAsia="Arial" w:hAnsi="Arial"/>
                <w:sz w:val="18"/>
                <w:szCs w:val="18"/>
                <w:b w:val="1"/>
                <w:bCs w:val="1"/>
                <w:color w:val="auto"/>
                <w:w w:val="92"/>
              </w:rPr>
              <w:t>For the Six Months Ended June 30,</w:t>
            </w:r>
          </w:p>
        </w:tc>
      </w:tr>
      <w:tr>
        <w:trPr>
          <w:trHeight w:val="223"/>
        </w:trPr>
        <w:tc>
          <w:tcPr>
            <w:tcW w:w="84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7,783,029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6,801,779</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20" w:type="dxa"/>
            <w:vAlign w:val="bottom"/>
          </w:tcPr>
          <w:p>
            <w:pPr>
              <w:jc w:val="right"/>
              <w:spacing w:after="0"/>
              <w:rPr>
                <w:sz w:val="20"/>
                <w:szCs w:val="20"/>
                <w:color w:val="auto"/>
              </w:rPr>
            </w:pPr>
            <w:r>
              <w:rPr>
                <w:rFonts w:ascii="Arial" w:cs="Arial" w:eastAsia="Arial" w:hAnsi="Arial"/>
                <w:sz w:val="18"/>
                <w:szCs w:val="18"/>
                <w:color w:val="auto"/>
              </w:rPr>
              <w:t>686,133</w:t>
            </w: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326,000</w:t>
            </w:r>
          </w:p>
        </w:tc>
      </w:tr>
      <w:tr>
        <w:trPr>
          <w:trHeight w:val="223"/>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4,528,160</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2,138,160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12,997,322</w:t>
            </w: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9,265,939</w:t>
            </w:r>
          </w:p>
        </w:tc>
      </w:tr>
      <w:tr>
        <w:trPr>
          <w:trHeight w:val="20"/>
        </w:trPr>
        <w:tc>
          <w:tcPr>
            <w:tcW w:w="84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basis over the associated vesting period of the award based on the grant date fair value of the award. Stock options granted under the Company’s equity incentive plans generally have a four-year vesting period and a term of 10 years. Pursuant to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the Company has elected not to establish a forfeiture rate, as stock-based compensation expense related to forfeitures of unvested stock options is fully reversed at the time of forfeiture.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2016 and for previous periods as it relates to the Company’s net operating loss carryforwards.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June 30, 2021 and December 31, 2020, and during the three and six months ended June 30, 2021 and 2020, the Company recognized no adjustments for uncertain tax positions.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which requires financial assets to be presented at the net amount expected to be collected, with 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The Company adopted ASU 2016-13 on January 1, 2020, and the adoption of this update did not have a significant impact on the Company’s consolidated financial statements.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The following table provides the components of inventories: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33,058,221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32,044,393</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49,163,125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30,293,288</w:t>
            </w: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17,478,397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19,197,918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99,699,743</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81,535,599</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Raw materials includes plasma and other materials expected to be used in the production of BIVIGAM, ASCENIV and Nabi-HB, as there are alternative uses for these materials that provide a probable future benefit or will be consumed in the production of goods expected to be available for sale. All other activities and materials associated with the production of inventories used in research and development activities are expensed as incurred.</w:t>
      </w:r>
    </w:p>
    <w:p>
      <w:pPr>
        <w:spacing w:after="0" w:line="14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 Finished goods inventory is comprised of immunoglobulin product inventory and related intermediates that are available for commercial sale, as well as plasma collected at the Company’s plasma collection centers which is expected to be sold to third-party customers.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June 30, 2021 and December 31, 2020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0"/>
              </w:rPr>
              <w:t>June 30, 2021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December 31, 2020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Amortization</w:t>
            </w:r>
          </w:p>
        </w:tc>
        <w:tc>
          <w:tcPr>
            <w:tcW w:w="26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Amortization</w:t>
            </w:r>
          </w:p>
        </w:tc>
        <w:tc>
          <w:tcPr>
            <w:tcW w:w="24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Trademark and other intangible rights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to Nabi-HB</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4,100,046</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2,391,693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1,708,353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4,100,046</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2,098,833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2,001,213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907,421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529,329</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378,092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907,421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464,513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442,908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1,076,557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1,076,557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6,084,024</w:t>
            </w:r>
          </w:p>
        </w:tc>
        <w:tc>
          <w:tcPr>
            <w:tcW w:w="260" w:type="dxa"/>
            <w:vAlign w:val="bottom"/>
          </w:tcPr>
          <w:p>
            <w:pPr>
              <w:spacing w:after="0"/>
              <w:rPr>
                <w:sz w:val="18"/>
                <w:szCs w:val="18"/>
                <w:color w:val="auto"/>
              </w:rPr>
            </w:pPr>
          </w:p>
        </w:tc>
        <w:tc>
          <w:tcPr>
            <w:tcW w:w="240" w:type="dxa"/>
            <w:vAlign w:val="bottom"/>
          </w:tcPr>
          <w:p>
            <w:pPr>
              <w:jc w:val="right"/>
              <w:ind w:right="7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3,997,579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2,086,445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6,084,024</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3,639,903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2,444,121</w:t>
            </w:r>
          </w:p>
        </w:tc>
      </w:tr>
      <w:tr>
        <w:trPr>
          <w:trHeight w:val="21"/>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All of the Company’s intangible assets were acquired in the Biotest Transaction. Amortization expense related to these intangible assets was $0.2 million for the three months ended June 30, 2021 and 2020, and $0.4 million for the six months ended June 30, 2021 and 2020. Estimated aggregate future aggregate amortization expense is expected to be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5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357,676</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2022</w:t>
            </w:r>
          </w:p>
        </w:tc>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715,352</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5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715,352</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2024</w:t>
            </w:r>
          </w:p>
        </w:tc>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298,065</w:t>
            </w:r>
          </w:p>
        </w:tc>
      </w:tr>
      <w:tr>
        <w:trPr>
          <w:trHeight w:val="37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and related accumulated depreciation are summarized as follows: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June 30, 2021</w:t>
            </w: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15,082,205</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14,468,874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Office equipment and computer software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3,649,504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3,253,528</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2,039,398</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5,966,844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3,336,557</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7,192,820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5,272,490</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4,339,441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4,339,441</w:t>
            </w: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18,694,960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17,746,744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57,442,503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50,457,032</w:t>
            </w: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(10,955,523)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(8,863,942)</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46,486,980</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41,593,090</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Fixed assets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4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Company recorded depreciation expense on property and equipment for the three and six months ended June 30, 2021 of $1.1 million and $2.2 million, respectively. Depreciation expense for the three and six months ended June 30, 2020 was $0.7 million and $1.3 million, respectively.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gridSpan w:val="4"/>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860" w:type="dxa"/>
            <w:vAlign w:val="bottom"/>
            <w:gridSpan w:val="3"/>
          </w:tcPr>
          <w:p>
            <w:pPr>
              <w:ind w:left="320"/>
              <w:spacing w:after="0"/>
              <w:rPr>
                <w:sz w:val="20"/>
                <w:szCs w:val="20"/>
                <w:color w:val="auto"/>
              </w:rPr>
            </w:pPr>
            <w:r>
              <w:rPr>
                <w:rFonts w:ascii="Arial" w:cs="Arial" w:eastAsia="Arial" w:hAnsi="Arial"/>
                <w:sz w:val="18"/>
                <w:szCs w:val="18"/>
                <w:color w:val="auto"/>
                <w:w w:val="91"/>
              </w:rPr>
              <w:t>Accrued expenses and other current liabilities at June 30, 2021 and December 31, 2020 are as follows: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June 30, 2021</w:t>
            </w:r>
          </w:p>
        </w:tc>
        <w:tc>
          <w:tcPr>
            <w:tcW w:w="1660" w:type="dxa"/>
            <w:vAlign w:val="bottom"/>
            <w:gridSpan w:val="6"/>
          </w:tcPr>
          <w:p>
            <w:pPr>
              <w:ind w:left="10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16"/>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rebates</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3,721,888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Accrued distribution fees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1,928,901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828,120</w:t>
            </w:r>
          </w:p>
        </w:tc>
        <w:tc>
          <w:tcPr>
            <w:tcW w:w="0" w:type="dxa"/>
            <w:vAlign w:val="bottom"/>
          </w:tcPr>
          <w:p>
            <w:pPr>
              <w:spacing w:after="0"/>
              <w:rPr>
                <w:sz w:val="1"/>
                <w:szCs w:val="1"/>
                <w:color w:val="auto"/>
              </w:rPr>
            </w:pPr>
          </w:p>
        </w:tc>
      </w:tr>
      <w:tr>
        <w:trPr>
          <w:trHeight w:val="216"/>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691,483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734,972</w:t>
            </w:r>
          </w:p>
        </w:tc>
        <w:tc>
          <w:tcPr>
            <w:tcW w:w="0" w:type="dxa"/>
            <w:vAlign w:val="bottom"/>
          </w:tcPr>
          <w:p>
            <w:pPr>
              <w:spacing w:after="0"/>
              <w:rPr>
                <w:sz w:val="1"/>
                <w:szCs w:val="1"/>
                <w:color w:val="auto"/>
              </w:rPr>
            </w:pP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Accrued testing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1,673,120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779,660</w:t>
            </w:r>
          </w:p>
        </w:tc>
        <w:tc>
          <w:tcPr>
            <w:tcW w:w="0" w:type="dxa"/>
            <w:vAlign w:val="bottom"/>
          </w:tcPr>
          <w:p>
            <w:pPr>
              <w:spacing w:after="0"/>
              <w:rPr>
                <w:sz w:val="1"/>
                <w:szCs w:val="1"/>
                <w:color w:val="auto"/>
              </w:rPr>
            </w:pPr>
          </w:p>
        </w:tc>
      </w:tr>
      <w:tr>
        <w:trPr>
          <w:trHeight w:val="216"/>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incentives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1,539,491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3,210,884</w:t>
            </w:r>
          </w:p>
        </w:tc>
        <w:tc>
          <w:tcPr>
            <w:tcW w:w="0" w:type="dxa"/>
            <w:vAlign w:val="bottom"/>
          </w:tcPr>
          <w:p>
            <w:pPr>
              <w:spacing w:after="0"/>
              <w:rPr>
                <w:sz w:val="1"/>
                <w:szCs w:val="1"/>
                <w:color w:val="auto"/>
              </w:rPr>
            </w:pP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Accrued severance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789,534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1,145,822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4"/>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11,490,239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8,365,143</w:t>
            </w:r>
          </w:p>
        </w:tc>
        <w:tc>
          <w:tcPr>
            <w:tcW w:w="0" w:type="dxa"/>
            <w:vAlign w:val="bottom"/>
          </w:tcPr>
          <w:p>
            <w:pPr>
              <w:spacing w:after="0"/>
              <w:rPr>
                <w:sz w:val="1"/>
                <w:szCs w:val="1"/>
                <w:color w:val="auto"/>
              </w:rPr>
            </w:pPr>
          </w:p>
        </w:tc>
      </w:tr>
      <w:tr>
        <w:trPr>
          <w:trHeight w:val="20"/>
        </w:trPr>
        <w:tc>
          <w:tcPr>
            <w:tcW w:w="8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7.  DEBT</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82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860" w:type="dxa"/>
            <w:vAlign w:val="bottom"/>
            <w:gridSpan w:val="3"/>
          </w:tcPr>
          <w:p>
            <w:pPr>
              <w:ind w:left="320"/>
              <w:spacing w:after="0"/>
              <w:rPr>
                <w:sz w:val="20"/>
                <w:szCs w:val="20"/>
                <w:color w:val="auto"/>
              </w:rPr>
            </w:pPr>
            <w:r>
              <w:rPr>
                <w:rFonts w:ascii="Arial" w:cs="Arial" w:eastAsia="Arial" w:hAnsi="Arial"/>
                <w:sz w:val="18"/>
                <w:szCs w:val="18"/>
                <w:color w:val="auto"/>
              </w:rPr>
              <w:t>A summary of outstanding senior notes payable is as follows: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100,000,000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(6,122,983)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(7,031,134)</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Senior notes payable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93,877,017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92,968,866</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Under the Credit Agreement and Guaranty, as amended from time to time, (the “Perceptive Credit Agreement”) with Perceptive Credit Holdings II, LP, as the lender and administrative agent (“Perceptive”), the Company has a principal balance outstanding to Perceptive in the form of senior secured notes payable to Perceptive aggregating to $100.0 million with a maturity date of March 1, 2024 (the “Maturity Date”), subject to acceleration pursuant to the Perceptive Credit Agreement, including upon an Event of Default (as defined in the Perceptive Credit Agreement). On the Maturity Date, the Company will pay Perceptive the entire outstanding principal amount and any accrued and unpaid interest thereon. Prior to the Maturity Date, there are no scheduled principal payments due under the Perceptive Credit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ind w:right="220" w:firstLine="8"/>
        <w:spacing w:after="0" w:line="253"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3.5%; provided, however, that upon, and during the continuance of, an Event of Default, the interest rate will automatically increase by an additional 400 basis points. Accrued interest is payable to Perceptive on the last day of each month during the term of the Perceptive Credit Facility. The rate of interest in effect as of June 30, 2021 was 11.0%, and the Company paid interest to Perceptive during the six months ended June 30, 2021 and 2020 in the amount of $5.5 million and $4.4 million, respectively.</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All of the Company’s obligations under the Perceptive Credit Agreement are secured by a first-priority lien and security interest in substantially all of the Company’s tangible and intangible assets, including intellectual property and all of the equity interests in the Company’s subsidiaries. The Perceptive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Perceptive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Perceptive Credit Agreement); change its fiscal year; pay dividends; repay other certain indebtedness; engage in certain affiliate transactions; or enter into, amend or terminate any other agreements that have the impact of restricting the Company’s ability to make loan repayments under the Perceptive Credit Agreement. In addition, the Company must (i) at all times prior to the Maturity Date maintain a minimum cash balance of $3.0 million; and (ii) as of the last day of each fiscal quarter commencing with the fiscal quarter ended June 30, 2019, report revenues for the trailing 12-month period that exceed the amounts set forth in the Perceptive Credit Agreement, which range from $7.0 million for the fiscal quarter ended June 30, 2019 to $55.0 million for the fiscal quarter ending December 31, 2021. At June 30, 2021, the Company was in compliance with all of the covenants contained in the Perceptive Credit Agreement.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a result of the fees paid to Perceptive and the value of the warrants issued to Perceptive under the terms of the Perceptive Credit Agreement, the Company recognized an aggregate discount on the senior secured notes in the amount of $7.1 million. The Company records debt discount as a reduction to the face amount of the debt, and the debt discount is amortized as interest expense over the life of the debt using the interest method. Based on the fair value of the Perceptive Warrants and the aggregate amount of fees and expenses associated with obtaining the Perceptive Credit Facility, the effective interest rate on senior secured notes payable to Perceptive as of June 30, 2021 was approximately 13.7%.</w:t>
      </w:r>
    </w:p>
    <w:p>
      <w:pPr>
        <w:spacing w:after="0" w:line="17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June 30, 2021 and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of June 30, 2021 and December 31, 2020, the Company was authorized to issue 300,000,000 and 150,000,000 shares, respectively, of its common stock, $0.0001 par value per share, and 131,872,026 and 104,902,888 shares of common stock were outstanding as of June 30, 2021 and December 31, 2020, respectively. On May 27, 2021, the Company’s stockholders approved an amendment to the Company’s certificate of incorporation which increased the number of shares of common stock that the Company is authorized to issue from 150,000,000 to 300,000,000. After giving effect to the 17,073,357 shares reserved for outstanding warrants and awards issued or reserved for future issuance under the Company’s equity incentive plans, as of June 30, 2021 there were 151,054,617 shares of common stock available for issuance.</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August 5, 2020, the Company entered into the 2020 Sale Agreement with Jefferies (see Note 1), pursuant to which the Company could offer and sell, from time to time, at its option, through or to Jefferies, up to an aggregate of $50 million of shares of the Company’s common stock. On November 5, 2020 and February 3, 2021, the Company and Jefferies amended the 2020 Sale Agreement to provide for increases in the aggregate offering amount under the Sale Agreement such that the Company could sell shares having an aggregate offering price of up to $105.4 million under the 2020 Sale Agreement, as amended. During the six months ended June 30, 2021, the Company issued and sold 26,907,753 shares of common stock under the 2020 Sale Agreement and received net proceeds of $59.1 million (see Note 14).</w:t>
      </w:r>
    </w:p>
    <w:p>
      <w:pPr>
        <w:spacing w:after="0" w:line="17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On May 28, 2021, the Company entered into the 2021 Sale Agreement with Jefferies, pursuant to which the Company may offer and sell, from time to time, at its option, through or to Jefferies, up to an aggregate of $50,000,000 of shares of the Company’s common stock. As of the date of this report, there have been no sales of common stock under this agreement.</w:t>
      </w:r>
    </w:p>
    <w:p>
      <w:pPr>
        <w:spacing w:after="0" w:line="184"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On February 11, 2020, the Company completed an underwritten public offering of 23,500,000 shares of its common stock for gross proceeds of $82.3 million. On February 21, 2020, the Company sold an additional 3,525,000 shares pursuant to the underwriters’ exercise of their option to purchase additional shares of the Company’s common stock for additional gross proceeds of $12.3 million. The Company received net proceeds, after underwriting discounts and other expenses associated with the offering, of approximately $88.7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At June 30, 2021 and December 31, 2020, the Company had outstanding warrants to purchase an aggregate of 4,528,160 shares of common stock, with a weighted average exercise price of $2.82 per share and expiration dates ranging between June 2022 and December 2030.</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six months ended June 30, 2021 and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p>
        </w:tc>
        <w:tc>
          <w:tcPr>
            <w:tcW w:w="2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85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2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5.5 - 6.3 years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5.5 - 6.3 years</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Volatility</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69%</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62-67%</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0.80-1.14%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0.38-1.68%</w:t>
            </w:r>
          </w:p>
        </w:tc>
      </w:tr>
    </w:tbl>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six months ended June 30, 2021 and 2020, the Company granted options to purchase an aggregate of 1,658,050 and 1,232,500 shares of common stock, respectively, to its directors, employees and certain third-party service providers. The weighted average remaining contractual life of stock options outstanding and expected to vest at June 30, 2021 is 6.5 years. The weighted average remaining contractual life of stock options exercisable at June 30, 2021 is 5.2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vested and expected to vest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6,922,931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(404,782)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(393,170)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1,658,050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outstanding, vested and expected to vest at June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7,783,029</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exercisable</w:t>
            </w:r>
          </w:p>
        </w:tc>
        <w:tc>
          <w:tcPr>
            <w:tcW w:w="1120" w:type="dxa"/>
            <w:vAlign w:val="bottom"/>
          </w:tcPr>
          <w:p>
            <w:pPr>
              <w:jc w:val="right"/>
              <w:spacing w:after="0"/>
              <w:rPr>
                <w:sz w:val="20"/>
                <w:szCs w:val="20"/>
                <w:color w:val="auto"/>
              </w:rPr>
            </w:pPr>
            <w:r>
              <w:rPr>
                <w:rFonts w:ascii="Arial" w:cs="Arial" w:eastAsia="Arial" w:hAnsi="Arial"/>
                <w:sz w:val="18"/>
                <w:szCs w:val="18"/>
                <w:color w:val="auto"/>
              </w:rPr>
              <w:t>5,011,506</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2021, the Company had $4.2 million of unrecognized compensation expense related to options granted under the Company’s equity incentive plans, which is expected to be recognized over a weighted-average period of 2.6 years.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the six months ended June 30, 2021 and 2020, the Company granted Restricted Stock Units (“RSUs”) representing an aggregate of 542,244 and 341,000 shares, respectively, to certain management employees of the Company and to members of its Board of Directors. The RSUs vest annually over a period of four years for employees and semi-annually over a period of one year for directors. During the six months ended June 30, 2021, 87,750 shares vested in connection with grants of RSUs. With respect to these vested RSUs, 26,365 shares valued at approximately $59,000 were withheld by the Company to cover employees’ tax liabilities. On March 25, 2021, these shares were retired by the Company and were no longer outstanding as of June 30, 2021. A summary of the Company’s unvested RSU activity and related information is as follows: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Grant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Date Fair</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542,244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(94,361)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686,133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bl>
    <w:p>
      <w:pPr>
        <w:spacing w:after="0" w:line="202"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As of June 30, 2021, the Company had $1.5 million of unrecognized compensation expense related to unvested RSUs granted under the Company’s equity incentive plans, which is expected to be recognized over a weighted-average period of 3.3 years.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stock-based compensation expense for all awards granted under the Company’s equity incentive plans for the three months and six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Plasma center operating expenses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13,637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24,455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15,754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539,256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1,254,327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1,063,145</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83,237</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62,813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160,098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114,654</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805,189</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715,608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1,586,586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1,392,156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leases an office building and equipment from Areth, LLC (“Areth”) pursuant to an agreement for services effective as of January 1, 2016, as amended from time to time. Rent expense for the six months ended June 30, 2021 and 2020 amounted to $60,000. Areth is a company controlled by Dr. Jerrold B. Grossman, the Vice Chairman of the Company’s Board of Directors, and Adam S. Grossman, the Company’s President and Chief Executive Officer. The Company also reimburses Areth for office and building related (common area) expenses, equipment and certain other operational expenses, which were not material to the consolidated financial statements for the six months ended June 30, 2021 and 2020. In addition, during the six months ended June 30, 2021, the Company purchased certain specialized medical equipment and services related to the Company’s plasma collection centers, as well as personal protective equipment, from GenesisBPS and its affiliates (“Genesis”), in the amount of $0.1 million. This amount was immaterial to the consolidated financial statements for the three and six months ended June 30, 2020. Dr. Grossman and Adam Grossman each own shares of Genesis.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See Note 7 for a discussion of the Company’s credit facility and related transactions with Perceptive, a holder of more than 10% of the Company’s common stock.</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During the three and six months ended June 30, 2021, in connection with the resignation of Dr. James Mond, the Company’s former Chief Scientific and Medical Officer, the Company recognized an expense and corresponding liability in the amount of $0.8 million for estimated payments to be made under a separation and transition agreement with Dr. Mond. Such payments are to be made in scheduled installments over a period of 10 months.</w:t>
      </w:r>
    </w:p>
    <w:p>
      <w:pPr>
        <w:spacing w:after="0" w:line="14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connection with the February 2020 public offering of the Company’s common stock (see Note 8) on February 11, 2020: (i) Perceptive Advisors, a principal stockholder of ADMA, purchased 4,563,700 shares of common stock through one of its affiliates, (ii) Dr. Grossman purchased 22,857 shares of common stock directly and 22,857 shares indirectly through an entity he controls, (iii) Lawrence P. Guiheen, a director of the Company, purchased 20,000 shares of common stock, (iv) Mr. Grossman purchased 28,571 shares of common stock directly and 57,143 shares indirectly through an entity he controls,</w:t>
      </w:r>
    </w:p>
    <w:p>
      <w:pPr>
        <w:spacing w:after="0" w:line="1" w:lineRule="exact"/>
        <w:rPr>
          <w:sz w:val="20"/>
          <w:szCs w:val="20"/>
          <w:color w:val="auto"/>
        </w:rPr>
      </w:pPr>
    </w:p>
    <w:p>
      <w:pPr>
        <w:ind w:right="680" w:firstLine="8"/>
        <w:spacing w:after="0" w:line="260"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Brian Lenz, the Company’s Executive Vice President and Chief Financial Officer, purchased 7,142 shares of common stock, and (vi) Dr. Mond purchased 4,285 shares of common stock, all at the public offering price of $3.50 per share.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Legal Matters</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continues to monitor the ongoing developments related to the COVID-19 pandemic, including the emergence of the Delta variant and other resistant strains of the coronavirus, and its impacts to the Company’s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88"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The Company had experienced some delays with final drug product release testing by third-party vendors. In response to these delays, the Company added additional release testing laboratories to its FDA-approved consortium listed in its drug approval documents which the Company believes has adequately addressed this issue. In addition, due to a combination of previous state and local “shelter-in-place” orders, as well as government stimulus packages, persisting social distancing measures and varying roll-outs of vaccinations by state, the Company has experienced lower than normal donor collections at its FDA approved plasma collection centers. The Company was also subject to delays in shipments of source plasma from its contracted third-party suppliers, as well as delays in deliveries for personal protective equipment, reagents and other non-plasma raw materials and supplies used in the manufacture and distribution of its products. The Company is also subject to supply chain delays as a result of certain of its suppliers diverting significant resources towards the rapid development and distribution of COVID-19 vaccines and, as a result, the Company may elect to carry more raw materials inventory than it has in the past. The COVID-19 pandemic has also impacted, to a certain degree, the Company’s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the Company’s ability to communicate with potential customers. The Company has implemented a comprehensive suite of virtual engagement initiatives, however, clinician engagement has been reduced due to rapidly evolving COVID-19 priorities at U.S. medical centers.</w:t>
      </w:r>
    </w:p>
    <w:p>
      <w:pPr>
        <w:spacing w:after="0" w:line="18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pandemic could also impact the Company’s ability to interact with the FDA or other regulatory authorities and may result in delays in the conduct of inspections or review of pending applications or submissions. During the second quarter of 2021, the Company was notified by the FDA that its submission for the approval of its in-house fill-finish process utilizing a recently installed aseptic filling machine will require a site inspection, either in person or virtually, of the Boca Facility. Although the inspection was completed in July of 2021, the FDA’s review of the Company’s regulatory filing with respect to its in-house fill-finish process and new aseptic filling machine remains ongoing. Although the Company anticipates receiving regulatory approval of this submission in the second half of 2021, no assurances can be provided as to the timing for completion of this FDA review or any other regulatory submissions or applications that may be impacted by restrictions related to COVID-19.</w:t>
      </w:r>
    </w:p>
    <w:p>
      <w:pPr>
        <w:spacing w:after="0" w:line="17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Although the COVID-19 pandemic has not, to date, materially adversely impacted the Company’s capital and financial resources, because the Company is unable to determine the ultimate severity or duration of the pandemic or its long-term effects on, among other things, the global, national or local economies, the capital and credit markets or the Company’s workforce, customers or our suppliers, at this time the Company is unable to predict whether COVID-19 will have a material adverse impact on the Company’s business, financial condition, liquidity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Commitments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executes its commercialization plans for ASCENIV. Unless terminated earlier, the 2011 Plasma Purchase Agreement expires in June 2027, after which it may be renewed for two additional five-year periods if agreed to by the parties. As part of the closing of the Biotest Transaction, the parties amended the 2011 Plasma Purchase Agreement to extend the initial term through the ten-year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may purchase RSV plasma from Grifols from the two plasma collection centers that were transferred to BPC on January 1, 2019 at a price equal to cost plus five percent (5%) (without any additional increase due to inflation).</w:t>
      </w:r>
    </w:p>
    <w:p>
      <w:pPr>
        <w:spacing w:after="0" w:line="17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Effective as of May 12, 2021, the Company and Grifols amended the foregoing 2017 Plasma Purchase Agreement whereby, among other things, the term of the agreement was extended through December 31, 2022, while certain historical provisions were deleted. In order to maintain a reliable supply of raw material plasma thereafter, the Company is in late-stage discussion with multiple third-party suppliers of NSP to supplement the 2017 Plasma Purchase Agreement, and the Company has also increased the number of planned plasma collection center buildouts and is continuing to increase its plasma collection capabilities at its ADMA BioCenters plasma collection centers business segment.</w:t>
      </w:r>
    </w:p>
    <w:p>
      <w:pPr>
        <w:spacing w:after="0" w:line="17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Company purchases substantially all of its raw material plasma from Grifols. For the six months ended June 30, 2021, plasma purchases from Grifols totaled $17.5 million, or approximately 67% of the Company’s total inventory purchases. For the six months ended June 30, 2020, plasma purchases from Grifols totaled approximately $3.7 million, representing approximately 42% of the Company’s total inventory purchases.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both studies to be completed by June of 2023.</w:t>
      </w:r>
    </w:p>
    <w:p>
      <w:pPr>
        <w:spacing w:after="0" w:line="1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connection with the FDA’s approval of ASCENIV on April 1, 2019, the Company is required to perform a pediatric study to evaluate the safety and efficacy of ASCENIV in children and adolescents. This study is required to be completed by June of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contracts</w:t>
      </w:r>
    </w:p>
    <w:p>
      <w:pPr>
        <w:spacing w:after="0" w:line="225"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The Company has entered into employment agreements with its executive management team consisting of its President and Chief Executive Officer, its Executive Vice President and Chief Financial Officer and its former Executive Vice President, Chief Medical Officer and Chief Scientific Officer (see Note 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June 30, 2021. The Company does not anticipate recognizing any significant losses relating to these arrangements.</w:t>
      </w:r>
    </w:p>
    <w:p>
      <w:pPr>
        <w:spacing w:after="0" w:line="18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is engaged in the manufacture, marketing and development of specialty plasma-derived biologics. The Company’s ADMA BioManufacturing segment reflects the Company’s immunoglobulin manufacturing, commercial and development operations in Boca Raton, FL, acquired on June 6, 2017 (see Note 1). The Plasma Collection Centers segment as of June 30, 2021 consists of eight plasma collection facilities in various stages of approval and development located throughout the U.S., two of which hold an approved license with the FDA while a third facility has a BLA pending FDA approval.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560"/>
              <w:spacing w:after="0" w:line="205" w:lineRule="exact"/>
              <w:rPr>
                <w:sz w:val="20"/>
                <w:szCs w:val="20"/>
                <w:color w:val="auto"/>
              </w:rPr>
            </w:pPr>
            <w:r>
              <w:rPr>
                <w:rFonts w:ascii="Arial" w:cs="Arial" w:eastAsia="Arial" w:hAnsi="Arial"/>
                <w:sz w:val="18"/>
                <w:szCs w:val="18"/>
                <w:b w:val="1"/>
                <w:bCs w:val="1"/>
                <w:color w:val="auto"/>
              </w:rPr>
              <w:t>ADMA</w:t>
            </w:r>
          </w:p>
        </w:tc>
        <w:tc>
          <w:tcPr>
            <w:tcW w:w="1600" w:type="dxa"/>
            <w:vAlign w:val="bottom"/>
            <w:tcBorders>
              <w:top w:val="single" w:sz="8" w:color="auto"/>
            </w:tcBorders>
            <w:gridSpan w:val="4"/>
          </w:tcPr>
          <w:p>
            <w:pPr>
              <w:ind w:left="80"/>
              <w:spacing w:after="0" w:line="205" w:lineRule="exact"/>
              <w:rPr>
                <w:sz w:val="20"/>
                <w:szCs w:val="20"/>
                <w:color w:val="auto"/>
              </w:rPr>
            </w:pPr>
            <w:r>
              <w:rPr>
                <w:rFonts w:ascii="Arial" w:cs="Arial" w:eastAsia="Arial" w:hAnsi="Arial"/>
                <w:sz w:val="18"/>
                <w:szCs w:val="18"/>
                <w:b w:val="1"/>
                <w:bCs w:val="1"/>
                <w:color w:val="auto"/>
                <w:w w:val="96"/>
              </w:rPr>
              <w:t>Plasma Collection</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Centers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16,347,880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1,447,001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17,830,590</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17,382,292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1,450,332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18,832,624</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(8,337,405)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(2,794,219)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(4,449,608)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(15,581,232)</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(3,244,912)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(3,324,071)</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(8,416,198)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(2,794,585)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(7,694,520)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(18,905,303)</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268,927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1,325,994</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Total assets</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169,799,509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20,593,411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42,420,872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232,813,792</w:t>
            </w:r>
          </w:p>
        </w:tc>
      </w:tr>
      <w:tr>
        <w:trPr>
          <w:trHeight w:val="425"/>
        </w:trPr>
        <w:tc>
          <w:tcPr>
            <w:tcW w:w="3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Three Months Ended June 30, 2020</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ADMA</w:t>
            </w:r>
          </w:p>
        </w:tc>
        <w:tc>
          <w:tcPr>
            <w:tcW w:w="160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w w:val="96"/>
              </w:rPr>
              <w:t>Plasma Collection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Centers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6,502,865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1,249,020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7,787,594</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12,237,141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1,258,488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13,495,629</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(12,852,835)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(919,309)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(3,351,681)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(17,123,825)</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(235,442)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(2,818,791)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(3,054,266)</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(13,088,277)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(919,342)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(6,170,472)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(20,178,091)</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885,652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Total assets</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109,105,418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7,542,486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74,893,664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191,541,568</w:t>
            </w:r>
          </w:p>
        </w:tc>
      </w:tr>
      <w:tr>
        <w:trPr>
          <w:trHeight w:val="554"/>
        </w:trPr>
        <w:tc>
          <w:tcPr>
            <w:tcW w:w="3520" w:type="dxa"/>
            <w:vAlign w:val="bottom"/>
          </w:tcPr>
          <w:p>
            <w:pPr>
              <w:spacing w:after="0"/>
              <w:rPr>
                <w:sz w:val="24"/>
                <w:szCs w:val="24"/>
                <w:color w:val="auto"/>
              </w:rPr>
            </w:pPr>
          </w:p>
        </w:tc>
        <w:tc>
          <w:tcPr>
            <w:tcW w:w="2280" w:type="dxa"/>
            <w:vAlign w:val="bottom"/>
            <w:gridSpan w:val="2"/>
          </w:tcPr>
          <w:p>
            <w:pPr>
              <w:jc w:val="right"/>
              <w:ind w:right="10"/>
              <w:spacing w:after="0"/>
              <w:rPr>
                <w:sz w:val="20"/>
                <w:szCs w:val="20"/>
                <w:color w:val="auto"/>
              </w:rPr>
            </w:pPr>
            <w:r>
              <w:rPr>
                <w:rFonts w:ascii="Arial" w:cs="Arial" w:eastAsia="Arial" w:hAnsi="Arial"/>
                <w:sz w:val="14"/>
                <w:szCs w:val="14"/>
                <w:color w:val="auto"/>
              </w:rPr>
              <w:t>19</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Six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5"/>
          </w:tcPr>
          <w:p>
            <w:pPr>
              <w:ind w:left="440"/>
              <w:spacing w:after="0" w:line="205" w:lineRule="exact"/>
              <w:rPr>
                <w:sz w:val="20"/>
                <w:szCs w:val="20"/>
                <w:color w:val="auto"/>
              </w:rPr>
            </w:pPr>
            <w:r>
              <w:rPr>
                <w:rFonts w:ascii="Arial" w:cs="Arial" w:eastAsia="Arial" w:hAnsi="Arial"/>
                <w:sz w:val="18"/>
                <w:szCs w:val="18"/>
                <w:b w:val="1"/>
                <w:bCs w:val="1"/>
                <w:color w:val="auto"/>
              </w:rPr>
              <w:t>ADMA</w:t>
            </w:r>
          </w:p>
        </w:tc>
        <w:tc>
          <w:tcPr>
            <w:tcW w:w="1580" w:type="dxa"/>
            <w:vAlign w:val="bottom"/>
            <w:tcBorders>
              <w:top w:val="single" w:sz="8" w:color="auto"/>
            </w:tcBorders>
            <w:gridSpan w:val="5"/>
          </w:tcPr>
          <w:p>
            <w:pPr>
              <w:spacing w:after="0" w:line="205" w:lineRule="exact"/>
              <w:rPr>
                <w:sz w:val="20"/>
                <w:szCs w:val="20"/>
                <w:color w:val="auto"/>
              </w:rPr>
            </w:pPr>
            <w:r>
              <w:rPr>
                <w:rFonts w:ascii="Arial" w:cs="Arial" w:eastAsia="Arial" w:hAnsi="Arial"/>
                <w:sz w:val="18"/>
                <w:szCs w:val="18"/>
                <w:b w:val="1"/>
                <w:bCs w:val="1"/>
                <w:color w:val="auto"/>
              </w:rPr>
              <w:t>Plasma Collection</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5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rPr>
              <w:t>BioManufacturing</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2"/>
              </w:rPr>
              <w:t>Centers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29,768,923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4,038,868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33,879,208</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32,832,049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3,770,697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36,602,746</w:t>
            </w:r>
          </w:p>
        </w:tc>
      </w:tr>
      <w:tr>
        <w:trPr>
          <w:trHeight w:val="216"/>
        </w:trPr>
        <w:tc>
          <w:tcPr>
            <w:tcW w:w="3560" w:type="dxa"/>
            <w:vAlign w:val="bottom"/>
          </w:tcPr>
          <w:p>
            <w:pPr>
              <w:spacing w:after="0"/>
              <w:rPr>
                <w:sz w:val="18"/>
                <w:szCs w:val="18"/>
                <w:color w:val="auto"/>
              </w:rPr>
            </w:pPr>
          </w:p>
        </w:tc>
        <w:tc>
          <w:tcPr>
            <w:tcW w:w="242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5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(17,843,093)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(4,765,060)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(8,137,328)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(30,745,481)</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(6,438,706)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(6,539,763)</w:t>
            </w:r>
          </w:p>
        </w:tc>
      </w:tr>
      <w:tr>
        <w:trPr>
          <w:trHeight w:val="216"/>
        </w:trPr>
        <w:tc>
          <w:tcPr>
            <w:tcW w:w="3560" w:type="dxa"/>
            <w:vAlign w:val="bottom"/>
          </w:tcPr>
          <w:p>
            <w:pPr>
              <w:spacing w:after="0"/>
              <w:rPr>
                <w:sz w:val="18"/>
                <w:szCs w:val="18"/>
                <w:color w:val="auto"/>
              </w:rPr>
            </w:pPr>
          </w:p>
        </w:tc>
        <w:tc>
          <w:tcPr>
            <w:tcW w:w="242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5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(17,943,400)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(4,765,810)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(14,576,034)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(37,285,244)</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2,725,432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4,321,303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7,046,735</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2,065,307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486,918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3,397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2,555,622</w:t>
            </w:r>
          </w:p>
        </w:tc>
      </w:tr>
      <w:tr>
        <w:trPr>
          <w:trHeight w:val="425"/>
        </w:trPr>
        <w:tc>
          <w:tcPr>
            <w:tcW w:w="35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w w:val="99"/>
              </w:rPr>
              <w:t>Six Months Ended June 30, 2020</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40" w:type="dxa"/>
            <w:vAlign w:val="bottom"/>
            <w:gridSpan w:val="5"/>
          </w:tcPr>
          <w:p>
            <w:pPr>
              <w:ind w:left="440"/>
              <w:spacing w:after="0" w:line="198" w:lineRule="exact"/>
              <w:rPr>
                <w:sz w:val="20"/>
                <w:szCs w:val="20"/>
                <w:color w:val="auto"/>
              </w:rPr>
            </w:pPr>
            <w:r>
              <w:rPr>
                <w:rFonts w:ascii="Arial" w:cs="Arial" w:eastAsia="Arial" w:hAnsi="Arial"/>
                <w:sz w:val="18"/>
                <w:szCs w:val="18"/>
                <w:b w:val="1"/>
                <w:bCs w:val="1"/>
                <w:color w:val="auto"/>
              </w:rPr>
              <w:t>ADMA</w:t>
            </w:r>
          </w:p>
        </w:tc>
        <w:tc>
          <w:tcPr>
            <w:tcW w:w="158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rPr>
              <w:t>Plasma Collection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5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rPr>
              <w:t>BioManufacturing</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2"/>
              </w:rPr>
              <w:t>Centers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14,246,139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3,669,782</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17,987,338</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26,689,094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3,635,761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30,324,855</w:t>
            </w:r>
          </w:p>
        </w:tc>
      </w:tr>
      <w:tr>
        <w:trPr>
          <w:trHeight w:val="216"/>
        </w:trPr>
        <w:tc>
          <w:tcPr>
            <w:tcW w:w="3560" w:type="dxa"/>
            <w:vAlign w:val="bottom"/>
          </w:tcPr>
          <w:p>
            <w:pPr>
              <w:spacing w:after="0"/>
              <w:rPr>
                <w:sz w:val="18"/>
                <w:szCs w:val="18"/>
                <w:color w:val="auto"/>
              </w:rPr>
            </w:pPr>
          </w:p>
        </w:tc>
        <w:tc>
          <w:tcPr>
            <w:tcW w:w="242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5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(25,328,980)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(1,376,464)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(7,188,167)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(33,893,611)</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(474,314)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(5,055,363)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(5,529,710)</w:t>
            </w:r>
          </w:p>
        </w:tc>
      </w:tr>
      <w:tr>
        <w:trPr>
          <w:trHeight w:val="216"/>
        </w:trPr>
        <w:tc>
          <w:tcPr>
            <w:tcW w:w="3560" w:type="dxa"/>
            <w:vAlign w:val="bottom"/>
          </w:tcPr>
          <w:p>
            <w:pPr>
              <w:spacing w:after="0"/>
              <w:rPr>
                <w:sz w:val="18"/>
                <w:szCs w:val="18"/>
                <w:color w:val="auto"/>
              </w:rPr>
            </w:pPr>
          </w:p>
        </w:tc>
        <w:tc>
          <w:tcPr>
            <w:tcW w:w="242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5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(25,803,294)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(1,376,497)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(12,243,530)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(39,423,321)</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5,064,494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1,178,790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6,243,284</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1,447,214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222,395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4,881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1,674,490</w:t>
            </w:r>
          </w:p>
        </w:tc>
      </w:tr>
      <w:tr>
        <w:trPr>
          <w:trHeight w:val="418"/>
        </w:trPr>
        <w:tc>
          <w:tcPr>
            <w:tcW w:w="8700" w:type="dxa"/>
            <w:vAlign w:val="bottom"/>
            <w:gridSpan w:val="12"/>
          </w:tcPr>
          <w:p>
            <w:pPr>
              <w:spacing w:after="0"/>
              <w:rPr>
                <w:sz w:val="20"/>
                <w:szCs w:val="20"/>
                <w:color w:val="auto"/>
              </w:rPr>
            </w:pPr>
            <w:r>
              <w:rPr>
                <w:rFonts w:ascii="Arial" w:cs="Arial" w:eastAsia="Arial" w:hAnsi="Arial"/>
                <w:sz w:val="18"/>
                <w:szCs w:val="18"/>
                <w:color w:val="auto"/>
                <w:w w:val="97"/>
              </w:rPr>
              <w:t>Net revenues according to geographic area, based on the location of where the product is shipped, is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8"/>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15,424,839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6,797,170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29,102,848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15,453,443</w:t>
            </w:r>
          </w:p>
        </w:tc>
        <w:tc>
          <w:tcPr>
            <w:tcW w:w="100" w:type="dxa"/>
            <w:vAlign w:val="bottom"/>
            <w:shd w:val="clear" w:color="auto" w:fill="CCEEFF"/>
          </w:tcPr>
          <w:p>
            <w:pPr>
              <w:spacing w:after="0"/>
              <w:rPr>
                <w:sz w:val="18"/>
                <w:szCs w:val="18"/>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International</w:t>
            </w:r>
          </w:p>
        </w:tc>
        <w:tc>
          <w:tcPr>
            <w:tcW w:w="1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2,405,751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990,424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4,776,360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2,533,895</w:t>
            </w:r>
          </w:p>
        </w:tc>
      </w:tr>
      <w:tr>
        <w:trPr>
          <w:trHeight w:val="256"/>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42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17,830,590</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7,787,594</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33,879,208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17,987,338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560" w:type="dxa"/>
            <w:vAlign w:val="bottom"/>
          </w:tcPr>
          <w:p>
            <w:pPr>
              <w:spacing w:after="0"/>
              <w:rPr>
                <w:sz w:val="24"/>
                <w:szCs w:val="24"/>
                <w:color w:val="auto"/>
              </w:rPr>
            </w:pPr>
          </w:p>
        </w:tc>
        <w:tc>
          <w:tcPr>
            <w:tcW w:w="2420" w:type="dxa"/>
            <w:vAlign w:val="bottom"/>
            <w:gridSpan w:val="2"/>
          </w:tcPr>
          <w:p>
            <w:pPr>
              <w:jc w:val="right"/>
              <w:ind w:right="190"/>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5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leases certain properties and equipment for its ADMA BioCenters subsidiary and certain equipment for its ADMA BioManufacturing subsidiary, which leases provide the right to use the underlying assets and require lease payments through the respective lease terms which expire at various dates through 2032. The Company’s lease agreements do not contain any material residual value guarantees or material restrictive covenants.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determines if an arrangement is an operating lease at inception. Leases with an initial term of 12 months or less are not recorded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balance sheet. All other leases are recorded on the balance sheet with assets representing the right to use the underlying asset for the lease term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liabilities representing the obligation to make lease payments arising from the lease. Right-to-use assets and lease liabilities are recognized at the 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 based on the present value of lease payments over the lease term and include options to extend or terminate the lease when they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reasonably certain to be exercised. The present value of the lease payments is determined using the Company’s incremental borrowing rate of 13%.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lease expense is recognized on a straight-line basis over the lease term and is reflected in Plasma center operating expenses and Selling,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administrative expenses. Aggregate lease expense for the Company’s leases for the three months ended June 30, 2021 and 2020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$0.1 million, respectively. Aggregate lease expense for the six months ended June 30, 2021 and 2020 was approximately $0.7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respectively. Cash paid for the Company’s leases for the three months ended June 30, 2021 and 2020 was approximately $0.3 million and $0.1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respectively. Cash paid for the Company’s leases for the six months ended June 30, 2021 and 2020 was approximately $0.5 million and $0.2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six months ended June 30, 2021, the Company recognized additional right to use assets and corresponding lease liabilities of $2.8 million in connection with three new property leases where the Company intends to open additional plasma collection facilities. Including a finance lease the Company entered into in June 2018, the Company has aggregate lease liabilities of $7.5 million and $4.7 million as of June 30, 2021 and December 31, 2020, respectively, which are comprised primarily of the leases for the Company’s plasma collection centers and an administrative office lease related to the Company’s ADMA BioCenters subsidiary. The Company’s operating leases have a weighted average remaining term of 9.3 years. Scheduled payments under the Company’s lease obligations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595,836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1,512,443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1,526,406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1,399,474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1,405,411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1,137,321</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5,486,813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 payments</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13,063,704</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(5,604,431)</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Current portion</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(385,858)</w:t>
            </w: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7,073,415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June 11, 2021, the Company entered into an additional property lease that the Company intends to use to store certain inventory for its ADMA BioManufacturing business segment. The Company has not taken possession of this leased property and its lease commencement date has not been determined. With the exception of a security deposit and six months’ rent totaling $0.3 million, no payments have been made under this lease. The initial term of the lease is for 90 months with monthly rental payments varying between approximately $14,000 and $24,000, including common area maintenance charges.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13. SUPPLEMENTAL DISCLOSURE OF CASH FLOW INFORMATION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8"/>
                <w:szCs w:val="18"/>
                <w:color w:val="auto"/>
              </w:rPr>
              <w:t>Supplemental cash flow information for the six months ended June 30, 2021 and 2020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5,534,279</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4,192,165</w:t>
            </w:r>
          </w:p>
        </w:tc>
      </w:tr>
      <w:tr>
        <w:trPr>
          <w:trHeight w:val="210"/>
        </w:trPr>
        <w:tc>
          <w:tcPr>
            <w:tcW w:w="86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1,005,546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1,228,000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Right-to-use assets in exchange for lease obligations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2,844,875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9"/>
              </w:rPr>
              <w:t>1,723,594</w:t>
            </w:r>
          </w:p>
        </w:tc>
      </w:tr>
      <w:tr>
        <w:trPr>
          <w:trHeight w:val="20"/>
        </w:trPr>
        <w:tc>
          <w:tcPr>
            <w:tcW w:w="3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On July 26, 2021, the Company sold an additional 897,445 shares of its common stock under the 2020 Sale Agreement and received net proceeds of approximately $1.5 million, which represents the remaining amount that could be raised under the 2020 Sale Agreement as of June 30, 2021. In accordance with terms of the 2020 Sale Agreement, the 2020 Sale Agreement automatically terminated upon the foregoing sale of common stock.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2020, filed on March 25, 2021 (the “2020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Arial" w:cs="Arial" w:eastAsia="Arial" w:hAnsi="Arial"/>
          <w:sz w:val="16"/>
          <w:szCs w:val="16"/>
          <w:i w:val="1"/>
          <w:iCs w:val="1"/>
          <w:color w:val="auto"/>
        </w:rPr>
        <w:t>S. pneumonia</w:t>
      </w:r>
      <w:r>
        <w:rPr>
          <w:rFonts w:ascii="Arial" w:cs="Arial" w:eastAsia="Arial" w:hAnsi="Arial"/>
          <w:sz w:val="16"/>
          <w:szCs w:val="16"/>
          <w:color w:val="auto"/>
        </w:rPr>
        <w:t xml:space="preserve"> infection for an immunoglobulin manufactured to contain standardized antibodies to numerous serotypes of </w:t>
      </w:r>
      <w:r>
        <w:rPr>
          <w:rFonts w:ascii="Arial" w:cs="Arial" w:eastAsia="Arial" w:hAnsi="Arial"/>
          <w:sz w:val="16"/>
          <w:szCs w:val="16"/>
          <w:i w:val="1"/>
          <w:iCs w:val="1"/>
          <w:color w:val="auto"/>
        </w:rPr>
        <w:t>S. pneumoniae</w:t>
      </w:r>
      <w:r>
        <w:rPr>
          <w:rFonts w:ascii="Arial" w:cs="Arial" w:eastAsia="Arial" w:hAnsi="Arial"/>
          <w:sz w:val="16"/>
          <w:szCs w:val="16"/>
          <w:color w:val="auto"/>
        </w:rPr>
        <w:t>. Our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manufacture these products at our FDA-licensed, plasma fractionation and purification facility located in Boca Raton, Florida with a peak annual processing capability of up to 600,000 liters (the “Boca Facility”). Based on current production yields, our ongoing supply chain enhancements and capacity expansion initiatives, we believe this facility has the potential to produce quantities of our immune globulin (“IG”) products of more than $250 million in annual revenue beginning in 2024 and potentially in excess of $300 million of annual revenue thereafter, as well as achieving profitability during the first quarter of 2024, as we ramp-up production over the next three to five years. We anticipate exiting 2021 approaching an annualized revenue run rate of approximately $100 million or more.</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Through our ADMA BioCenters subsidiary, we currently operate FDA-licensed source plasma collection facilities in the U.S. This business unit, which we refer to as our Plasma Collection Centers business segment, provides us with a portion of our blood plasma for the manufacture of our products and product candidates, and also allows us to sell certain quantities of source plasma to customers for further manufacturing. As a part of our planned supply chain robustness initiative, we have opened four new plasma collection centers during the past 18 months, and we now have eight plasma collection centers in various stages of approval and development, including five that are fully operational and collecting plasma. With respect to our fully operational plasma collection centers, two plasma collection centers currently hold FDA licenses, while a third collection center has a Biologics License Application (“BLA”) under review pending FDA approval. In addition, one of our FDA-approved plasma collection centers also has approvals from the Korean Ministry of Food and Drug Safety (“MFDS”), as well as FDA approval to operate a Hepatitis B immunization program. After giving effect to the progress we made in 2020 and thus far in 2021 with our plasma collection network expansion, we believe we remain on track to achieve our goal of having 10 or more plasma collection centers operating in the U.S. by 2024.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 We also provide laboratory contracting services to certain customers and anticipate providing contract filling, labeling and packing services upon FDA approval and implementation of our in-house fill-finish capabilities.</w:t>
      </w:r>
    </w:p>
    <w:p>
      <w:pPr>
        <w:spacing w:after="0" w:line="16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Biotest Pharmaceuticals Corporation (“BPC” and, together with Biotest AG, “Biotest”), which included two FDA-licensed products, Nabi-HB and BIVIGAM, and an FDA-licensed plasma fractionation facility located in Boca Raton, FL (the “Boca Facility”) (the “Biotest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July 20, 2021, we announced that the FDA completed a Pre-Approval Inspection of the Boca Facility related to our application for approval of our Vanrx SA25 aseptic fill-finish machine and our related internal fill-finish processes, the drug product component of our manufacturing process. The inspection concluded successfully with no Form 483 observations. The FDA review of our regulatory filing related to approval of the new fill-finish machine remains ongoing, with anticipated regulatory approval in the second half of 2021. The anticipated approval would provide us with internal fill-finish production capabilities for our commercial products, which is expected to result in greater patient supply consistency and, coupled with the approval of our expanded plasma pool production scale process that we received earlier this year as discussed below, significantly improved operational efficiencies and gross margins.</w:t>
      </w:r>
    </w:p>
    <w:p>
      <w:pPr>
        <w:spacing w:after="0" w:line="19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Effective as of May 12, 2021, we entered into a Second Amendment to our Plasma Purchase Agreement with Grifols Worldwide Operations Limited (“Grifols”) whereby, among other provisions, we extended the term of our supply agreement for the purchase of normal source plasma (“NSP”) through December 31, 2022, while certain historical provisions were deleted. In order to maintain a reliable supply of raw material plasma thereafter, we are in late-stage discussions with multiple third-party plasma suppliers to provide us with a long-term supply of NSP, which will be supplemented by our accelerated plasma center expansion activities, whereby we expect to have more than 10 plasma collection centers in operation by 2024. We expect these initiatives will ensure the raw material plasma supply necessary to meet our anticipated peak annual plasma processing capability of up to 600,000 liters.</w:t>
      </w:r>
    </w:p>
    <w:p>
      <w:pPr>
        <w:spacing w:after="0" w:line="16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April 28, 2021, we announced that the FDA granted approval for our expanded IVIG plasma pool production scale process, allowing for a 4,400-liter plasma pool for the manufacture of our commercial product BIVIGAM. We expect this increased IVIG plasma pool scale, which will allow us to produce BIVIGAM at an expanded capacity, will utilize the same equipment, release testing assays and labor force, and to have a favorable impact on our gross margins and operating results, potentially beginning late in the fourth quarter of 2021.</w:t>
      </w:r>
    </w:p>
    <w:p>
      <w:pPr>
        <w:spacing w:after="0" w:line="18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April 26, 2021, we announced the opening of our fourth plasma collection facility in the U.S. Pursuant to updated FDA guidance to obtain approval for plasma collection centers, sponsors are now required to collect plasma donations for three months prior to submitting a BLA filing. Accordingly, we filed a BLA for this plasma collection facility during the third quarter of 2021. Prior to receiving FDA approval, ADMA is permitted to collect plasma donations at this site and upon receipt of FDA approval we can utilize the plasma collected for further use in our IVIG manufacturing operations or for third party sale.</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6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April 28, 2021, we announced that the FDA has granted approval for our expanded plasma pool production scale process, allowing for a 4,400-liter plasma pool for the manufacture of our BIVIGAM IVIG product. We expect this increased IVIG plasma pool scale, which will allow us to produce BIVIGAM at an expanded capacity, will utilize the same equipment, release testing assays and labor force, and to have a favorable impact on our gross margins and operating results, potentially beginning late in the fourth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ASCENIV is approved for the treatment of Primary Immune Deficiency Disorder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or potentially other respiratory viral pathogens. Due to the COVID-19 pandemic, our plans have been delayed. In the future however, we plan to work with the FDA and the immunology and infectious disease community to design an appropriate clinical trial to evaluate the use of ASCENIV in this patient population. Commercial sales of ASCENIV commenced in October of 2019.</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IMPACT OF THE COVID-19 CRISIS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continue to closely monitor ongoing developments in connection with the COVID-19 global pandemic, including the emergence of the Delta variant and other resistant strains of the novel coronavirus, and its impacts to our commercial and manufacturing operations and plasma collection facilities, including but not limited to potential disruptions to our supply chain operations, including collections of source plasma, procurement of raw materials and packaging materials, a portion of which are sourced internationally, and testing of finished drug product that is required prior to its availability for commercial sale. Such testing has historically been performed by contract laboratories outside the United States. In addition, travel and other restrictions that have been implemented in the United States have impacted our commercial engagement efforts with respect to some of our products, including BIVIGAM and ASCENIV, as trade shows, industry and medical conferences and other events we had been planning to utilize and exhibit and attend with our staff to increase awareness of our products by physicians and payers remain subject to reduction in scope, rescheduling or outright cancellation due to the pandemic.</w:t>
      </w:r>
    </w:p>
    <w:p>
      <w:pPr>
        <w:spacing w:after="0" w:line="19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had experienced some delays with our third-party vendors and testing laboratories which perform final drug product GMP release testing. In response to these delays, we added additional release testing laboratories to our FDA approved consortium listed in our drug approval documents which we believe has adequately addressed this issue. In July 2020, we began receiving FDA lot releases with testing data from our new testing laboratory vendor. In addition, due to a combination of previous state and local “shelter-in-place” orders, as well as government stimulus packages, persisting social distancing measures and varying roll-outs of vaccinations by state, we have been experiencing lower than normal donor collections at our FDA-approved plasma collection centers.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We are also subject to supply chain delays as a result of certain of our suppliers diverting significant resources towards the rapid development and distribution of COVID-19 vaccines and, as a result, we may elect to carry more raw materials inventory than we have in the past. In addition, we have also experienced challenges with respect to our customer engagement initiatives, as our sales and medical affairs field forces face difficulties communicating directly with physicians and other healthcare professionals and the cancellation or postponement of a number of key scientific and medical conferences, further limiting our ability to communicate with potential customers. We have implemented a comprehensive suite of virtual engagement initiatives, though clinician engagement remains lower due to continuing COVID-19-related priorities at U.S. medical centers.</w:t>
      </w:r>
    </w:p>
    <w:p>
      <w:pPr>
        <w:spacing w:after="0" w:line="17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pandemic could further impact our ability to interact with the FDA or other regulatory authorities and may result in delays in the conduct of inspections or review of pending applications or submissions. During the second quarter of 2021, we were notified by the FDA that our submission for the approval of our in-house fill-finish process utilizing our Vanrx SA25 Workcell aseptic filling machine will require a site inspection, either in person or virtually. Although the inspection was completed in July of 2021, the FDA’s review of our regulatory filing with respect to our in-house fill-finish process and new aseptic filling machine remains ongoing. Although we anticipate receiving regulatory approval of this submission in the second half of 2021, no assurances can be provided as to the timing for completion of this FDA review or any other regulatory submissions or applications that may be impacted by restrictions related to COVID-19.</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the date of this report, we do not believe that the operations and immunoglobulin and plasma products production at our Boca Facility, our contract fill/finishers or our plasma collection facilities have been significantly impacted by the COVID-19 pandemic. As a result, as of the date of this report, we have not experienced, and currently do not anticipate, any material impairments with respect to any of our long-lived assets, including our property and equipment, goodwill or intangible assets.</w:t>
      </w:r>
    </w:p>
    <w:p>
      <w:pPr>
        <w:spacing w:after="0" w:line="18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Although the COVID-19 pandemic has not, to date, materially adversely impacted our capital and financial resources, due to the economic uncertainty that has resulted from the pandemic, and the potential impact of such to our stakeholders, we are unable to predict with certainty any potential impacts to our business. Although we believe the effects of the COVID-19 pandemic on our business and our operations will be temporary, at the present time we are unable to determine the ultimate duration of the pandemic or its long-term effects on, among other things, the global, national or local economies, the capital and credit markets, our workforce, our customers or our suppliers. As a result, we are unable to predict whether the COVID-19 crisis will have a material adverse impact on our business, financial condition, liquidity and results of operations.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realizable value of accounts receivable, valuation of inventory,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elsewhere in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Revenues for the six months ended June 30, 2021 and 2020 are comprised of (i) revenues from the sale of our FDA-approved immunoglobulin products, (ii) product revenues from the sale of human plasma collected from our Plasma Collection Centers business segment, (iii) product revenues from the sale of intermediate fractions, (iv) contract manufacturing and testing revenue from certain clients, and (v) license revenues attributable to the out-licensing of ASCENIV in December 2012 to Biotest AG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amortized into income over the term of the Biotest license, representing a period of approximately 22 years.</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immunoglobulin products is generally recognized when the product reaches the customer’s destination, and is recorded net of distributor fees, estimated rebates, price protection arrangements and customer incentives, including prompt pay discounts, wholesaler chargebacks and other wholesaler fees. These estimates are based on historical experience and certain other assumptions, and we believe that such estimates are reasonable. For revenues associated with sales of our intermediates or contract manufacturing, control transfers to the customer and the performance obligation is satisfied when the customer takes possession of the product from the Boca Facility or a third-party warehouse that is utilized by the Company.</w:t>
      </w:r>
    </w:p>
    <w:p>
      <w:pPr>
        <w:spacing w:after="0" w:line="166"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Product revenues from the sale of human plasma collected at our plasma collection centers are recognized at the time control of the product has been transferred to the customer, which generally occurs at the time of shipment. Product revenues are recognized at the time of delivery if we retain control of the product during shipment. Payments received from customers where the foregoing revenue recognition criteria have not been satisfied are recorded as deferred revenue, which is reflected as a liability in our consolidated balance sheets.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six months ended June 30, 2021, five customers, BioCARE, Inc. (“BioCare”), Biolife Plasma Services, L.P. (“Biolife”), Reliance Life Sciences Pvt Limited (“Reliance”), Priority Healthcare Distribution, Inc. (“Curascript”) and AmerisourceBergen Drug Corporation (“AmerisourceBergen”) represented an aggregate of 85% of our consolidated revenues. For the six months ended June 30, 2020, BioCare, Biolife and Reliance represented an aggregate of 81% of our consolidated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Accounts receivable are reported at realizable value, net of allowances for contractual credits and doubtful accounts, which are recognized in the period the related revenue is recorded. We extend credit to our customers based upon an evaluation of each customer’s financial condition and credit history. Evaluations of the financial condition and associated credit risk of customers are performed on an ongoing basis. Based on these evaluations, we have concluded that our credit risk is minimal.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their expenses are classified as research and development expenses.</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as we ensure product quality and compliance with current Good Manufacturing Practices (“cGMP”), FDA, state and local regulations, or due to testing results not meeting specifications. Such losses are charged to cost of product revenue in the period they are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All equity-based payments, including grants of stock options and restricted stock units (“RSUs”) are recognized at their estimated fair value at the grant date, and compensation expense is recognized on a straight-line basis over the grantee’s requisite vesting period. During the six months ended June 30, 2021, we granted RSUs to certain members of our management and employees representing an aggregate 542,244 shares of common stock, and during the six months ended June 30, 2020, we granted RSUs to members of our Board of Directors and certain members of our management and employees representing an aggregate of 341,000 shares of common stock. For the purpose of valuing stock options granted to our employees, directors and officers, we use the Black-Scholes option pricing model. We granted options to purchase an aggregate of 1,658,050 and 1,232,500 shares of common stock to management, employees and directors during the six months ended June 30, 2021 and 2020, respectively. To determine the risk-free interest rate, we utilized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In accordance with ASU No. 2016-09, </w:t>
      </w:r>
      <w:r>
        <w:rPr>
          <w:rFonts w:ascii="Arial" w:cs="Arial" w:eastAsia="Arial" w:hAnsi="Arial"/>
          <w:sz w:val="17"/>
          <w:szCs w:val="17"/>
          <w:i w:val="1"/>
          <w:iCs w:val="1"/>
          <w:color w:val="auto"/>
        </w:rPr>
        <w:t>Improvements to Employee Share-Based Payment Accounting (Topic</w:t>
      </w:r>
      <w:r>
        <w:rPr>
          <w:rFonts w:ascii="Arial" w:cs="Arial" w:eastAsia="Arial" w:hAnsi="Arial"/>
          <w:sz w:val="17"/>
          <w:szCs w:val="17"/>
          <w:color w:val="auto"/>
        </w:rPr>
        <w:t xml:space="preserve"> </w:t>
      </w:r>
      <w:r>
        <w:rPr>
          <w:rFonts w:ascii="Arial" w:cs="Arial" w:eastAsia="Arial" w:hAnsi="Arial"/>
          <w:sz w:val="17"/>
          <w:szCs w:val="17"/>
          <w:i w:val="1"/>
          <w:iCs w:val="1"/>
          <w:color w:val="auto"/>
        </w:rPr>
        <w:t>718)</w:t>
      </w:r>
      <w:r>
        <w:rPr>
          <w:rFonts w:ascii="Arial" w:cs="Arial" w:eastAsia="Arial" w:hAnsi="Arial"/>
          <w:sz w:val="17"/>
          <w:szCs w:val="17"/>
          <w:color w:val="auto"/>
        </w:rPr>
        <w:t>, we have elected not to establish a forfeiture rate, as stock-based compensation expense related to forfeitures of unvested stock options is fully</w:t>
      </w:r>
      <w:r>
        <w:rPr>
          <w:rFonts w:ascii="Arial" w:cs="Arial" w:eastAsia="Arial" w:hAnsi="Arial"/>
          <w:sz w:val="17"/>
          <w:szCs w:val="17"/>
          <w:i w:val="1"/>
          <w:iCs w:val="1"/>
          <w:color w:val="auto"/>
        </w:rPr>
        <w:t xml:space="preserve"> </w:t>
      </w:r>
      <w:r>
        <w:rPr>
          <w:rFonts w:ascii="Arial" w:cs="Arial" w:eastAsia="Arial" w:hAnsi="Arial"/>
          <w:sz w:val="17"/>
          <w:szCs w:val="17"/>
          <w:color w:val="auto"/>
        </w:rPr>
        <w:t>reversed at the time of forfeiture.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research and development (“R&amp;D”) costs consist of clinical research organization costs, costs related to clinical trials, testing and evaluation of new or alternative products or processes, studies for potentially extending a product’s approved and labeled expiration dating and other potential label expansions, post-marketing commitment studies for BIVIGAM and ASCENIV and wages, benefits and stock-based compensation for employees directly related to research and development activities. All research and development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Raw materials inventory consists of various materials purchased from suppliers, including normal source plasma, that are used in the production of our products. Work-in-process and finished goods inventories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our products relative to the total square footage of the facility.</w:t>
      </w:r>
    </w:p>
    <w:p>
      <w:pPr>
        <w:spacing w:after="0" w:line="16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we expect to receive when the inventory is sold, less costs to deliver the inventory to the recipient. The estimates for net realizable value of inventory are based on contractual terms or upon historical experience and certain other assumptions which we believe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We assess the recoverability of our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six months ended June 30, 2021 and 2020, we determined that there was no impairment of our long-lived assets.</w:t>
      </w:r>
    </w:p>
    <w:p>
      <w:pPr>
        <w:spacing w:after="0" w:line="17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the reporting unit associated with the goodwill is less than its carrying amount, including goodwill and other intangible assets. If we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six months ended June 30, 2021 and 2020.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which requires financial assets to be presented at the net amount expected to be collected, with 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We adopted ASU 2016-13 on January 1, 2020, and the adoption of this update did not have a significant impact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June 30, 2021, our second fiscal quarter, compared to the three months ended June 30,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b w:val="1"/>
                <w:bCs w:val="1"/>
                <w:color w:val="auto"/>
              </w:rPr>
              <w:t>Three Months Ended June 30,</w:t>
            </w:r>
          </w:p>
        </w:tc>
      </w:tr>
      <w:tr>
        <w:trPr>
          <w:trHeight w:val="198"/>
        </w:trPr>
        <w:tc>
          <w:tcPr>
            <w:tcW w:w="7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17,830,590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7,787,594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10,042,996</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18,832,624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13,495,629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5,336,995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(1,002,034)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(5,708,035)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4,706,001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1,158,866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1,656,420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(497,554)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2,803,326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877,902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1,925,424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178,838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178,838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10,438,168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8,702,630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1,735,538</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(15,581,232)</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(17,123,825)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1,542,593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(3,246,680)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(3,067,306)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(179,374)</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(77,391)</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13,040</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(90,431)</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(18,905,303</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(20,178,091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1,272,788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recorded total revenues of $17.8 million during the three months ended June 30, 2021, as compared to $7.8 million during the three months ended June 30, 2020, an increase of $10.0 million, or approximately 130%. The increase is due to increased sales of our immunoglobulin products generated by our Boca Facility manufacturing operations in 2021.</w:t>
      </w:r>
    </w:p>
    <w:p>
      <w:pPr>
        <w:spacing w:after="0" w:line="18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Our revenues for the second quarter of 2021 as compared to the same period of a year ago were favorably impacted by the continued commercial scale-up, expanding customer base at both our ADMA BioManufacturing and ADMA BioCenters plasma collection center business segments and physician/payer acceptance of BIVIGAM and ASCENIV following these products’ FDA approvals on May 9, 2019 and April 1, 2019, respectively, while we continued to benefit from the manufacturing and supply agreement we entered into in January 2020 to produce and sell intermediate fractions to a certain customer. In addition, revenues in the second quarter of 2020 were negatively impacted by COVID-19-related delays with some of our third-party vendors and testing laboratories which perform final drug product GMP release testing. In response to these delays, we added additional release testing laboratories to our FDA approved consortium listed in our drug approval documents which we believe has adequately addressed this issue.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Cost of product revenue was $18.8 million for the three months ended June 30, 2021, as compared to $13.5 million for the three months ended June 30, 2020. This increase reflects higher product revenue costs in 2021 of $7.6 million corresponding to the increase in immunoglobulin revenues, partially offset by the absence of conformance batch production expenses in 2020 of $3.2 million.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R&amp;D expenses totaled $1.2 million for the three months ended June 30, 2021, as compared to $1.7 million for the three months ended June 30, 2020. The decrease is primarily due to reduced compensation costs associated with R&amp;D activities during the quarter of $0.3 million, and the absence of $0.2 million of non-recurring costs incurred in 2020 associated with our participation in a third-party clinical research project.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Plasma center operating expenses were $2.8 million for the three months ended June 30, 2021, as compared to $0.9 million for the three months ended June 30, 2020. Plasma center operating expenses consist of certain general and administrative plasma center costs, including rent, maintenance, utilities, compensation and benefits for center and administrative staff, advertising and promotion expenses and computer software fees related to donor collections. The increase in plasma center operating expenses is mainly attributable to increased staffing and travel expenses related to our plasma center expansion activities. We had four plasma collection centers in operation during the second quarter of 2021, as compared to one plasma collection center in operation during the second quarter of 2020. We also had four other plasma collection centers in various stages of construction or development during the second quarter of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$0.2 million for the three months ended June 30,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Selling, general and administrative (“SG&amp;A”) expenses were $10.4 million for the three months ended June 30, 2021, an increase of $1.7 million from the three months ended June 30, 2020. The increase was primarily due to higher employee compensation and related expenses of $1.2 million related to staffing increases, largely in support of our commercialization efforts for BIVIGAM and ASCENIV and increased insurance expense of $0.3 million. In addition, in connection with the resignation of our former Chief Medical Officer in the second quarter of 2021, we recognized an expense and corresponding liability in the amount of $0.8 million for estimated payments we expect to make under a separation and transition agreement. These increases were partially offset by lower third-party market intelligence and consulting fees associated with our ASCENIV commercialization efforts.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Our operating loss was $15.6 million for the second quarter of 2021, as compared to $17.1 million for the second quarter of 2020. The $1.5 million decrease in operating loss was mainly due to the significant narrowing of our gross loss of $4.7 million and the reduction in R&amp;D expenses, partially offset by the increases in SG&amp;A and plasma center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increased by approximately $0.2 million for the three months ended June 30, 2021 as compared to the same period of a year ago. The increase reflects the refinancing of $15 million of subordinated debt in December 2020 whereby the interest rate increased from 6% to 11% per annum, as the maturity date on this indebtedness was extended from June 2022 to March 2024 (see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net loss was $18.9 million for the three months ended June 30, 2021, as compared to $20.2 million for the three months ended June 30, 2020. The $1.3 million decrease in net loss was primarily due to the decreased operating loss for the quarter of $1.5 million, partially offset by the increase in interest expense.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six months ended June 30, 2021, compared to the six months ended June 30,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8"/>
          </w:tcPr>
          <w:p>
            <w:pPr>
              <w:jc w:val="right"/>
              <w:ind w:right="960"/>
              <w:spacing w:after="0"/>
              <w:rPr>
                <w:sz w:val="20"/>
                <w:szCs w:val="20"/>
                <w:color w:val="auto"/>
              </w:rPr>
            </w:pPr>
            <w:r>
              <w:rPr>
                <w:rFonts w:ascii="Arial" w:cs="Arial" w:eastAsia="Arial" w:hAnsi="Arial"/>
                <w:sz w:val="18"/>
                <w:szCs w:val="18"/>
                <w:b w:val="1"/>
                <w:bCs w:val="1"/>
                <w:color w:val="auto"/>
              </w:rPr>
              <w:t>Six Months Ended June 30,</w:t>
            </w:r>
          </w:p>
        </w:tc>
      </w:tr>
      <w:tr>
        <w:trPr>
          <w:trHeight w:val="198"/>
        </w:trPr>
        <w:tc>
          <w:tcPr>
            <w:tcW w:w="7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33,879,208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17,987,338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15,891,870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36,602,746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30,324,855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6,277,891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(2,723,538)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(12,337,517)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9,613,979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2,146,515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3,185,158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(1,038,643)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5,045,669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1,378,546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3,667,123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357,676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357,676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20,472,083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16,634,714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3,837,369</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(30,745,481)</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(33,893,611)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3,148,130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(6,442,430)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(5,784,397)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(658,033)</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(97,333)</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254,687</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(352,020)</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(37,285,244</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(39,423,321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2,138,077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recorded total revenues of $33.9 million during the six months ended June 30, 2021, as compared to $18.0 million during the six months ended June 30, 2020, an increase of $15.9 million, or approximately 88%. The increase is due to increased sales of our immunoglobulin products generated by our Boca Facility manufacturing operations in 2021, largely driven by the expansion of our customer base at both of our business segments that took place subsequent to June 30, 2020.</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revenues for the first six months of 2021 as compared to the same period of a year ago were favorably impacted by the continued commercial scale-up and increasing physician/payer acceptance of BIVIGAM and ASCENIV following these products’ FDA approvals on May 9, 2019 and April 1, 2019, respectively, while we also continued to benefit from the manufacturing and supply agreement we entered into in January 2020 to produce and sell intermediate fractions to a certain customer. Revenues in the first six months of 2021 were also favorably impacted by the approvals we received from the FDA to implement a Hepatitis B immunization program at one of our FDA-approved plasma collection centers and from MFDS for the sale of source plasma into South Korea.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Cost of product revenue was $36.6 million for the six months ended June 30, 2021, as compared to $30.3 million for the six months ended June 30, 2020. This increase reflects higher product revenue costs in 2021 of $13.6 million corresponding to the increase in immunoglobulin revenues, partially offset by the absence of conformance batch production expenses in 2020 of $7.3 million. The lack of such expenses in 2021, combined with the increase in revenues, resulted in a reduction of our gross loss in the amount of $9.6 million, or 78%, in the first half of 2021 as compared to the first half of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R&amp;D expenses totaled $2.1 million for the six months ended June 30, 2021, as compared to $3.2 million for the six months ended June 30, 2020. R&amp;D expenses in 2020 included non-recurring charges of $0.4 million related to a study we conducted to potentially extend ASCENIV’s approved and labeled expiration dating, and $0.2 million related to our participation in a third-party clinical research project. We also experienced a reduction in R&amp;D related compensation expenses due to the resignation of our former Chief Medical Officer on June 8,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Plasma center operating expenses were $5.0 million for the six months ended June 30, 2021, as compared to $1.4 million for the six months ended June 30, 2020. The increase in plasma center operating expenses is mainly attributable to increased staffing and related expenses, including travel expenses, of $2.3 million, as well as increases in rent expense of $0.4 million, depreciation expense of $0.3 million, donor fees of $0.2 million, advertising expenses of $0.1 million and utilities of $0.1 million, all related to our plasma center expansion activities.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$0.4 million for the six months ended June 30,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SG&amp;A expenses were $20.5 million for the six months ended June 30, 2021, an increase of $3.8 million from the six months ended June 30, 2020. The increase was primarily due to higher employee compensation and related expenses of $2.2 million related to staffing increases, largely in support of our commercialization efforts for BIVIGAM and ASCENIV, recognition of the $0.8 million related to the separation and transition agreement with our former Chief Medical Officer and $0.7 million of increased insurance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Our operating loss was $30.7 million for the first six months of 2021, as compared to $33.9 million for the first six months of 2020. The $3.1 million decrease in operating loss was mainly due to the increase in revenues and corresponding reduction in gross loss and decrease in R&amp;D expenses, partially offset by the increases in SG&amp;A and plasma center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Interest expense was $6.4 million for the six months ended June 30, 2021, as compared to $5.8 million for the six months ended June 30, 2020. The increase reflects the additional interest expense associated with the Perceptive Tranche III Loan which we drew down on March 20, 2020, as well as the higher interest on the $15 million note formerly due to Biotest that we refinanced in December 2020 (see “Liquidity and Capital Resources”).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net loss was $37.3 million for the six months ended June 30, 2021, as compared to $39.4 million for the six months ended June 30, 2020. The decrease in net loss of $2.1 million was primarily due to the decreased operating loss for the quarter of $3.1 million, the increase in interest expense of $0.7 million, and the decrease in interest income of $0.2 million due to the reduction of interest rates that took place during the first quarter of 2020.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June 30, 2021, we had working capital of $153.2 million, including cash and cash equivalents of $42.4 million, and stockholders’ equity of $111.6 million, as compared to working capital of $133.8 million, including cash and cash equivalents of $55.9 million, and stockholders’ equity of $88.2 million as of December 31, 2020. We have incurred an accumulated deficit of $377.8 million since inception, had negative cash flows from operations of $65.5 million and $45.9 million for the six months ended June 30, 2021 and 2020, respectively, and negative cash flows from operations of $102.0 million and $76.2 million for the years ended December 31, 2020 and 2019, respectively. We have funded our operations over the past few years primarily from the sale of our equity and debt securities.</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expect that we will need to continue to finance our operations through additional equity or debt financings or through corporate collaboration and licensing arrangements. Based upon our projected revenues and projected expenditures, including capital expenditures and continued implementation of our commercialization and expansion activities, we currently believe that our cash, cash equivalents, projected revenue and accounts receivable will be sufficient to fund our operations, as currently conducted, into the fourth quarter of 2021. In order to have sufficient cash to fund our operations thereafter, we will need to raise additional capital before the end of the fourth quarter of 2021. These estimates and timeframes may change based upon several factors, including the success of our commercial manufacturing ramp-up activities, the acceptability and reimbursement of BIVIGAM and ASCENIV by physicians, patients or payers, and the various financing options that may be available to us. We currently have no firm commitments for additional financing, and there can be no assurances that we will be able to secure additional financing on terms that are acceptable to us, or at all. Furthermore, if our assumptions underlying our estimated expenses and revenues are incorrect, we may have to raise additional capital sooner than currently anticipated.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7"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On May 28, 2021, we entered into an Open Market Sale Agreement</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(the “2021 Sale Agreement”) with Jefferies LLC (“Jefferies”), pursuant to which we may offer and sell, from time to time, at our option, through or to Jefferies, up to an aggregate of $50,000,000 of shares of our common stock. We intend to use the net proceeds from any offering under the 2021 Sale Agreement for general corporate purposes, including procurement of raw materials, source plasma, supply chain initiatives and production expenditures, funding expansion of plasma centers, working capital, capital expenditures, expansion and resources for commercialization activities, and other potential research and development and business opportunities. We may decide to utilize the 2021 Sale Agreement from time to time in order to supplement our cash resources and fund our operations beyond the fourth quarter of 2021. As of the date of this report, there have been no sales of common stock under the 2021 Sale Agreement.</w:t>
      </w:r>
    </w:p>
    <w:p>
      <w:pPr>
        <w:spacing w:after="0" w:line="18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long-term liquidity depends upon our ability to raise additional capital, fund capacity expansion and commercial programs and generate sufficient revenues from our products, several of which have only recently achieved commercial status, to cover our operating expenses and meet our obligations on a timely basis. The COVID-19 pandemic has negatively affected the global economy and created significant volatility and disruption to the financial markets. Failure to secure any necessary financing in a timely manner and on commercially reasonable terms could have a material adverse effect on our business plan and financial performance and we could be forced to delay or discontinue our capacity expansion, commercialization, product development or clinical trial activities, delay or discontinue the approval efforts for any of our product candidates, or potentially cease operations. In addition, we could also be forced to reduce or forgo sales and marketing efforts and forgo attractive business opportunities.</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Due to numerous risks and uncertainties associated with the COVID-19 pandemic, FDA reviews, inspections and approvals related to our products and processes, patient/payer acceptance of our products, ongoing compliance and maintenance requirements and capacity expansion efforts at the Boca Facility,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 and are also subject to the effect of potential new government orders, policies and procedures that we must comply with which are outside of our control. As such, these factors raise substantial doubt about our ability to continue as a going concern.</w:t>
      </w:r>
    </w:p>
    <w:p>
      <w:pPr>
        <w:spacing w:after="0" w:line="17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may decide to raise capital through public or private equity offerings or debt financings, obtain a bank credit facility or enter into corporate collaboration and licensing arrangements. The sale of additional equity or debt securities, if convertible, could result in dilution to our stockholders and, in such event, the market value of our common stock may decline. The incurrence of additional indebtedness would result in increased fixed obligations and could also result in covenants that would restrict our operations or other financing alternatives. In addition, we are exploring additional contract manufacturing arrangements and other business development opportunities, which may provide additional liquidity to us. We are also considering alternative business opportunities to maximize stockholder value including, for example, the acquisition or sale of specific assets or businesses, collaboration and/or license agreements or co-development agreements.</w:t>
      </w:r>
    </w:p>
    <w:p>
      <w:pPr>
        <w:spacing w:after="0" w:line="195"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On August 5, 2020, we entered into an Open Market Sale Agreement (the “2020 Sale Agreement”) with Jefferies, pursuant to which we could offer and sell, from time to time, at our option, through or to Jefferies, up to an aggregate of $50 million of shares of our common stock. On November 5, 2020 and February 3, 2021, we and Jefferies entered into amendments to the 2020 Sale Agreement (as amended, the “Amended 2020 Sale Agreement”) to provide for an increase in the aggregate offering amount under the Amended 2020 Sale Agreement, such that, as of February 3, 2021, we could sell shares having a gross aggregate offering price of up to $105.4 million.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For the year ended December 31, 2020, we sold 18,537,907 shares of our common stock under the Amended 2020 Sale Agreement and received net proceeds in the amount of $42.5 million. During the six months ended June 30, 2021, we sold an additional 26,907,753 shares of our common stock and received net proceeds of $59.1 million, and during July of 2021 we sold an additional 897,445 shares of our common stock under the Amended 2020 Sale Agreement and received net proceeds of approximately $1.5 million. As of the date of this report, we cannot raise any additional funds under the Amended 2020 Sale Agreement. The net proceeds from this offering were or are being used for general corporate purposes, which may include (i) the procurement of raw materials for the manufacturing of BIVIGAM and ASCENIV; (ii) supporting the ongoing commercial sales of our IVIG products; (iii) expanding the manufacturing capacity of our Boca Facility, including supply chain functions, and enhancing the robustness of our supply chain oversight; (iv) expanding our plasma collection facility network; and (v) research and development and business development opportunities.</w:t>
      </w:r>
    </w:p>
    <w:p>
      <w:pPr>
        <w:spacing w:after="0" w:line="16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February 11, 2019 (the “Perceptive Closing Date”), we and all of our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$100.0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$27.5 million (the “Perceptive Tranche II Loan”) evidenced by the Company’s issuance of a promissory note (the “Perceptive Tranche II Note”) in favor of Perceptive on May 3, 2019, (iii) a term loan in the principal amount of $12.5 million evidenced by the Company’s issuance of a promissory note (the “Perceptive Tranche III Note”) in favor of Perceptive on March 20, 2020 (the “Perceptive Tranche III Loan”); and (iv) a term loan in the principal amount of $15 million evidenced by our issuance of a promissory note in favor of Perceptive on December 8, 2020 (the “Perceptive Tranche IV Loan”, and together with the Perceptive Tranche I Loan, the Perceptive Tranche II Loan and the Perceptive Tranche III Loan, the “Perceptive Loans”). The Perceptive Tranche III Loan is the result of an amendment to the Perceptive Credit Agreement that the Company and Perceptive entered into on May 3, 2019 (the “First Perceptive Amendment”), and the Perceptive Tranche III Loan became available to the Company upon the approval of BIVIGAM on May 9, 2019. The Perceptive Tranche IV Loan is the result of an amendment to the Perceptive Credit Facility entered into on December 8, 2020 (the “Second Perceptive Amendment”), which also extended the maturity date of the Perceptive Credit Facility to March 1, 2024 (the “Maturity Date”), subject to acceleration pursuant to the Perceptive Credit Agreement, including upon an Event of Default (as defined in the Perceptive Credit Agreement).</w:t>
      </w:r>
    </w:p>
    <w:p>
      <w:pPr>
        <w:spacing w:after="0" w:line="16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proceeds from the Perceptive Tranche IV Loan were used to retire the $15.0 million subordinated note we had payable to Biotest, which had a maturity date of June 17,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jc w:val="both"/>
        <w:ind w:right="260" w:firstLine="8"/>
        <w:spacing w:after="0" w:line="277"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3.5%; provided, however, that upon, and during the continuance of, an Event of Default, the interest rate will automatically increase by an additional 400 basis points. Accrued interest of approximately $0.9 million per month is payable to Perceptive on the last day of each month during the term of the Perceptive Credit Facility. The rate of interest in effect as of the Perceptive Closing Date and at June 30, 2021 was 11.0%.</w:t>
      </w:r>
    </w:p>
    <w:p>
      <w:pPr>
        <w:spacing w:after="0" w:line="173"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the Maturity Date, we are required to pay Perceptive the entire outstanding principal amount underlying the Perceptive Loans and any accrued and unpaid interest thereon. There are no scheduled principal payments on the Perceptive Loans prior to the Maturity Date. We may prepay outstanding principal on the Perceptive Loans at any time and from time to time upon three business days’ prior written notice, subject to the payment to Perceptive of</w:t>
      </w:r>
    </w:p>
    <w:p>
      <w:pPr>
        <w:spacing w:after="0" w:line="2" w:lineRule="exact"/>
        <w:rPr>
          <w:sz w:val="20"/>
          <w:szCs w:val="20"/>
          <w:color w:val="auto"/>
        </w:rPr>
      </w:pPr>
    </w:p>
    <w:p>
      <w:pPr>
        <w:jc w:val="both"/>
        <w:ind w:right="80" w:firstLine="8"/>
        <w:spacing w:after="0" w:line="253" w:lineRule="auto"/>
        <w:tabs>
          <w:tab w:leader="none" w:pos="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accrued but unpaid interest on the prepaid principal amount plus (B) a redemption premium amount equal to (i) 5.0% of the prepaid principal amount, if prepaid on or prior to December 31, 2021, (ii) 2.0% of the prepaid principal amount, if prepaid after December 31, 2021 and on or prior to December 31, 2022, (iii) 4.0% of the prepaid principal amount, if prepaid after December 31, 2022 and on or prior to December 31, 2023, and (iv) 5.0% of the prepaid principal amount, if prepaid any time thereafter and prior to the Maturity Date.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All of our obligations under the Perceptive Credit Agreement are secured by a first-priority lien and security interest in substantially all of our tangible and intangible assets, including intellectual property and all of the equity interests in our subsidiaries. The Perceptive Credit Agreement contains certain representations and warranties, affirmative covenants, negative covenants and conditions that are customarily required for similar financings. The negative covenants restrict or limit our ability and that of our subsidiaries to, among other things and subject to certain exceptions contained in the Perceptive Credit Agreement, incur new indebtedness; create liens on assets; engage in certain fundamental corporate changes, such as mergers or acquisitions, or changes to our or our subsidiaries’ business activities; make certain Investments or Restricted Payments (each as defined in the Perceptive Credit Agreement); change our fiscal year; pay dividends; repay other certain indebtedness; engage in certain affiliate transactions; or enter into, amend or terminate any other agreements that have the impact of restricting our ability to make loan repayments under the Perceptive Credit Agreement. In addition, we must (i) at all times prior to the Maturity Date maintain a minimum cash balance of $3.0 million; and (ii) as of the last day of each fiscal quarter commencing with the fiscal quarter ended June 30, 2019, report revenues for the trailing 12-month period that exceed the amounts set forth in the Perceptive Credit Agreement, which range from $37.3 million for the fiscal quarter ended June 30, 2021 to $55.0 million for the fiscal quarter ending December 31, 2021. At June 30, 2021, we were in compliance with all of the covenants contained in the Perceptive Credit Agreement.</w:t>
      </w:r>
    </w:p>
    <w:p>
      <w:pPr>
        <w:spacing w:after="0" w:line="16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February 2020, we completed an underwritten public offering of 27,025,000 shares of our common stock and received net proceeds, after underwriting discounts and other expenses associated with the offering, of approximately $88.7 million. The proceeds from this offering were used (i) for the procurement of raw materials for the manufacturing of BIVIGAM and ASCENIV; (ii) to support the ongoing commercial sales of BIVIGAM and ASCENIV; (iii) to expand the manufacturing capacity of our Boca Facility and enhance our supply chain capabilities; (iv) to expand our plasma collection facility network; (v) for research and development and business development opportunities; and (vi) for general corporate purposes and other capital expenditures.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120" w:type="dxa"/>
            <w:vAlign w:val="bottom"/>
          </w:tcPr>
          <w:p>
            <w:pPr>
              <w:spacing w:after="0"/>
              <w:rPr>
                <w:sz w:val="24"/>
                <w:szCs w:val="24"/>
                <w:color w:val="auto"/>
              </w:rPr>
            </w:pPr>
          </w:p>
        </w:tc>
        <w:tc>
          <w:tcPr>
            <w:tcW w:w="2440" w:type="dxa"/>
            <w:vAlign w:val="bottom"/>
            <w:gridSpan w:val="5"/>
            <w:vMerge w:val="restart"/>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(65,491,363)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(45,931,435)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(7,046,735)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(6,241,284)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59,025,904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101,201,706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(13,512,194)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49,028,987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55,921,152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26,752,135</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42,408,958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75,781,122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Cash used in operations for the six months ended June 30, 2021 was $65.5 million, an increase of $19.6 million from the same period of a year ago, mainly due to an increases in inventory and accounts receivable. The following table illustrates the primary components of our cash flows from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(37,285,244)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(39,423,321)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5,057,077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3,873,479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(10,307,304)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(3,044,246)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Changes in inventories</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(18,164,144)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(2,936,614)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(2,655,397)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(2,159,834)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(1,925,710)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(1,865,637)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(210,641)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(375,262)</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(65,491,363)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(45,931,435)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980" w:type="dxa"/>
            <w:vAlign w:val="bottom"/>
            <w:vMerge w:val="restart"/>
          </w:tcPr>
          <w:p>
            <w:pPr>
              <w:jc w:val="right"/>
              <w:ind w:right="2899"/>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7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70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Net cash used in investing activities for the six months ending June 30, 2021 was $7.0 million, which primarily consisted of $4.3 million for the construction and buildout of new plasma centers and related equipment and capital expenditures at the Boca Facility of $2.7 million, which includes equipment purchases and implementation of our in-house fill/finish capabilities. Cash used in investing activities of $6.2 million for the six months ended June 30, 2020 was mainly attributable to capital expenditures at the Boca Facility. Although we have no specific material commitments for capital expenditures as of June 30, 2021, we expect our total capital expenditures will be between $6.0 million and $12.0 million for the remainder of fiscal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provided by financing activities was $59.0 million for the six months ended June 30, 2021 and primarily consisted of proceeds received from the Amended Sale Agreement. Cash provided by financing activities of $101.2 million for the same period of a year ago was comprised of $88.7 million of net proceeds received from our underwritten public offering in February 2020 and $12.5 million of proceeds from the Perceptive Tranche III Loan received in March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Inflation or changing prices did not have a significant impact on our net revenues, operating expenses or net loss for the six months ended June 30, 2021 or in 2020 or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7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June 30, 2021. Based on this evaluation, our principal executive officer and our principal financial officer concluded that our disclosure controls and procedures as of June 30, 2021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2021 that have materially affected, or are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87" w:lineRule="exact"/>
        <w:rPr>
          <w:sz w:val="20"/>
          <w:szCs w:val="20"/>
          <w:color w:val="auto"/>
        </w:rPr>
      </w:pPr>
    </w:p>
    <w:p>
      <w:pPr>
        <w:ind w:left="660" w:right="3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auditor’s report contains a going concern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currently not profitable and may never become profitable.</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has significantly affected worldwide economic conditions, and could have a material adverse impact on our business, liquidity, financial condition and results of operations, as well as a change to the overall market size and potential for our products.</w:t>
      </w:r>
    </w:p>
    <w:p>
      <w:pPr>
        <w:spacing w:after="0" w:line="183" w:lineRule="exact"/>
        <w:rPr>
          <w:rFonts w:ascii="Arial" w:cs="Arial" w:eastAsia="Arial" w:hAnsi="Arial"/>
          <w:sz w:val="18"/>
          <w:szCs w:val="18"/>
          <w:color w:val="auto"/>
        </w:rPr>
      </w:pPr>
    </w:p>
    <w:p>
      <w:pPr>
        <w:ind w:left="660" w:right="12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rFonts w:ascii="Arial" w:cs="Arial" w:eastAsia="Arial" w:hAnsi="Arial"/>
          <w:sz w:val="17"/>
          <w:szCs w:val="17"/>
          <w:color w:val="auto"/>
        </w:rPr>
      </w:pPr>
    </w:p>
    <w:p>
      <w:pPr>
        <w:ind w:left="660" w:right="1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rFonts w:ascii="Arial" w:cs="Arial" w:eastAsia="Arial" w:hAnsi="Arial"/>
          <w:sz w:val="17"/>
          <w:szCs w:val="17"/>
          <w:color w:val="auto"/>
        </w:rPr>
      </w:pPr>
    </w:p>
    <w:p>
      <w:pPr>
        <w:ind w:left="660" w:right="5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Both of our business segments and our facilities are subject to periodic inspections by the FDA, which, depending on the outcome of such inspection, could result in certain FDA actions, including the issuance of observations, notices, citations or warning letters.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could adversely affect our business.</w:t>
      </w:r>
    </w:p>
    <w:p>
      <w:pPr>
        <w:spacing w:after="0" w:line="225" w:lineRule="exact"/>
        <w:rPr>
          <w:rFonts w:ascii="Arial" w:cs="Arial" w:eastAsia="Arial" w:hAnsi="Arial"/>
          <w:sz w:val="18"/>
          <w:szCs w:val="18"/>
          <w:color w:val="auto"/>
        </w:rPr>
      </w:pPr>
    </w:p>
    <w:p>
      <w:pPr>
        <w:jc w:val="both"/>
        <w:ind w:left="660" w:right="48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8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23" w:lineRule="exact"/>
        <w:rPr>
          <w:rFonts w:ascii="Arial" w:cs="Arial" w:eastAsia="Arial" w:hAnsi="Arial"/>
          <w:sz w:val="16"/>
          <w:szCs w:val="16"/>
          <w:color w:val="auto"/>
        </w:rPr>
      </w:pPr>
    </w:p>
    <w:p>
      <w:pPr>
        <w:ind w:left="660" w:right="14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right="72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 the approval to market ASCENIV, BIVIGAM and Nabi-HB, there can be no assurance that we will be successful in developing and expanding commercial operations or balancing our research and development activities with our commercialization activities.</w:t>
      </w:r>
    </w:p>
    <w:p>
      <w:pPr>
        <w:spacing w:after="0" w:line="14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depend on third-party researchers, developers and vendors to develop, manufacture, supply materials or test products and product candidates, and such parties are outside of our control.</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7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physicians, payers and patients do not accept and use our current products or our future product candidates, our ability to generate revenue from these products will be materially impaired.</w:t>
      </w:r>
    </w:p>
    <w:p>
      <w:pPr>
        <w:spacing w:after="0" w:line="170" w:lineRule="exact"/>
        <w:rPr>
          <w:rFonts w:ascii="Arial" w:cs="Arial" w:eastAsia="Arial" w:hAnsi="Arial"/>
          <w:sz w:val="18"/>
          <w:szCs w:val="18"/>
          <w:color w:val="auto"/>
        </w:rPr>
      </w:pPr>
    </w:p>
    <w:p>
      <w:pPr>
        <w:jc w:val="both"/>
        <w:ind w:left="660" w:right="8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Perceptive Credit Facility is subject to acceleration in specified circumstances, which may result in Perceptive taking possession and disposing of any collateral.</w:t>
      </w:r>
    </w:p>
    <w:p>
      <w:pPr>
        <w:spacing w:after="0" w:line="170" w:lineRule="exact"/>
        <w:rPr>
          <w:rFonts w:ascii="Arial" w:cs="Arial" w:eastAsia="Arial" w:hAnsi="Arial"/>
          <w:sz w:val="18"/>
          <w:szCs w:val="18"/>
          <w:color w:val="auto"/>
        </w:rPr>
      </w:pPr>
    </w:p>
    <w:p>
      <w:pPr>
        <w:ind w:left="660" w:right="8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46"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Cyberattacks and other security breaches could compromise our proprietary and confidential information, which could harm our business and reputation.</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require additional funding and may be unable to raise capital in the future, which would force us to delay, curtail or eliminate one or more of our research and development programs or potentially modify our ongoing operations, commercialization efforts and expansion plans, as well as impact the overall business plan for the organization.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market price of our common stock may be volatile and may fluctuate in a way that is disproportionate to our operating performance.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raise additional capital, fund and successfully implement our research and development and commercial programs, establish and build out a commercial sales force, medical affairs organization and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78"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We currently anticipate, based upon our projected revenue and expenditures, that our current cash, cash equivalents and accounts receivable will be sufficient to fund our operations into the fourth quarter of 2021. This time frame may change based upon how quickly we are able to execute on our commercialization efforts and operational initiatives. However, if the assumptions underlying our estimated revenues and expenses prove to be incorrect, we may have to raise additional capital sooner than we currently expect. We anticipate that we will not be able to generate a sufficient amount of product revenue to achieve profitability until the beginning of 2024 and, as a result, we anticipate that we will need to continue to finance our operations through additional equity or debt financings or corporate collaboration and licensing arrangements. If we are unable to raise additional capital as needed, we will have to delay, curtail or eliminate our commercialization efforts as well as product development activities.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8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the auditor’s report on our financial statements for the year ended December 31, 2020 includes a going concern paragraph. To date, our products have not generated significant revenue. As a result, we have suffered recurring losses and require significant additional cash resources to execute our business plan. These losses are expected to continue for an extended period of time. These factors raise substantial doubt about our ability to continue as a going concern beyond one year from the date of filing this Quarterly Report on Form 10-Q.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we be unable to continue as a going concern within one year after the date the financial statements are issued.</w:t>
      </w:r>
    </w:p>
    <w:p>
      <w:pPr>
        <w:spacing w:after="0" w:line="16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recognize that we will need to raise additional capital in order to continue to execute our business plan in the future. Historically, the major source of our cash has been from proceeds from various public and private offerings of our common stock. The actual amount of cash that we will need is subject to many factors. There can be no assurances that additional financing will be available when needed or that management will be able to obtain financing on terms acceptable to us or that we will become profitable and generate positive operating cash flow. If we are unable to raise sufficient additional funds, we will have to scale back our operations.</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flows into fiscal 2023, and we may never achieve or maintain profitability. For the six months ended June 30, 2021 and 2020, we incurred net losses of $37.3 million and $39.4 million, respectively, and for the years ended December 31, 2020 and 2019, we incurred net losses of $75.7 million and $48.3 million, respectively. From our inception in 2004 through June 30, 2021, we have incurred an accumulated deficit of $377.8 million. We expect that we will not be able to generate a sufficient amount of product revenue to achieve profitability until the beginning of 2024 and, as a result, we expect that we will need to continue to finance our operations through additional equity or debt financings or corporate collaboration and licensing agreements. We also expect to continue to incur significant operating and capital expenditures and anticipate that our operating expenses will increase substantially in the foreseeable future as we:</w:t>
      </w:r>
    </w:p>
    <w:p>
      <w:pPr>
        <w:spacing w:after="0" w:line="16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We may not be able to generate these revenues or achieve profitability in the future. These factors raise substantial doubt about our ability to continue as a going concern. Our failure to achieve or maintain profitability could negatively impact the value of our securities.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has significantly affected worldwide economic conditions, and could have a material adverse impact on our business, liquidity, financial condition and results of operations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COVID-19 pandemic, including the Delta variant and other resistant strains of the coronavirus, has the potential to adversely impact several aspects of each of our business segments, our commercial manufacturing operations and plasma collection facilities,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particularly in light of the recent increase in COVID-19 cases in the State of Florida.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quality of our products and product candidates. In addition, travel and other restrictions that have been implemented in the United States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are subject to limitations, rescheduling or outright cancellation in response to the pandemic. Also, due to a combination of previous state and local “shelter-in-place” orders, as well as government stimulus packages, persisting social distancing measures and varying roll-outs of vaccinations by state, we have experienced, and may experience in the future, lower than expected donor collections at our FDA-licensed plasma collection centers.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We have also experienced supply chain delays as a result of significant resources being diverted towards the rapid development and distribution of COVID-19 vaccines, which could result in our need to carry more inventory that we have in the past, which would put an additional strain on our cash resources.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future we may continue to experience pandemic-related challenges with respect to obtaining and manufacturing a sufficient amount of supplies, raw materials, and finished product to meet our need for commercial and clinical product supply. If we or any of our suppliers or manufacturers are adversely impacted by the pandemic or the restrictions resulting from the outbreak,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the pandemic that may otherwise adversely impact our supply chains or the quality of the resulting products or supplies. Depending on the change, we may need to obtain FDA pre-approval or otherwise provide the FDA with a notification of the change.</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To the extent that we or our partners are conducting clinical trials, the pandemic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IRBs, and the FDA. The foregoing may also impact the integrity of our study data. The effects of the COVID-19 pandemic may also increase the need for clinical trial patient monitoring and regulatory reporting of adverse effects. The pandemic could further impact our ability to interact with the FDA or other regulatory authorities and may result in delays in the conduct of inspections or review of pending applications or submissions. During the second quarter of 2021, we were notified by the FDA that our submission for the approval of our in-house fill-finish process utilizing our Vanrx SA25 Workcell aseptic filling machine will require a site inspection, either in person or virtually. Although the inspection was completed in July of 2021, the FDA’s review of our regulatory filing with respect to our in-house fill-finish process and new aseptic filling machine remains ongoing. Although we anticipate receiving regulatory approval of this submission in the second half of 2021, no assurances can be provided as to the timing for completion of this FDA review or any other regulatory submissions or applications that may be impacted by restrictions related to COVID-19 or other circumstances unknown to us presently or that are out of our direct control. Due to the potential impact of the COVID-19 outbreak on clinical trials, drug development, and manufacturing, the FDA issued a number of guidances specifically concerning COVID-19, including guidances with respect to blood and blood components. The FDA’s guidance is continually evolving.</w:t>
      </w:r>
    </w:p>
    <w:p>
      <w:pPr>
        <w:spacing w:after="0" w:line="17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Since the onset of the COVID-19 pandemic, there has been a noticeable decline in certain medical prescriptions attributed to lower incident rates for illnesses, fewer RSV, influenza and other respiratory viral pathogen-infected patients, hospital admissions and a reduction in doctor visits. In addition, physical and social distancing guidelines issued by public health authorities and the resulting global changes in human behavior have resulted in an observed reduction in infection transmission rates and spread of bacterial and viral infections, resulting in lower rates of infection across all patient populations, which, if continued, could potentially negatively impact the use of our IVIG products by patients.</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COVID-19 pandemic may also result in changes in laws and regulations. By example, in March 2020, the U.S. Congress passed the Coronavirus Aid, Relief, and Economic Security Act, or CARES Act, which includes various provisions regarding FDA drug shortage reporting requirements, as well as provisions regarding supply chain security, such as risk management plan requirements, and the promotion of supply chain redundancy and domestic manufacturing. This and any future changes in law may require that we change our internal processes and procedures to ensure continued compliance.</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and results from operations.</w:t>
      </w:r>
    </w:p>
    <w:p>
      <w:pPr>
        <w:spacing w:after="0" w:line="171"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Although we have built our own fill/finish suite within the Boca Facility, we also intend to continue to utilize third parties to supplement our fill/finish process for final drug substance. In addition, our recently completed fill/finish suite has yet to be validated and approved by the FDA. Our anticipated reliance on a limited number of third-party manufacturers exposes us to the following risks:</w:t>
      </w:r>
    </w:p>
    <w:p>
      <w:pPr>
        <w:spacing w:after="0" w:line="184" w:lineRule="exact"/>
        <w:rPr>
          <w:sz w:val="20"/>
          <w:szCs w:val="20"/>
          <w:color w:val="auto"/>
        </w:rPr>
      </w:pPr>
    </w:p>
    <w:p>
      <w:pPr>
        <w:ind w:left="660" w:right="20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23" w:lineRule="exact"/>
        <w:rPr>
          <w:rFonts w:ascii="Arial" w:cs="Arial" w:eastAsia="Arial" w:hAnsi="Arial"/>
          <w:sz w:val="16"/>
          <w:szCs w:val="16"/>
          <w:color w:val="auto"/>
        </w:rPr>
      </w:pPr>
    </w:p>
    <w:p>
      <w:pPr>
        <w:ind w:left="660" w:right="38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COVID-19 pandemic could adversely affect our contracted fill/finishers’ operations, supply chain or workforce;</w:t>
      </w:r>
    </w:p>
    <w:p>
      <w:pPr>
        <w:spacing w:after="0" w:line="225" w:lineRule="exact"/>
        <w:rPr>
          <w:rFonts w:ascii="Arial" w:cs="Arial" w:eastAsia="Arial" w:hAnsi="Arial"/>
          <w:sz w:val="18"/>
          <w:szCs w:val="18"/>
          <w:color w:val="auto"/>
        </w:rPr>
      </w:pPr>
    </w:p>
    <w:p>
      <w:pPr>
        <w:ind w:left="660" w:right="28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25" w:lineRule="exact"/>
        <w:rPr>
          <w:rFonts w:ascii="Arial" w:cs="Arial" w:eastAsia="Arial" w:hAnsi="Arial"/>
          <w:sz w:val="18"/>
          <w:szCs w:val="18"/>
          <w:color w:val="auto"/>
        </w:rPr>
      </w:pPr>
    </w:p>
    <w:p>
      <w:pPr>
        <w:ind w:left="660" w:right="44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Each of these risks could delay or prevent the completion of our finished drug product and the release of finished drug product by the FDA, which could result in higher costs or adversely impact the commercialization of our products. These risks could also result in the delay in obtaining clinical supply,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other acts of God or force majeure events or global health occurrences and emergencies, including the COVID-19 pandemic.</w:t>
      </w:r>
    </w:p>
    <w:p>
      <w:pPr>
        <w:spacing w:after="0" w:line="17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Both of our business segments and our facilities, as well as our suppliers and contractors, are subject to periodic inspections by the FDA, which, depending on the outcome of such inspection, could result in certain FDA actions, including the issuance of observations, notices, citations or warning letters.</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and our suppliers and contractors may be unable to comply with our specifications, cGMP requirements and with other FDA, state, and foreign regulatory requirements for commercial and clinical supply. The FDA is authorized to perform inspections of our and our suppliers’ facilities, including the Boca Facility. The FDA also must inspect and approve our and our third-parties’ facilities before they may be used for commercial production. At the end of such an inspection, the FDA could issue a Form 483 Notice of Inspectional Observations, which could cause us to modify certain activities identified during the inspection and may not approve the use of the facility.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w:t>
      </w:r>
    </w:p>
    <w:p>
      <w:pPr>
        <w:spacing w:after="0" w:line="196"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We may not be able to timely resolve concerns raised by the FDA as a result of an inspection or without expending significant resources. We are unable to control the timing of FDA inspections, responses, meeting requests, teleconference requests, requests for clarifications and similar regulatory communications, as well as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human error, employee issues, global health occurrences such as the COVID-19 pandemic,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82"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for any current or future development product candidate may be delayed by several factors, including:</w:t>
      </w:r>
    </w:p>
    <w:p>
      <w:pPr>
        <w:spacing w:after="0" w:line="18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temporary suspension resulting from the COVID-19 pandemic.</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would be adversely affected.</w:t>
      </w:r>
    </w:p>
    <w:p>
      <w:pPr>
        <w:spacing w:after="0" w:line="17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the FDA or an independent institutional review board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9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Other issues that may impact our clinical trials and that could delay or prevent our ability to receive marketing approval or commercialize our product candidates, include:</w:t>
      </w:r>
    </w:p>
    <w:p>
      <w:pPr>
        <w:spacing w:after="0" w:line="170" w:lineRule="exact"/>
        <w:rPr>
          <w:sz w:val="20"/>
          <w:szCs w:val="20"/>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may require us to perform additional or unanticipated clinical trials to obtain approval or we may be subject to additional post-marketing testing, surveillance, or REMS requirements to maintain regulatory approval;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right="2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FDA upon the filing of a marketing application;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achieve sufficient study enrollment, subjects may drop out or be withdrawn from out studies, we may have delays in adding new investigators or clinical trial sites, or we may experience a withdrawal of clinical trial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flaws in our clinical trial design that are not discoverable until the clinical trial has progressed;</w:t>
      </w:r>
    </w:p>
    <w:p>
      <w:pPr>
        <w:spacing w:after="0" w:line="225" w:lineRule="exact"/>
        <w:rPr>
          <w:rFonts w:ascii="Arial" w:cs="Arial" w:eastAsia="Arial" w:hAnsi="Arial"/>
          <w:sz w:val="18"/>
          <w:szCs w:val="18"/>
          <w:color w:val="auto"/>
        </w:rPr>
      </w:pPr>
    </w:p>
    <w:p>
      <w:pPr>
        <w:jc w:val="both"/>
        <w:ind w:left="660" w:right="28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or study design, including endpoints, or our interpretation of data from preclinical studies and clinical trials, may find that a product candidate’s benefits do not outweigh its safety risks, or may require that we conduct additional development or study work;</w:t>
      </w:r>
    </w:p>
    <w:p>
      <w:pPr>
        <w:spacing w:after="0" w:line="18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need to make changes to our product candidates that require additional testing or that cause our product candidates to perform differently than expected;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Global trade policies that may impact our or our manufacturers’ ability to obtain raw materials and/or finished product for commercialization;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FDA or comparable regulatory authorities may take longer than we anticipate to make decisions on our products or product candidates; and</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demonstrate that a product or product candidate provides an advantage over current standards of care or current or future competitive therapies in development.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4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we are not be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diversion of resources for FDA review during the ongoing COVID-19 pandemic or administrative action or changes in FDA policy that occur prior to or during our regulatory review. Delays in obtaining regulatory approvals may: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revenues from, our product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FDA and other governmental authorities strictly regulate and monitor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7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among other consequences, any of which could harm our reputation and our business.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developing and expanding commercial operations or balancing our research and development activities with our commercialization activities.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including supply chain constraints directly or indirectly caused by the ongoing COVID-19 pandemic and government responses thereto,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or test products and product candidates, as well as for other pre-and-post approval services, and such parties are, to some extent, outside of our control.</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depend on independent investigators and collaborators, such as universities and medical institutions, contract laboratories, clinical research organizations,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or the impact that the ongoing COVID-19 pandemic will have on such third parties.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8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and have it inspected by the FDA. Given the significant delays that may result during the validation process, including due to any diverted FDA attention during the COVID-19 pandemic, we may experience a significant supply shortage of our products or our production capabilities may be limited until completion of and validation of our facility expansion and new manufacturing equipment.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79"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25" w:lineRule="exact"/>
        <w:rPr>
          <w:rFonts w:ascii="Arial" w:cs="Arial" w:eastAsia="Arial" w:hAnsi="Arial"/>
          <w:sz w:val="18"/>
          <w:szCs w:val="18"/>
          <w:color w:val="auto"/>
        </w:rPr>
      </w:pPr>
    </w:p>
    <w:p>
      <w:pPr>
        <w:ind w:left="980" w:right="86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conduct further post-marketing studies or clinical trials, implement risk mitigation strategies, or to issue corrective information;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healthcare programs, consent decrees, or corporate integrity agreements;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For the six months ended June 30, 2021, five customers, BioCare, Biolife, Reliance, Curascript and AmerisourceBergen, represented an aggregate of 85% of our consolidated revenues. For the year ended December 31, 2020, three customers, BioCare, Reliance and Biolife, represented an aggregate of 82% of our consolidated revenues.</w:t>
      </w:r>
    </w:p>
    <w:p>
      <w:pPr>
        <w:spacing w:after="0" w:line="174" w:lineRule="exact"/>
        <w:rPr>
          <w:sz w:val="20"/>
          <w:szCs w:val="20"/>
          <w:color w:val="auto"/>
        </w:rPr>
      </w:pPr>
    </w:p>
    <w:p>
      <w:pPr>
        <w:jc w:val="both"/>
        <w:ind w:right="640" w:firstLine="648"/>
        <w:spacing w:after="0" w:line="215" w:lineRule="auto"/>
        <w:rPr>
          <w:sz w:val="20"/>
          <w:szCs w:val="20"/>
          <w:color w:val="auto"/>
        </w:rPr>
      </w:pPr>
      <w:r>
        <w:rPr>
          <w:rFonts w:ascii="Arial" w:cs="Arial" w:eastAsia="Arial" w:hAnsi="Arial"/>
          <w:sz w:val="18"/>
          <w:szCs w:val="18"/>
          <w:color w:val="auto"/>
        </w:rPr>
        <w:t>As of June 30, 2021, six customers, Curascript, BioCare,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America Infusion Services, LLC, Reliance, Biolife and AmerisourceBergen, represented a total of 94% of our consolidated accounts receivable. As of December 31, 2020, three customers, BioCare, Reliance and Curascript, represented a total of 92% of our consolidated accounts receivable.</w:t>
      </w:r>
    </w:p>
    <w:p>
      <w:pPr>
        <w:spacing w:after="0" w:line="20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Our current product development portfolio consists primarily of label expansion activities for Nabi-HB, BIVIGAM and ASCENIV, as well as expanding our IP estate with patents issued for </w:t>
      </w:r>
      <w:r>
        <w:rPr>
          <w:rFonts w:ascii="Arial" w:cs="Arial" w:eastAsia="Arial" w:hAnsi="Arial"/>
          <w:sz w:val="18"/>
          <w:szCs w:val="18"/>
          <w:i w:val="1"/>
          <w:iCs w:val="1"/>
          <w:color w:val="auto"/>
        </w:rPr>
        <w:t>S. Pneumoniae</w:t>
      </w:r>
      <w:r>
        <w:rPr>
          <w:rFonts w:ascii="Arial" w:cs="Arial" w:eastAsia="Arial" w:hAnsi="Arial"/>
          <w:sz w:val="18"/>
          <w:szCs w:val="18"/>
          <w:color w:val="auto"/>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went into effect January 1, 2020, and will be amended by the California Privacy Rights Act, effective January 1, 2023.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Perceptive Credit Facility is subject to acceleration in specified circumstances, which may result in Perceptive taking possession and disposing of any collateral.</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February 11, 2019 (the “Perceptive Closing Date”), we entered into the Perceptive Credit Agreement with Perceptive Credit Holdings II, LP, as the lender and administrative agent (“Perceptive”). The Perceptive Credit Agreement, as amended, currently provides for a senior secured term loan facility in the principal amount of $100.0 million (the “Perceptive Credit Facility”), comprised of (i) a term loan made on the Perceptive Closing Date in the principal amount of $45.0 million, as evidenced by our issuance of a promissory note in favor of Perceptive on the Perceptive Closing Date (the “Perceptive Tranche I Loan”), (ii) a term loan in the principal amount of $27.5 million evidenced by our issuance of a promissory note in favor of Perceptive on May 3, 2019 (the “Perceptive Tranche II Loan”), (iii) a term loan in the principal amount of $12.5 million evidenced by our issuance of a promissory note in favor of Perceptive on March 20, 2020, (the “Perceptive Tranche III Loan”); and (iv) a term loan in the principal amount of $15 million evidenced by our issuance of a promissory note in favor of Perceptive on December 8, 2020 (the “Perceptive Tranche IV Loan,” and together with the Perceptive Tranche I Loan, the Perceptive Tranche II Loan and the Perceptive Tranche III Loan, the “Perceptive Loans”). The Perceptive Loans each have a maturity date of March 1, 2024, subject to acceleration pursuant to the Perceptive Credit Agreement, including upon an Event of Default (as defined in the Perceptive Credit Agreement). The Perceptive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Perceptive Loans of 4% per annum, the occurrence of an Event of Default could result in, among other things, the termination of commitments under the Perceptive Credit Facility, the declaration that all outstanding Loans are immediately due and payable in whole or in part, and Perceptive taking immediate possession of, and selling, any collateral securing the Perceptive Loans.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4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6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There is no assurance that ASCENIV, or any other of our products for which we are issued a patent, will enjoy market exclusivity for the full time period of the respective patent.</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factors may be negatively impacted as a consequence of the COVID-19 pandemic. If we are unable to manage our growth effectively, our business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 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or travel restrictions related to COVID-19 prevent qualified personnel from applying for employment.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6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BioCenters facilities, and if we cannot maintain FDA approval for these facilities or obtain FDA approval for additional facilities that we create or acquire rights to, we may be adversely affected and may not be able to sell or use this human blood plasma for future commercial purposes.</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intend to maintain FDA approval of our ADMA BioCenters collection facilities for the collection of human blood plasma and we may seek other governmental and regulatory approvals for these facilities. We also plan to grow through the building and licensing of additional ADMA BioCenters facilities in various regions of the U.S. Collection facilities are subject to FDA and potentially other governmental and regulatory inspections and extensive regulation, including compliance with current cGMP and blood standards, FDA and other government approvals, as applicable. Failure to comply with applicable governmental regulations or to receive applicable approvals for our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no assurances we will be able to maintain compliance with all FDA or other regulations. Our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57"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civil and criminal Federal False Claims Act, the civil monetary penalty statute, requirements regarding the reporting and repayment of overpayments, other fraud and abuse laws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states, including the State of Florida with respect to the manufacture and marketing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discount safe harbor.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physicians, physician assistants, nurse practitioners, clinical nurse specialists and certified registered nurse anesthetists and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7"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4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2" w:lineRule="exact"/>
        <w:rPr>
          <w:sz w:val="20"/>
          <w:szCs w:val="20"/>
          <w:color w:val="auto"/>
        </w:rPr>
      </w:pPr>
    </w:p>
    <w:p>
      <w:pPr>
        <w:ind w:right="16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Both before and after the approval of our products, our products, operations, facilities, suppliers and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spacing w:after="0" w:line="17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such as COVID-19,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Further, the COVID-19 pandemic has resulted in, and may continue to result in, significant constraints in raw material supply across various different industries, including the supply of plasma. It is possible that in the future, the COVID-19 pandemic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6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healthcare reform may make it easier for competitors to market biosimilar products.</w:t>
      </w:r>
    </w:p>
    <w:p>
      <w:pPr>
        <w:spacing w:after="0" w:line="23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was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There have been repeated attempts by Congress to repeal or change the Healthcare Reform Law and there are ongoing legal challenges, including at the Supreme Court, which may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Corporate responsibility, specifically related to environmental, social and governance (“ESG”) matters, may impose additional costs and expose us to new risks.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operations have consumed substantial amounts of cash since inception. For the six months ended June 30, 2021 and 2020, we had negative cash flows from operations of $65.5 million and $45.9 million, respectively, and for the years ended December 31, 2020 and 2019, we had negative cash flows from operations of approximately $102.0 million and $76.2 million, respectively. 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expect that we will need to continue to finance our operations through additional equity or debt financings or corporate collaboration and licensing agreements. We currently anticipate, based upon our projected revenue and expenditures, that our current cash, cash equivalents and accounts receivable will be sufficient to fund our operations, as currently conducted, into the fourth quarter of 2021. In order to have sufficient cash to fund our operations thereafter, we will need to raise additional equity or debt financing before the end of the fourth quarter of 2021. This time frame may change based upon how quickly we are able to execute on our operational initiatives and the various financing options that may be available to us in 2021.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including due to widespread liquidity constraints or significant market instability that could result from the COVID-19 pandemic, we will have to delay, curtail or eliminate our commercialization efforts or our product development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Perceptive Credit Facility provides for term loans of up to an aggregate principal amount of $100.0 million, all of which has been drawn down and is currently outstanding. Borrowings under the Perceptive Credit Facility bear interest at a rate per annum equal to 7.5% plus the greater of (i) one-month LIBOR and (ii) 3.5%; provided, however, that upon, and during the continuance of, an Event of Default, the interest rate will automatically increase by an additional 400 basis points. We are required to make monthly payments of interest during the term of the Perceptive Credit Facility of approximately $0.9 million, with all principal and unpaid interest due at maturity. The Perceptive Credit Facility has a maturity date of March 1, 2024, subject to acceleration pursuant to the Perceptive Credit Agreement, including upon an Event of Default. All of our obligations under the Perceptive Credit Facility are secured by a first-priority lien and security interest in substantially all of our and our subsidiaries’ tangible and intangible assets, including intellectual property, and all of the equity interests in our subsidiaries.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including as a result of the impact of the COVID-19 pandemic, our creditors would be able to accelerate all of the amounts due and, in the case of the Perceptive Credit Facility, seek to enforce their security interests, which could lead to our creditors taking immediate possession of and selling substantially all of our assets with no return provided to our stockholders.</w:t>
      </w:r>
    </w:p>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cash and cash equivalents could be adversely affected if the financial institutions in which we hold our cash and cash equivalents fail.</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2"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have incurred substantial losses during our history. As of December 31, 2020, we had federal and state NOLs of $239.8 million and $172.6 million, respectively. Federal and State NOLs of approximately $115.8 million and $90.0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uncertainties in the equity markets related to the effects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overall market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August 6, 2021, most of our 132,769,471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As of June 30, 2021, Perceptive, our directors and executive officers and their affiliates beneficially owned approximately 18%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7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Board also recently adopted a short-term stockholder rights agreement with an expiration date of December 15, 2021 and an ownership trigger threshold of 10%. This stockholder rights agreement could render more difficult or discourage a merger, tender offer or assumption of control of the Company that is not approved by our Board. The rights agreement, however, should not interfere with any merger, tender or exchange offer or other business combination approved by our Board. In addition, the rights agreement does not prevent our Board from considering any offer that it considers to be in the best interest of the Company’s stockholders.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Perceptive Credit Agreement prohibits us from paying dividends. As a result, capital appreciation, if any, of our common stock will be your sole source of gain for the foreseeable future.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June 30, 2021, there were 151,054,617 shares remaining available for issuance, after giving effect to 12,997,322 shares of our common stock that were subject to outstanding stock options, Restricted Stock Units and warrants as of June 30, 2021 that may be issued by us without stockholder approval, as well as an additional 4,076,035 shares reserved for the future issuance of awards under our equity compensation plans.</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On August 6, 2021, the Company entered into a Separation Agreement and Release (the “Separation Agreement”) with James Mond (“Mond”), following his voluntary resignation on June 8, 2021 (the “Separation Date”) from his former role as Chief Medical Officer and Chief Scientific Officer of the Company, as previously reported in the Company’s Current Report on Form 8-K filed with the SEC on June 14, 2021. Subject to the expiration of a revocation period, the Separation Agreement will become effective on August 12, 2021 (the “Effective Date”).</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Under the terms of the Separation Agreement, Mond will receive approximately $0.8 million in certain separation benefits, subject to his continued compliance with the terms of the Separation Agreement, including: (i) salary continuation for a period of ten months beginning on August 1, 2021 through May 1, 2022 (the “Severance Period”); (ii) certain cash payments subject to customary and ordinary tax withholdings, as payments for bonus, the forfeiture of restricted stock units, reimbursement of certain expenses; (iii) an extension providing that, subject to the terms and conditions of the applicable plan or award agreement, Mond has twenty-four (24) months to exercise vested options from the Effective Date; (iv) at his election, the Company will reimburse Mond the same employer premium percentage contribution in effect on the Separation Date for continued health coverage under the Consolidated Omnibus Budget Reconciliation Act (COBRA) through the Severance Period; and (v) payment for accrued and unused paid time off.</w:t>
      </w:r>
    </w:p>
    <w:p>
      <w:pPr>
        <w:spacing w:after="0" w:line="166"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Pursuant to the Separation Agreement, Mond has agreed to cooperate with the Company during the Severance Period to assist with transition matters and among other items, has released all prior, existing or future claims he had, has or may have against the Company and has agreed to certain customary confidentiality, non-disparagement, work-product assignment, non-compete and non-solicitation provisions.</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foregoing description of the Separation Agreement does not purport to be complete and is qualified in its entirety by reference to the full text of the Separation Agreement, which is filed herewith as Exhibit 10.2.</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ectPr>
          <w:pgSz w:w="11900" w:h="16838" w:orient="portrait"/>
          <w:cols w:equalWidth="0" w:num="1">
            <w:col w:w="11220"/>
          </w:cols>
          <w:pgMar w:left="320" w:top="122" w:right="35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0" w:gutter="0" w:footer="0" w:header="0"/>
          <w:type w:val="continuous"/>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spacing w:after="0"/>
        <w:tabs>
          <w:tab w:leader="none" w:pos="8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11, 2021</w:t>
      </w:r>
      <w:r>
        <w:rPr>
          <w:sz w:val="20"/>
          <w:szCs w:val="20"/>
          <w:color w:val="auto"/>
        </w:rPr>
        <w:tab/>
      </w:r>
      <w:r>
        <w:rPr>
          <w:rFonts w:ascii="Arial" w:cs="Arial" w:eastAsia="Arial" w:hAnsi="Arial"/>
          <w:sz w:val="16"/>
          <w:szCs w:val="16"/>
          <w:color w:val="auto"/>
        </w:rPr>
        <w:t>By: /s/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Adam S. Grossman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tabs>
          <w:tab w:leader="none" w:pos="8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11, 2021</w:t>
      </w:r>
      <w:r>
        <w:rPr>
          <w:sz w:val="20"/>
          <w:szCs w:val="20"/>
          <w:color w:val="auto"/>
        </w:rPr>
        <w:tab/>
      </w:r>
      <w:r>
        <w:rPr>
          <w:rFonts w:ascii="Arial" w:cs="Arial" w:eastAsia="Arial" w:hAnsi="Arial"/>
          <w:sz w:val="17"/>
          <w:szCs w:val="17"/>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2" w:right="6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1360" w:type="dxa"/>
            <w:vAlign w:val="bottom"/>
            <w:gridSpan w:val="6"/>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40" w:type="dxa"/>
            <w:vAlign w:val="bottom"/>
          </w:tcPr>
          <w:p>
            <w:pPr>
              <w:spacing w:after="0"/>
              <w:rPr>
                <w:sz w:val="14"/>
                <w:szCs w:val="14"/>
                <w:color w:val="auto"/>
              </w:rPr>
            </w:pPr>
          </w:p>
        </w:tc>
      </w:tr>
      <w:tr>
        <w:trPr>
          <w:trHeight w:val="385"/>
        </w:trPr>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4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360" w:type="dxa"/>
            <w:vAlign w:val="bottom"/>
            <w:gridSpan w:val="6"/>
          </w:tcPr>
          <w:p>
            <w:pPr>
              <w:spacing w:after="0"/>
              <w:rPr>
                <w:sz w:val="20"/>
                <w:szCs w:val="20"/>
                <w:color w:val="auto"/>
              </w:rPr>
            </w:pPr>
            <w:r>
              <w:rPr>
                <w:rFonts w:ascii="Arial" w:cs="Arial" w:eastAsia="Arial" w:hAnsi="Arial"/>
                <w:sz w:val="18"/>
                <w:szCs w:val="18"/>
                <w:color w:val="auto"/>
              </w:rPr>
              <w:t>Exhibit Number</w:t>
            </w:r>
          </w:p>
        </w:tc>
        <w:tc>
          <w:tcPr>
            <w:tcW w:w="988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37"/>
        </w:trPr>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40" w:type="dxa"/>
            <w:vAlign w:val="bottom"/>
          </w:tcPr>
          <w:p>
            <w:pPr>
              <w:spacing w:after="0"/>
              <w:rPr>
                <w:sz w:val="20"/>
                <w:szCs w:val="20"/>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84">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Certificate of Amendment of the Second Amended and Restated Certificate of Incorporation of ADMA Biologics, Inc., dated as of May</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2"/>
              </w:rPr>
              <w:t>27, 2021 (incorporated by reference to Exhibit 3.1 of the Company’s Current Report on Form 8-K filed with the SEC on May 28, 2021).</w:t>
            </w:r>
          </w:p>
        </w:tc>
      </w:tr>
      <w:tr>
        <w:trPr>
          <w:trHeight w:val="176"/>
        </w:trPr>
        <w:tc>
          <w:tcPr>
            <w:tcW w:w="320" w:type="dxa"/>
            <w:vAlign w:val="bottom"/>
            <w:tcBorders>
              <w:bottom w:val="single" w:sz="8" w:color="0000EE"/>
            </w:tcBorders>
            <w:gridSpan w:val="2"/>
          </w:tcPr>
          <w:p>
            <w:pPr>
              <w:spacing w:after="0" w:line="176" w:lineRule="exact"/>
              <w:rPr>
                <w:rFonts w:ascii="Arial" w:cs="Arial" w:eastAsia="Arial" w:hAnsi="Arial"/>
                <w:sz w:val="18"/>
                <w:szCs w:val="18"/>
                <w:color w:val="0000EE"/>
                <w:w w:val="85"/>
              </w:rPr>
            </w:pPr>
            <w:hyperlink r:id="rId8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80" w:type="dxa"/>
            <w:vAlign w:val="bottom"/>
            <w:gridSpan w:val="3"/>
          </w:tcPr>
          <w:p>
            <w:pPr>
              <w:spacing w:after="0" w:line="176" w:lineRule="exact"/>
              <w:rPr>
                <w:sz w:val="20"/>
                <w:szCs w:val="20"/>
                <w:color w:val="auto"/>
              </w:rPr>
            </w:pPr>
            <w:r>
              <w:rPr>
                <w:rFonts w:ascii="Arial" w:cs="Arial" w:eastAsia="Arial" w:hAnsi="Arial"/>
                <w:sz w:val="13"/>
                <w:szCs w:val="13"/>
                <w:color w:val="auto"/>
              </w:rPr>
              <w:t>Open Market Sale Agreement</w:t>
            </w:r>
            <w:r>
              <w:rPr>
                <w:rFonts w:ascii="Arial" w:cs="Arial" w:eastAsia="Arial" w:hAnsi="Arial"/>
                <w:sz w:val="20"/>
                <w:szCs w:val="20"/>
                <w:color w:val="auto"/>
                <w:vertAlign w:val="superscript"/>
              </w:rPr>
              <w:t>SM</w:t>
            </w:r>
            <w:r>
              <w:rPr>
                <w:rFonts w:ascii="Arial" w:cs="Arial" w:eastAsia="Arial" w:hAnsi="Arial"/>
                <w:sz w:val="13"/>
                <w:szCs w:val="13"/>
                <w:color w:val="auto"/>
              </w:rPr>
              <w:t>, dated May 28, 2021, by and between ADMA Biologics, Inc. and Jefferies LLC (incorporated by</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reference to Exhibit 1.1 of the Company’s Current Report on Form 8-K filed with the SEC on May 28, 2021).</w:t>
            </w: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Separation Agreement and Release, dated August 6, 2021, by and between ADMA Biologics, Inc. and James Mond.</w:t>
            </w:r>
          </w:p>
        </w:tc>
      </w:tr>
      <w:tr>
        <w:trPr>
          <w:trHeight w:val="175"/>
        </w:trPr>
        <w:tc>
          <w:tcPr>
            <w:tcW w:w="500" w:type="dxa"/>
            <w:vAlign w:val="bottom"/>
            <w:gridSpan w:val="4"/>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80" w:type="dxa"/>
            <w:vAlign w:val="bottom"/>
            <w:gridSpan w:val="3"/>
          </w:tcPr>
          <w:p>
            <w:pPr>
              <w:spacing w:after="0" w:line="176" w:lineRule="exact"/>
              <w:rPr>
                <w:sz w:val="20"/>
                <w:szCs w:val="20"/>
                <w:color w:val="auto"/>
              </w:rPr>
            </w:pPr>
            <w:r>
              <w:rPr>
                <w:rFonts w:ascii="Arial" w:cs="Arial" w:eastAsia="Arial" w:hAnsi="Arial"/>
                <w:sz w:val="18"/>
                <w:szCs w:val="18"/>
                <w:color w:val="auto"/>
                <w:w w:val="96"/>
              </w:rPr>
              <w:t>Certification of Principal Executive Officer pursuant to Rules 13a-14(a) and 15d-14(a), as adopted pursuant to Section 302 of the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Sarbanes-Oxley Act of 2002.</w:t>
            </w:r>
          </w:p>
        </w:tc>
      </w:tr>
      <w:tr>
        <w:trPr>
          <w:trHeight w:val="176"/>
        </w:trPr>
        <w:tc>
          <w:tcPr>
            <w:tcW w:w="500" w:type="dxa"/>
            <w:vAlign w:val="bottom"/>
            <w:gridSpan w:val="4"/>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7"/>
              </w:rPr>
              <w:t>Certification of Principal Financial Officer pursuant to Rules 13a-14(a) and 15d-14(a), as adopted pursuant to Section 302 of the</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Sarbanes-Oxley Act of 2002.</w:t>
            </w:r>
          </w:p>
        </w:tc>
      </w:tr>
      <w:tr>
        <w:trPr>
          <w:trHeight w:val="176"/>
        </w:trPr>
        <w:tc>
          <w:tcPr>
            <w:tcW w:w="1180" w:type="dxa"/>
            <w:vAlign w:val="bottom"/>
            <w:gridSpan w:val="5"/>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80" w:type="dxa"/>
            <w:vAlign w:val="bottom"/>
          </w:tcPr>
          <w:p>
            <w:pPr>
              <w:spacing w:after="0"/>
              <w:rPr>
                <w:sz w:val="15"/>
                <w:szCs w:val="15"/>
                <w:color w:val="auto"/>
              </w:rPr>
            </w:pPr>
          </w:p>
        </w:tc>
        <w:tc>
          <w:tcPr>
            <w:tcW w:w="9880" w:type="dxa"/>
            <w:vAlign w:val="bottom"/>
            <w:gridSpan w:val="3"/>
          </w:tcPr>
          <w:p>
            <w:pPr>
              <w:spacing w:after="0" w:line="176" w:lineRule="exact"/>
              <w:rPr>
                <w:sz w:val="20"/>
                <w:szCs w:val="20"/>
                <w:color w:val="auto"/>
              </w:rPr>
            </w:pPr>
            <w:r>
              <w:rPr>
                <w:rFonts w:ascii="Arial" w:cs="Arial" w:eastAsia="Arial" w:hAnsi="Arial"/>
                <w:sz w:val="18"/>
                <w:szCs w:val="18"/>
                <w:color w:val="auto"/>
                <w:w w:val="94"/>
              </w:rPr>
              <w:t>Certification of Principal Executive Officer pursuant to 18 U.S.C Section 1350, as adopted pursuant to Section 906 of the Sarbanes-</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Oxley Act of 2002.</w:t>
            </w:r>
          </w:p>
        </w:tc>
      </w:tr>
      <w:tr>
        <w:trPr>
          <w:trHeight w:val="175"/>
        </w:trPr>
        <w:tc>
          <w:tcPr>
            <w:tcW w:w="1180" w:type="dxa"/>
            <w:vAlign w:val="bottom"/>
            <w:gridSpan w:val="5"/>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80" w:type="dxa"/>
            <w:vAlign w:val="bottom"/>
            <w:shd w:val="clear" w:color="auto" w:fill="CCEEFF"/>
          </w:tcPr>
          <w:p>
            <w:pPr>
              <w:spacing w:after="0"/>
              <w:rPr>
                <w:sz w:val="15"/>
                <w:szCs w:val="15"/>
                <w:color w:val="auto"/>
              </w:rPr>
            </w:pPr>
          </w:p>
        </w:tc>
        <w:tc>
          <w:tcPr>
            <w:tcW w:w="98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0"/>
              </w:rPr>
              <w:t>Certification of Principal Financial Officer pursuant to 18 U.S.C Section 1350, as adopted pursuant to Section 906 of the Sarbanes-Oxley</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Act of 2002.</w:t>
            </w:r>
          </w:p>
        </w:tc>
      </w:tr>
      <w:tr>
        <w:trPr>
          <w:trHeight w:val="202"/>
        </w:trPr>
        <w:tc>
          <w:tcPr>
            <w:tcW w:w="420" w:type="dxa"/>
            <w:vAlign w:val="bottom"/>
            <w:gridSpan w:val="3"/>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80" w:type="dxa"/>
            <w:vAlign w:val="bottom"/>
            <w:gridSpan w:val="3"/>
          </w:tcPr>
          <w:p>
            <w:pPr>
              <w:spacing w:after="0" w:line="201" w:lineRule="exact"/>
              <w:rPr>
                <w:sz w:val="20"/>
                <w:szCs w:val="20"/>
                <w:color w:val="auto"/>
              </w:rPr>
            </w:pPr>
            <w:r>
              <w:rPr>
                <w:rFonts w:ascii="Arial" w:cs="Arial" w:eastAsia="Arial" w:hAnsi="Arial"/>
                <w:sz w:val="18"/>
                <w:szCs w:val="18"/>
                <w:color w:val="auto"/>
                <w:w w:val="92"/>
              </w:rPr>
              <w:t>The following materials from ADMA Biologics, Inc.’s Form 10-Q for the quarter ended June 30, 2021, formatted in Extensible Business</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w w:val="91"/>
              </w:rPr>
              <w:t>Reporting Language (XBRL): (i) Condensed Consolidated Balance Sheets as of June 30, 2021 (Unaudited) and December 31, 2020, (ii)</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w w:val="96"/>
              </w:rPr>
              <w:t>Condensed Consolidated Statements of Operations (Unaudited) for the three and six months ended June 30, 2021 and 2020, (iii)</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w w:val="90"/>
              </w:rPr>
              <w:t>Condensed Consolidated Statements of Changes in Stockholders’ Equity (Unaudited) for the three and six months ended June 30,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w w:val="89"/>
              </w:rPr>
              <w:t>and 2020, (iv) Condensed Consolidated Statements of Cash Flows (Unaudited) for the six months ended June 30, 2021 and 2020, and (v)</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Notes to (Unaudited) Condensed Consolidated Financial Statements.</w:t>
            </w:r>
          </w:p>
        </w:tc>
      </w:tr>
      <w:tr>
        <w:trPr>
          <w:trHeight w:val="216"/>
        </w:trPr>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23"/>
        </w:trPr>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40" w:type="dxa"/>
            <w:vAlign w:val="bottom"/>
          </w:tcPr>
          <w:p>
            <w:pPr>
              <w:spacing w:after="0"/>
              <w:rPr>
                <w:sz w:val="19"/>
                <w:szCs w:val="19"/>
                <w:color w:val="auto"/>
              </w:rPr>
            </w:pPr>
          </w:p>
        </w:tc>
      </w:tr>
    </w:tbl>
    <w:p>
      <w:pPr>
        <w:spacing w:after="0" w:line="20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accordance with SEC Release 33-8238, Exhibit 32.1 and 32.2 are being furnished and not filed.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ind w:left="10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 AND RELEASE</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SEPARATION AGREEMENT AND RELEASE (the “Agreement”) is made and entered into by and between Dr. James Mond (hereafter “Employee”) and ADMA Biologics, Inc. on behalf of itself and each of its subsidiaries, affiliates, divisions, predecessors, successors, and assigns (hereinafter referred to collectively as the “Company” or “ADMA Biologics”).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terms and conditions set forth herein and in consideration of the premises and mutual promises contained herein, it is agreed by and between Employee and the Company as follows:</w:t>
      </w:r>
    </w:p>
    <w:p>
      <w:pPr>
        <w:spacing w:after="0" w:line="220" w:lineRule="exact"/>
        <w:rPr>
          <w:sz w:val="20"/>
          <w:szCs w:val="20"/>
          <w:color w:val="auto"/>
        </w:rPr>
      </w:pPr>
    </w:p>
    <w:p>
      <w:pPr>
        <w:jc w:val="both"/>
        <w:ind w:firstLine="656"/>
        <w:spacing w:after="0" w:line="261" w:lineRule="auto"/>
        <w:tabs>
          <w:tab w:leader="none" w:pos="1458"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Separation Date</w:t>
      </w:r>
      <w:r>
        <w:rPr>
          <w:rFonts w:ascii="Arial" w:cs="Arial" w:eastAsia="Arial" w:hAnsi="Arial"/>
          <w:sz w:val="18"/>
          <w:szCs w:val="18"/>
          <w:color w:val="auto"/>
        </w:rPr>
        <w:t>: Employee’s last date of employment with ADMA Biologics was June 8, 2021 (the “Separation Date”).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agrees and represents that from and after the Separation Date, Employee will not be, nor will Employee hold himself out as, an employee, consultant, affiliate or agent of ADMA Biologics. While not an employee of ADMA Biologics after the Separation Date, Employee agrees to abide by the confidentiality and other obligations of this Agreement as set forth herein.</w:t>
      </w:r>
    </w:p>
    <w:p>
      <w:pPr>
        <w:spacing w:after="0" w:line="233" w:lineRule="exact"/>
        <w:rPr>
          <w:rFonts w:ascii="Arial" w:cs="Arial" w:eastAsia="Arial" w:hAnsi="Arial"/>
          <w:sz w:val="18"/>
          <w:szCs w:val="18"/>
          <w:b w:val="1"/>
          <w:bCs w:val="1"/>
          <w:color w:val="auto"/>
        </w:rPr>
      </w:pPr>
    </w:p>
    <w:p>
      <w:pPr>
        <w:jc w:val="both"/>
        <w:ind w:firstLine="656"/>
        <w:spacing w:after="0" w:line="266" w:lineRule="auto"/>
        <w:tabs>
          <w:tab w:leader="none" w:pos="132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Separation Benefits</w:t>
      </w:r>
      <w:r>
        <w:rPr>
          <w:rFonts w:ascii="Arial" w:cs="Arial" w:eastAsia="Arial" w:hAnsi="Arial"/>
          <w:sz w:val="18"/>
          <w:szCs w:val="18"/>
          <w:color w:val="auto"/>
        </w:rPr>
        <w:t>: In consideration of the releases and covenants given by Employee as set forth in this Agreement and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therewith, and provided that Employee signs and does not revoke this Agreement and further complies with its terms and conditions, ADMA Biologics agrees as follows:</w:t>
      </w:r>
    </w:p>
    <w:p>
      <w:pPr>
        <w:spacing w:after="0" w:line="230" w:lineRule="exact"/>
        <w:rPr>
          <w:sz w:val="20"/>
          <w:szCs w:val="20"/>
          <w:color w:val="auto"/>
        </w:rPr>
      </w:pPr>
    </w:p>
    <w:p>
      <w:pPr>
        <w:jc w:val="both"/>
        <w:ind w:firstLine="656"/>
        <w:spacing w:after="0" w:line="258" w:lineRule="auto"/>
        <w:tabs>
          <w:tab w:leader="none" w:pos="1307"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Salary Continuation</w:t>
      </w:r>
      <w:r>
        <w:rPr>
          <w:rFonts w:ascii="Arial" w:cs="Arial" w:eastAsia="Arial" w:hAnsi="Arial"/>
          <w:sz w:val="18"/>
          <w:szCs w:val="18"/>
          <w:color w:val="auto"/>
        </w:rPr>
        <w:t>: For a period of ten (10) months beginning on August 1, 2021 through May 1, 2022 (the “Severance Period”),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pay Employee on a monthly basis the equivalent of his monthly base salary subject to the tax withholdings used prior to the Separation Date (the “Severance Payments”) paid on the regularly scheduled payroll dates. The first Severance Payment will be made on the next regularly scheduled payroll date following the Effective Date of this Agreement. Severance Payments are contingent on Employee’s continued compliance with the terms of this Agreement including, but not limited to, cooperation pursuant to Section 8 below.</w:t>
      </w:r>
    </w:p>
    <w:p>
      <w:pPr>
        <w:spacing w:after="0" w:line="237" w:lineRule="exact"/>
        <w:rPr>
          <w:rFonts w:ascii="Arial" w:cs="Arial" w:eastAsia="Arial" w:hAnsi="Arial"/>
          <w:sz w:val="18"/>
          <w:szCs w:val="18"/>
          <w:color w:val="auto"/>
        </w:rPr>
      </w:pPr>
    </w:p>
    <w:p>
      <w:pPr>
        <w:jc w:val="both"/>
        <w:ind w:firstLine="656"/>
        <w:spacing w:after="0" w:line="266" w:lineRule="auto"/>
        <w:tabs>
          <w:tab w:leader="none" w:pos="1546"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Bonus Payment</w:t>
      </w:r>
      <w:r>
        <w:rPr>
          <w:rFonts w:ascii="Arial" w:cs="Arial" w:eastAsia="Arial" w:hAnsi="Arial"/>
          <w:sz w:val="18"/>
          <w:szCs w:val="18"/>
          <w:color w:val="auto"/>
        </w:rPr>
        <w:t>: The Company will pay employee the total gross sum of $140,000.00, subject to the customary and ordinary tax</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withholdings, payable as follows: (1) $70,000.00 paid within 30 days of the Effective Date; and (2) $70,000.00 paid at the expiration of the Severance Period.</w:t>
      </w:r>
    </w:p>
    <w:p>
      <w:pPr>
        <w:spacing w:after="0" w:line="229" w:lineRule="exact"/>
        <w:rPr>
          <w:rFonts w:ascii="Arial" w:cs="Arial" w:eastAsia="Arial" w:hAnsi="Arial"/>
          <w:sz w:val="18"/>
          <w:szCs w:val="18"/>
          <w:color w:val="auto"/>
        </w:rPr>
      </w:pPr>
    </w:p>
    <w:p>
      <w:pPr>
        <w:jc w:val="both"/>
        <w:ind w:firstLine="656"/>
        <w:spacing w:after="0" w:line="266" w:lineRule="auto"/>
        <w:tabs>
          <w:tab w:leader="none" w:pos="159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 Payment</w:t>
      </w:r>
      <w:r>
        <w:rPr>
          <w:rFonts w:ascii="Arial" w:cs="Arial" w:eastAsia="Arial" w:hAnsi="Arial"/>
          <w:sz w:val="18"/>
          <w:szCs w:val="18"/>
          <w:color w:val="auto"/>
        </w:rPr>
        <w:t>: Employee forfeits all unvested restricted stock units and in lieu thereof the Company shall pay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the total gross sum of $175,000.00 subject to the customary and ordinary tax withholdings, payable as follows: (1) 87,500.00 paid within 30 days of the Effective Date; and (2) $87,500.00 paid at the expiration of the Severance Period.</w:t>
      </w:r>
    </w:p>
    <w:p>
      <w:pPr>
        <w:spacing w:after="0" w:line="229" w:lineRule="exact"/>
        <w:rPr>
          <w:rFonts w:ascii="Arial" w:cs="Arial" w:eastAsia="Arial" w:hAnsi="Arial"/>
          <w:sz w:val="18"/>
          <w:szCs w:val="18"/>
          <w:color w:val="auto"/>
        </w:rPr>
      </w:pPr>
    </w:p>
    <w:p>
      <w:pPr>
        <w:ind w:right="20" w:firstLine="656"/>
        <w:spacing w:after="0" w:line="282" w:lineRule="auto"/>
        <w:tabs>
          <w:tab w:leader="none" w:pos="1303"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Extension</w:t>
      </w:r>
      <w:r>
        <w:rPr>
          <w:rFonts w:ascii="Arial" w:cs="Arial" w:eastAsia="Arial" w:hAnsi="Arial"/>
          <w:sz w:val="18"/>
          <w:szCs w:val="18"/>
          <w:color w:val="auto"/>
        </w:rPr>
        <w:t>: Employee shall have twenty-four (24) months to exercise any stock option vested as of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options remain otherwise subject to the terms and conditions of any plan document and/or grant agreement.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5" w:name="page76"/>
    <w:bookmarkEnd w:id="75"/>
    <w:p>
      <w:pPr>
        <w:jc w:val="both"/>
        <w:ind w:firstLine="656"/>
        <w:spacing w:after="0" w:line="261" w:lineRule="auto"/>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Repricing Participation</w:t>
      </w:r>
      <w:r>
        <w:rPr>
          <w:rFonts w:ascii="Arial" w:cs="Arial" w:eastAsia="Arial" w:hAnsi="Arial"/>
          <w:sz w:val="18"/>
          <w:szCs w:val="18"/>
          <w:color w:val="auto"/>
        </w:rPr>
        <w:t>: In the event the Company’s Board of Directors approves a stock option exchange program or other repricing</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 then Employee’s vested stock options shall be, subject to the terms and conditions of the Company’s equity incentive plan, able to participate in any such program or repricing that occurs during the Severance Period. The options are otherwise subject to the terms and conditions of any plan document and/or grant agreement.</w:t>
      </w:r>
    </w:p>
    <w:p>
      <w:pPr>
        <w:spacing w:after="0" w:line="233" w:lineRule="exact"/>
        <w:rPr>
          <w:rFonts w:ascii="Arial" w:cs="Arial" w:eastAsia="Arial" w:hAnsi="Arial"/>
          <w:sz w:val="18"/>
          <w:szCs w:val="18"/>
          <w:color w:val="auto"/>
        </w:rPr>
      </w:pPr>
    </w:p>
    <w:p>
      <w:pPr>
        <w:ind w:right="20" w:firstLine="656"/>
        <w:spacing w:after="0" w:line="282" w:lineRule="auto"/>
        <w:tabs>
          <w:tab w:leader="none" w:pos="157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 Reimbursement</w:t>
      </w:r>
      <w:r>
        <w:rPr>
          <w:rFonts w:ascii="Arial" w:cs="Arial" w:eastAsia="Arial" w:hAnsi="Arial"/>
          <w:sz w:val="18"/>
          <w:szCs w:val="18"/>
          <w:color w:val="auto"/>
        </w:rPr>
        <w:t>: The Company agrees to reimburse Employee’s relocation expenses in the total gross sum $30,000.00,</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customary and ordinary tax withholdings, paid within 30 days of the Effective Date.</w:t>
      </w:r>
    </w:p>
    <w:p>
      <w:pPr>
        <w:spacing w:after="0" w:line="215" w:lineRule="exact"/>
        <w:rPr>
          <w:rFonts w:ascii="Arial" w:cs="Arial" w:eastAsia="Arial" w:hAnsi="Arial"/>
          <w:sz w:val="18"/>
          <w:szCs w:val="18"/>
          <w:color w:val="auto"/>
        </w:rPr>
      </w:pPr>
    </w:p>
    <w:p>
      <w:pPr>
        <w:jc w:val="both"/>
        <w:ind w:firstLine="656"/>
        <w:spacing w:after="0" w:line="258" w:lineRule="auto"/>
        <w:tabs>
          <w:tab w:leader="none" w:pos="133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The Company will pay Employee’s legal fees and costs incurred in negotiating this Agreement in the total gross sum</w:t>
      </w:r>
      <w:r>
        <w:rPr>
          <w:rFonts w:ascii="Arial" w:cs="Arial" w:eastAsia="Arial" w:hAnsi="Arial"/>
          <w:sz w:val="18"/>
          <w:szCs w:val="18"/>
          <w:b w:val="1"/>
          <w:bCs w:val="1"/>
          <w:color w:val="auto"/>
        </w:rPr>
        <w:t xml:space="preserve"> </w:t>
      </w:r>
      <w:r>
        <w:rPr>
          <w:rFonts w:ascii="Arial" w:cs="Arial" w:eastAsia="Arial" w:hAnsi="Arial"/>
          <w:sz w:val="18"/>
          <w:szCs w:val="18"/>
          <w:color w:val="auto"/>
        </w:rPr>
        <w:t>of $15,000.00, payable within 30 days of the Effective Date of this Agreement by a check made payable to Neuberger Quinn Gielen Rubin Gibber P.A., One South Street, 27th Floor, Baltimore, MD 21202. This payment will be reported as “miscellaneous” income on Forms 1099 to be issued to Employee and Neuberger Quinn Gielen Rubin Gibber P.A. Employee’s counsel will provide the Company with fully executed W-9s for Neuberger Quinn Gielen Rubin Gibber P.A and Employee.</w:t>
      </w:r>
    </w:p>
    <w:p>
      <w:pPr>
        <w:spacing w:after="0" w:line="237" w:lineRule="exact"/>
        <w:rPr>
          <w:rFonts w:ascii="Arial" w:cs="Arial" w:eastAsia="Arial" w:hAnsi="Arial"/>
          <w:sz w:val="18"/>
          <w:szCs w:val="18"/>
          <w:color w:val="auto"/>
        </w:rPr>
      </w:pPr>
    </w:p>
    <w:p>
      <w:pPr>
        <w:jc w:val="both"/>
        <w:ind w:firstLine="656"/>
        <w:spacing w:after="0" w:line="272" w:lineRule="auto"/>
        <w:tabs>
          <w:tab w:leader="none" w:pos="1330" w:val="left"/>
        </w:tabs>
        <w:numPr>
          <w:ilvl w:val="0"/>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COBRA</w:t>
      </w:r>
      <w:r>
        <w:rPr>
          <w:rFonts w:ascii="Arial" w:cs="Arial" w:eastAsia="Arial" w:hAnsi="Arial"/>
          <w:sz w:val="17"/>
          <w:szCs w:val="17"/>
          <w:color w:val="auto"/>
        </w:rPr>
        <w:t>: If Employee timely elects continued health coverage under the Consolidated Omnibus Budget Reconciliation Act (COBRA),</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agrees to reimburse Employee the same employer premium percentage contribution in effect on the Separation Date through the Severance Period, provided Employee remains eligible for COBRA benefits and does not qualify for health coverage under another employer during this period. Accordingly, Employee agrees to notify Company as soon as possible after Employee becomes eligible for health insurance coverage under another employer or ceases to be eligible for COBRA benefits. Notwithstanding the foregoing, if the payments made by the Company under this Section 2(h) would violate the nondiscrimination rules or result in the imposition of penalties under the Patient Protection and Affordable Care Act of 2010 and related regulations and guidance, the parties agree to reform this Section 2(h) as necessary to ensure compliance. Payment(s) under this Section will be made within fourteen (14) days of submission by Employee of proof of payment.</w:t>
      </w:r>
    </w:p>
    <w:p>
      <w:pPr>
        <w:spacing w:after="0" w:line="229" w:lineRule="exact"/>
        <w:rPr>
          <w:rFonts w:ascii="Arial" w:cs="Arial" w:eastAsia="Arial" w:hAnsi="Arial"/>
          <w:sz w:val="17"/>
          <w:szCs w:val="17"/>
          <w:color w:val="auto"/>
        </w:rPr>
      </w:pPr>
    </w:p>
    <w:p>
      <w:pPr>
        <w:jc w:val="both"/>
        <w:ind w:firstLine="656"/>
        <w:spacing w:after="0" w:line="289" w:lineRule="auto"/>
        <w:tabs>
          <w:tab w:leader="none" w:pos="13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Employee acknowledges that Employee would not be entitled to receive the consideration set forth in this Section 2 absent execution of this Agreement and agrees that the amount of the consideration set forth herein is greater than any amount Employee is otherwise entitled to receive from ADMA Biologics, Inc. and/or the Releasees (as that term is defined below) under any law, contract, policy, promise, expectation, or otherwise, either as compensation, wages, commissions, incentives, accrued but unused vacation or paid time off, severance, benefits, reimbursements, damages, or otherwise. In the event the Internal Revenue Service, or any other state or local taxing entity, or any court or other tribunal of competent jurisdiction, determines that all or part of these payments are remuneration for which any taxes are due and owing by the Company, except the Company’s employer share/contribution, Employee shall be solely responsible for the payment of such taxes. Employee agrees not to make a claim against the Company for the payment of any such taxes, or for any related interest or penalties. Employee also agrees to indemnify the Company for any amounts paid, including, but not limited to, interest and penalties, in connection with any taxes that Employee may owe based on these payments.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6" w:name="page77"/>
    <w:bookmarkEnd w:id="76"/>
    <w:p>
      <w:pPr>
        <w:jc w:val="both"/>
        <w:ind w:firstLine="656"/>
        <w:spacing w:after="0" w:line="266" w:lineRule="auto"/>
        <w:tabs>
          <w:tab w:leader="none" w:pos="155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Expense Reimbursement</w:t>
      </w:r>
      <w:r>
        <w:rPr>
          <w:rFonts w:ascii="Arial" w:cs="Arial" w:eastAsia="Arial" w:hAnsi="Arial"/>
          <w:sz w:val="18"/>
          <w:szCs w:val="18"/>
          <w:color w:val="auto"/>
        </w:rPr>
        <w:t>: The Company will reimburse Employee for all approved and documented business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prior to the Separation Date, provided that Employee submits to the Company prior to the Effective Date, an expense report with adequate documentation of such expenses in accordance with the Company’s policies.</w:t>
      </w:r>
    </w:p>
    <w:p>
      <w:pPr>
        <w:spacing w:after="0" w:line="229" w:lineRule="exact"/>
        <w:rPr>
          <w:rFonts w:ascii="Arial" w:cs="Arial" w:eastAsia="Arial" w:hAnsi="Arial"/>
          <w:sz w:val="18"/>
          <w:szCs w:val="18"/>
          <w:b w:val="1"/>
          <w:bCs w:val="1"/>
          <w:color w:val="auto"/>
        </w:rPr>
      </w:pPr>
    </w:p>
    <w:p>
      <w:pPr>
        <w:jc w:val="both"/>
        <w:ind w:firstLine="656"/>
        <w:spacing w:after="0" w:line="258" w:lineRule="auto"/>
        <w:tabs>
          <w:tab w:leader="none" w:pos="1417"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Rights and Benefits</w:t>
      </w:r>
      <w:r>
        <w:rPr>
          <w:rFonts w:ascii="Arial" w:cs="Arial" w:eastAsia="Arial" w:hAnsi="Arial"/>
          <w:sz w:val="18"/>
          <w:szCs w:val="18"/>
          <w:color w:val="auto"/>
        </w:rPr>
        <w:t>: As of the Separation Date, Employee’s (i) accrual of paid time off, (ii) participation in any and all health,</w:t>
      </w:r>
      <w:r>
        <w:rPr>
          <w:rFonts w:ascii="Arial" w:cs="Arial" w:eastAsia="Arial" w:hAnsi="Arial"/>
          <w:sz w:val="18"/>
          <w:szCs w:val="18"/>
          <w:b w:val="1"/>
          <w:bCs w:val="1"/>
          <w:color w:val="auto"/>
        </w:rPr>
        <w:t xml:space="preserve"> </w:t>
      </w:r>
      <w:r>
        <w:rPr>
          <w:rFonts w:ascii="Arial" w:cs="Arial" w:eastAsia="Arial" w:hAnsi="Arial"/>
          <w:sz w:val="18"/>
          <w:szCs w:val="18"/>
          <w:color w:val="auto"/>
        </w:rPr>
        <w:t>dental and prescription plans, and (iii) participation in any and all Life, AD&amp;D, long term disability, and 401(k) retirement savings plans will terminate. Employee’s execution of this Agreement shall not diminish any benefits vested pursuant to the terms of any Employee Retirement Income Security Act of 1974 (ERISA) employee pension or 401(k) benefit plan, which benefits shall continue to be subject to the terms of applicable plan documents. The Company shall pay Employee for 33.75 hours of vacation/PTO.</w:t>
      </w:r>
    </w:p>
    <w:p>
      <w:pPr>
        <w:spacing w:after="0" w:line="237" w:lineRule="exact"/>
        <w:rPr>
          <w:rFonts w:ascii="Arial" w:cs="Arial" w:eastAsia="Arial" w:hAnsi="Arial"/>
          <w:sz w:val="18"/>
          <w:szCs w:val="18"/>
          <w:b w:val="1"/>
          <w:bCs w:val="1"/>
          <w:color w:val="auto"/>
        </w:rPr>
      </w:pPr>
    </w:p>
    <w:p>
      <w:pPr>
        <w:jc w:val="both"/>
        <w:ind w:firstLine="656"/>
        <w:spacing w:after="0" w:line="277" w:lineRule="auto"/>
        <w:tabs>
          <w:tab w:leader="none" w:pos="1377"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Full Discharge of Obligations</w:t>
      </w:r>
      <w:r>
        <w:rPr>
          <w:rFonts w:ascii="Arial" w:cs="Arial" w:eastAsia="Arial" w:hAnsi="Arial"/>
          <w:sz w:val="17"/>
          <w:szCs w:val="17"/>
          <w:color w:val="auto"/>
        </w:rPr>
        <w:t>: Employee understands and agrees that Employee is not entitled to, and will not receive, any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or benefits of any kind (including but not limited to wages, bonus payments, incentive compensation payments, or other payments to which Employee otherwise might have been entitled) from the Company except as expressly set forth herein above. Employee further represents that Employee has or will receive all compensation, including salary payments, due and owing through the Separation Date. In addition, Employee understands and agrees that after the Separation Date, Employee will not accrue any further benefits under any of the Company’s applicable plans.</w:t>
      </w:r>
    </w:p>
    <w:p>
      <w:pPr>
        <w:spacing w:after="0" w:line="221" w:lineRule="exact"/>
        <w:rPr>
          <w:rFonts w:ascii="Arial" w:cs="Arial" w:eastAsia="Arial" w:hAnsi="Arial"/>
          <w:sz w:val="17"/>
          <w:szCs w:val="17"/>
          <w:b w:val="1"/>
          <w:bCs w:val="1"/>
          <w:color w:val="auto"/>
        </w:rPr>
      </w:pPr>
    </w:p>
    <w:p>
      <w:pPr>
        <w:jc w:val="both"/>
        <w:ind w:firstLine="656"/>
        <w:spacing w:after="0" w:line="284" w:lineRule="auto"/>
        <w:tabs>
          <w:tab w:leader="none" w:pos="1471"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As a material inducement to the Company to enter into this Agreement and to give Employee the benefits described above,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 forever releases and discharges the Company and each of its predecessors, successors, assigns, partners, directors, officers, members, managers, stockholders, employees, representatives, attorneys, agents, divisions, subsidiaries, and affiliates (and the past and present partners, directors, officers, members, managers, stockholders, employees, representatives, attorneys and agents of such divisions, subsidiaries and affiliates), and all persons acting by, through, under, or in concert with any of them (hereinafter the “Releasees”), from any and all charges, complaints, claims, liabilities, obligations, promises, agreements, controversies, damages, actions, causes of action, suits, rights, demands, costs, losses, debts and expenses (including attorneys’ fees and costs actually incurred) of any nature whatsoever, in law or equity, known or unknown, suspected or unsuspected, that Employee and Employee’s issue, heirs, representatives, successors, agents, executors, administrators and assigns ever had, now has or hereafter can, shall or may have for, upon, or by reason of any matter, cause or thing whatsoever through the date of this Agreement, including but not limited to any claims arising out of his employment by the Company and the cessation of such employment; any claims for unpaid wages, back pay, bonuses, incentive pay, vacation pay, legal fees, severance or other compensation; any claims arising under any contracts, express or implied, or any covenant of good faith and fair dealing, express or implied; any tort, including without limitation intentional infliction of emotional distress, defamation, fraud and breach of duty; any legal restrictions on the Company’s right to terminate employees; and any federal, state, local, or other governmental common law, statute, regulation, or ordinance, including without limitation: Title VII of the Civil Rights Act of 1964, the Civil Rights Act of 1991, the Age Discrimination in Employment Act of 1967, the Older Workers’ Benefit Protection Act, the Genetic Information Nondiscrimination Act of 2008, the Worker and Adjustment Retraining Notification (“WARN”) Act, the Illinois WARN statutes, the New Jersey WARN statutes, the New Jersey Law Against Discrimination, the New Jersey Conscientious Employee Protection Act, the New Jersey Family Leave Act, the New Jersey Temporary Disability Benefits Law, the New Jersey Wage Payment Law, the New Jersey Wage and Hour Law, the New Jersey Workers’ Compensation Law, the Americans with Disabilities Act, the Florida Whistleblower Protection Act, the Florida Workers’ Compensation Retaliation provision, the Florida Minimum Wage Act, the Florida Constitution, the Florida Fair Housing Act, the Equal Pay Act, the Employee Retirement Income Security Act, the Rehabilitation Act of 1973, and the Family and Medical Leave Act of 1993, each of the foregoing as amended;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nothing contained herein shall serve to waive any (a) claims or rights that, pursuant to law, cannot be legally waived or subject to a release of this kind, such as claims for unemployment or workers’ compensation benefits; (b) rights to vested benefits under any applicable retirement plans as of the Separation Date; (c) rights to vested stock options and rights arising under any stock option agreement and Company equity incentive plan; and/or (d) claims arising under or to enforce the terms of this Agreement. Moreover, nothing herein shall be construed to prohibit Employee from filing a charge with, or participating in any investigation or proceeding conducted by, the Equal Employment Opportunity Commission or a comparable state or local agency (“EEOC”); provided, however, that Employee agrees and covenants to waive his right to recover monetary damages in any such EEOC charge, complaint, or lawsuit filed by Employee or by any other person, organization, or other entity on Employee’s behalf with respect to the claims lawfully released by this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7" w:name="page78"/>
    <w:bookmarkEnd w:id="77"/>
    <w:p>
      <w:pPr>
        <w:ind w:left="1440" w:hanging="784"/>
        <w:spacing w:after="0"/>
        <w:tabs>
          <w:tab w:leader="none" w:pos="1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w:t>
      </w:r>
      <w:r>
        <w:rPr>
          <w:rFonts w:ascii="Arial" w:cs="Arial" w:eastAsia="Arial" w:hAnsi="Arial"/>
          <w:sz w:val="18"/>
          <w:szCs w:val="18"/>
          <w:color w:val="auto"/>
        </w:rPr>
        <w:t>:</w:t>
      </w:r>
    </w:p>
    <w:p>
      <w:pPr>
        <w:spacing w:after="0" w:line="283" w:lineRule="exact"/>
        <w:rPr>
          <w:sz w:val="20"/>
          <w:szCs w:val="20"/>
          <w:color w:val="auto"/>
        </w:rPr>
      </w:pPr>
    </w:p>
    <w:p>
      <w:pPr>
        <w:ind w:left="1400" w:hanging="744"/>
        <w:spacing w:after="0"/>
        <w:tabs>
          <w:tab w:leader="none" w:pos="14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represents and acknowledges that it is not aware of any claim, if any, that it may have against Employee as of the signing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w:t>
      </w:r>
    </w:p>
    <w:p>
      <w:pPr>
        <w:spacing w:after="0" w:line="264" w:lineRule="exact"/>
        <w:rPr>
          <w:rFonts w:ascii="Arial" w:cs="Arial" w:eastAsia="Arial" w:hAnsi="Arial"/>
          <w:sz w:val="16"/>
          <w:szCs w:val="16"/>
          <w:color w:val="auto"/>
        </w:rPr>
      </w:pPr>
    </w:p>
    <w:p>
      <w:pPr>
        <w:jc w:val="both"/>
        <w:ind w:firstLine="656"/>
        <w:spacing w:after="0" w:line="301" w:lineRule="auto"/>
        <w:tabs>
          <w:tab w:leader="none" w:pos="1371" w:val="left"/>
        </w:tabs>
        <w:numPr>
          <w:ilvl w:val="0"/>
          <w:numId w:val="37"/>
        </w:numPr>
        <w:rPr>
          <w:rFonts w:ascii="Arial" w:cs="Arial" w:eastAsia="Arial" w:hAnsi="Arial"/>
          <w:sz w:val="16"/>
          <w:szCs w:val="16"/>
          <w:color w:val="auto"/>
        </w:rPr>
      </w:pPr>
      <w:r>
        <w:rPr>
          <w:rFonts w:ascii="Arial" w:cs="Arial" w:eastAsia="Arial" w:hAnsi="Arial"/>
          <w:sz w:val="16"/>
          <w:szCs w:val="16"/>
          <w:color w:val="auto"/>
        </w:rPr>
        <w:t>Employee acknowledges that as an employee of the Company it has been Employee’s obligation to advise the Company completely and candidly of all facts of which Employee is aware that constitute or might constitute violations of the Company’s ethical standards or legal or regulatory obligations. Employee represents and warrants that Employee is not aware of any such facts or that Employee has previously advised the Company about any such facts. Employee further agrees to advise the Company in the future of all such facts that come to Employee’s attention; and</w:t>
      </w:r>
    </w:p>
    <w:p>
      <w:pPr>
        <w:spacing w:after="0" w:line="211" w:lineRule="exact"/>
        <w:rPr>
          <w:rFonts w:ascii="Arial" w:cs="Arial" w:eastAsia="Arial" w:hAnsi="Arial"/>
          <w:sz w:val="16"/>
          <w:szCs w:val="16"/>
          <w:color w:val="auto"/>
        </w:rPr>
      </w:pPr>
    </w:p>
    <w:p>
      <w:pPr>
        <w:jc w:val="both"/>
        <w:ind w:right="20" w:firstLine="656"/>
        <w:spacing w:after="0" w:line="263" w:lineRule="auto"/>
        <w:tabs>
          <w:tab w:leader="none" w:pos="13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Employee, for himself and Employee’s issue, heirs, representatives, successors, agents, executors, administrators, and assigns, represents and warrants that, to the fullest extent permitted by law, Employee has not filed any complaints or charges or lawsuits against the Company with any governmental agency or court.</w:t>
      </w:r>
    </w:p>
    <w:p>
      <w:pPr>
        <w:spacing w:after="0" w:line="234" w:lineRule="exact"/>
        <w:rPr>
          <w:sz w:val="20"/>
          <w:szCs w:val="20"/>
          <w:color w:val="auto"/>
        </w:rPr>
      </w:pPr>
    </w:p>
    <w:p>
      <w:pPr>
        <w:jc w:val="both"/>
        <w:ind w:firstLine="656"/>
        <w:spacing w:after="0" w:line="289" w:lineRule="auto"/>
        <w:tabs>
          <w:tab w:leader="none" w:pos="1539"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Cooperation</w:t>
      </w:r>
      <w:r>
        <w:rPr>
          <w:rFonts w:ascii="Arial" w:cs="Arial" w:eastAsia="Arial" w:hAnsi="Arial"/>
          <w:sz w:val="16"/>
          <w:szCs w:val="16"/>
          <w:color w:val="auto"/>
        </w:rPr>
        <w:t>: Employee and the Company agree that certain matters in which Employee has been involved during his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may require his cooperation with the Company in the future. Accordingly, to the extent reasonably requested by the Company and to help ensure a smooth and honorable transition from the Company, during business hours for the duration of the Severance Period, Employee agrees to cooperate with the Company upon its reasonable request to provide assistance via telephone, e-mail or in-person meetings in connection with any matters in which Employee was involved while employed by the Company. In particular, but without limitation, Employee agrees to make himself reasonably available via telephone, e-mail or in-person meetings during such period to the Company to respond to requests by the Company for information relating to scientific or intellectual property matters within the scope of Employee’s responsibility prior to the Separation Date, including with respect to Company patents, patent applications or other formal intellectual property related documents, any Company-related scholarly articles, any litigation, arbitration or governmental or regulatory inquiry or investigation, or similar proceeding, and to provide truthful testimony to any court, agency or other adjudicatory body.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8" w:name="page79"/>
    <w:bookmarkEnd w:id="78"/>
    <w:p>
      <w:pPr>
        <w:jc w:val="both"/>
        <w:ind w:firstLine="656"/>
        <w:spacing w:after="0" w:line="268" w:lineRule="auto"/>
        <w:tabs>
          <w:tab w:leader="none" w:pos="1431"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(a) Employee agrees not to disclose, divulge, publish, communicate, publicize, disseminate or otherwise reveal, either</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any Confidential Information (as defined below) to any person, natural or legal, who is not affiliated with the Company (i.e., employees, principal stockholders and directors), otherwise bound by an agreement with the Company or obligation of confidentiality for the benefit of the Company or in need of such information in connection with services to be provided for the benefit of the Company. The term "Confidential Information" means all information in any form relating to the past, present or future business affairs, including without limitation, research, development or business plans, operations or systems, of the Company or a person not a party to this Agreement whose information the Company has in its possession under obligations of confidentiality, which is disclosed by the Company to Employee or which is produced or developed while Employee is an owner of, employee or director of the Company. The term “Confidential Information” shall not include any information of the Company which becomes publicly known through no wrongful act of Employee or is received from a person not a party to this Agreement who is free to disclose it to Employee. To the fullest extent permitted by law, Employee further agrees not to divulge to anyone (other than the Company or any persons employed or designated by ADMA Biologics), publish, or make use of any such Confidential Information without the prior written consent of the Company. Employee (i) may make and retain electronic copies of his contact list and calendar and (ii) may retain any documentation relevant to and reasonably necessary to file his income tax returns. Employee’s obligations in this Section are in addition to any of Employee’s continuing obligations under the Confidentiality, Non-Disclosure, E-Mail, Telephone, Fax and Computer Policy and Agreement, provided to Employee when Employee began employment with the Company (“Confidentiality and Non-Disclosure Agreement”), as well as the Company’s Insider Trading Policy which continuing obligations remain in full force and effect and are expressly incorporated herein.</w:t>
      </w:r>
    </w:p>
    <w:p>
      <w:pPr>
        <w:spacing w:after="0" w:line="238" w:lineRule="exact"/>
        <w:rPr>
          <w:sz w:val="20"/>
          <w:szCs w:val="20"/>
          <w:color w:val="auto"/>
        </w:rPr>
      </w:pPr>
    </w:p>
    <w:p>
      <w:pPr>
        <w:jc w:val="both"/>
        <w:ind w:firstLine="656"/>
        <w:spacing w:after="0" w:line="269" w:lineRule="auto"/>
        <w:tabs>
          <w:tab w:leader="none" w:pos="1506"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Nothing in this Agreement is intended to or shall preclude Employee from: (i) providing truthful testimony on any subject matter in response to a valid subpoena, court order, regulatory request or other judicial, administrative or legal process or otherwise as required by law, in which event Employee shall notify the Company of the anticipated testimony in writing, unless prohibited to do so by law, as promptly as practicable after receiving any such request and at least ten (10) business days prior to providing such testimony (or, if such notice is not possible under the circumstances, with as much prior notice as is possible) so that the Company may seek a protective order or other appropriate remedy; or (ii) reporting, without any prior authorization from, or notification to, the Company, possible violations of federal law or regulation to any governmental agency or entity, including but not limited to the Securities and Exchange Commission, the Department of Justice, Congress, and any agency Inspector General, or making other disclosures that are protected under the whistleblower provisions of federal law or regulation. If such a protective order or other remedy described in clause (i) of the foregoing sentence is not obtained, or the Company waives compliance with this Agreement, Employee shall furnish only that portion of such subject matter that is legally required and shall exercise all reasonable efforts to obtain reliable assurance that confidential treatment will be accorded to the subject matter to be disclosed.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9" w:name="page80"/>
    <w:bookmarkEnd w:id="79"/>
    <w:p>
      <w:pPr>
        <w:jc w:val="both"/>
        <w:ind w:firstLine="656"/>
        <w:spacing w:after="0" w:line="279" w:lineRule="auto"/>
        <w:tabs>
          <w:tab w:leader="none" w:pos="1401" w:val="left"/>
        </w:tabs>
        <w:numPr>
          <w:ilvl w:val="0"/>
          <w:numId w:val="41"/>
        </w:numPr>
        <w:rPr>
          <w:rFonts w:ascii="Arial" w:cs="Arial" w:eastAsia="Arial" w:hAnsi="Arial"/>
          <w:sz w:val="17"/>
          <w:szCs w:val="17"/>
          <w:color w:val="auto"/>
        </w:rPr>
      </w:pPr>
      <w:r>
        <w:rPr>
          <w:rFonts w:ascii="Arial" w:cs="Arial" w:eastAsia="Arial" w:hAnsi="Arial"/>
          <w:sz w:val="17"/>
          <w:szCs w:val="17"/>
          <w:color w:val="auto"/>
        </w:rPr>
        <w:t>Employee is hereby further notified in accordance with the Defend Trade Secrets Act of 2016 that Employee will not be held criminally or civilly liable under any federal or state trade secret law for the disclosure of a trade secret that: (i) is made in confidence to a federal, state, or local government official, either directly or indirectly, or to an attorney, solely for the purpose of reporting or investigating a suspected violation of law; or (ii) is made in a complaint or other document filed in a lawsuit or other proceeding, if such filing is made under seal.</w:t>
      </w:r>
    </w:p>
    <w:p>
      <w:pPr>
        <w:spacing w:after="0" w:line="225" w:lineRule="exact"/>
        <w:rPr>
          <w:rFonts w:ascii="Arial" w:cs="Arial" w:eastAsia="Arial" w:hAnsi="Arial"/>
          <w:sz w:val="17"/>
          <w:szCs w:val="17"/>
          <w:color w:val="auto"/>
        </w:rPr>
      </w:pPr>
    </w:p>
    <w:p>
      <w:pPr>
        <w:jc w:val="both"/>
        <w:ind w:firstLine="656"/>
        <w:spacing w:after="0" w:line="269" w:lineRule="auto"/>
        <w:tabs>
          <w:tab w:leader="none" w:pos="1398" w:val="left"/>
        </w:tabs>
        <w:numPr>
          <w:ilvl w:val="0"/>
          <w:numId w:val="41"/>
        </w:numPr>
        <w:rPr>
          <w:rFonts w:ascii="Arial" w:cs="Arial" w:eastAsia="Arial" w:hAnsi="Arial"/>
          <w:sz w:val="17"/>
          <w:szCs w:val="17"/>
          <w:color w:val="auto"/>
        </w:rPr>
      </w:pPr>
      <w:r>
        <w:rPr>
          <w:rFonts w:ascii="Arial" w:cs="Arial" w:eastAsia="Arial" w:hAnsi="Arial"/>
          <w:sz w:val="17"/>
          <w:szCs w:val="17"/>
          <w:color w:val="auto"/>
        </w:rPr>
        <w:t>Employee expressly agrees to keep secret and strictly confidential, the circumstances leading up to this Agreement except: (a) with the prior written consent of the Company; (b) to Employee’s attorney or tax preparers, provided such individuals are specifically instructed to maintain such information as confidential and agree to keep said information strictly confidential and not disclose it to others; or (c) as may be required by law, including in response to valid legal process or upon request by a government taxing authority or other government entity. Moreover, this Agreement and its terms shall not be used or disclosed in any court, arbitration or legal proceedings, except to enforce the provisions of this Agreement, in which case the Agreement shall be filed under seal. In the event that Employee is compelled to make disclosures related to any released party pursuant to a subpoena or other court process, or Employee has advance notice that a subpoena or other court process may result in the disclosure of confidential information, or Employee should reasonably conclude that a subpoena or other court process may result in the disclosure of Confidential Information, then Employee shall provide advance written notice of such compelled disclosure to the Company within sufficient time for the Company to object to disclosure. The Employee expressly agrees and acknowledges that the Company may publicly disclose the existence and terms of this Agreement, including through the Company’s filings with the Securities and Exchange Commission.</w:t>
      </w:r>
    </w:p>
    <w:p>
      <w:pPr>
        <w:spacing w:after="0" w:line="232" w:lineRule="exact"/>
        <w:rPr>
          <w:sz w:val="20"/>
          <w:szCs w:val="20"/>
          <w:color w:val="auto"/>
        </w:rPr>
      </w:pPr>
    </w:p>
    <w:p>
      <w:pPr>
        <w:jc w:val="both"/>
        <w:ind w:firstLine="656"/>
        <w:spacing w:after="0" w:line="272" w:lineRule="auto"/>
        <w:tabs>
          <w:tab w:leader="none" w:pos="1386"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Return of Company Property</w:t>
      </w:r>
      <w:r>
        <w:rPr>
          <w:rFonts w:ascii="Arial" w:cs="Arial" w:eastAsia="Arial" w:hAnsi="Arial"/>
          <w:sz w:val="17"/>
          <w:szCs w:val="17"/>
          <w:color w:val="auto"/>
        </w:rPr>
        <w:t>: As of the Effective Date, Employee will have returned to the Company all 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files, memoranda, and records, cardkey passes, door and file keys, computer access codes, software, corporate credit card, equipment, including cell phones and computers, and other property which he received, acquired, or prepared in connection with his employment with the Company, and any and all copies, duplicates, reproductions, synopses, and/or excerpts thereof (collectively, “Company Property”). Employee further agrees and certifies herein that by no later than the Effective Date, Employee has permanently and irrevocably deleted any and all intangible Company Property, including any Company emails or documents sent to, by or from any Company employee, including himself, which exists or is stored (i) in any e-mail account; (ii) in any “cloud” account; or (iii) on any computer, tablet, cellular phone or smartphone, the foregoing of which are accessible, controlled, or owned by him. The consideration detailed in Section 2 above is contingent on Employee’s compliance with his obligations under this Section.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0" w:name="page81"/>
    <w:bookmarkEnd w:id="80"/>
    <w:p>
      <w:pPr>
        <w:jc w:val="both"/>
        <w:ind w:firstLine="656"/>
        <w:spacing w:after="0" w:line="272" w:lineRule="auto"/>
        <w:tabs>
          <w:tab w:leader="none" w:pos="1349"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Non-Disparagement</w:t>
      </w:r>
      <w:r>
        <w:rPr>
          <w:rFonts w:ascii="Arial" w:cs="Arial" w:eastAsia="Arial" w:hAnsi="Arial"/>
          <w:sz w:val="17"/>
          <w:szCs w:val="17"/>
          <w:color w:val="auto"/>
        </w:rPr>
        <w:t>: Employee agrees not to directly or indirectly, or encourage others, to defame, disparage or criticize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its business plan, procedures, products, services, development, finances, financial condition, capabilities or other aspect of its business, or any of its stockholders in any medium (whether oral, written, electronic or otherwise, whether currently existing or hereafter created), to any person or entity, without limitation in time. Nothing in this Agreement is intended to (a) preclude the Employee from making any truthful statement to the extent required by law or by any court, arbitrator, mediator or administrative or legislative body with actual or apparent jurisdiction to order such person to disclose or make accessible such information; or (b) unlawfully impair or interfere with Employee’s rights under Section 7 of the National Labor Relations Act. The Company agrees to instruct Adam Grossman and Brian Lenz to not directly or indirectly, or encourage others, to defame or disparage Employee in any medium (whether oral, written, electronic or otherwise). The parties understand that this provision is a material one.</w:t>
      </w:r>
    </w:p>
    <w:p>
      <w:pPr>
        <w:spacing w:after="0" w:line="225" w:lineRule="exact"/>
        <w:rPr>
          <w:rFonts w:ascii="Arial" w:cs="Arial" w:eastAsia="Arial" w:hAnsi="Arial"/>
          <w:sz w:val="17"/>
          <w:szCs w:val="17"/>
          <w:b w:val="1"/>
          <w:bCs w:val="1"/>
          <w:color w:val="auto"/>
        </w:rPr>
      </w:pPr>
    </w:p>
    <w:p>
      <w:pPr>
        <w:ind w:right="80" w:firstLine="656"/>
        <w:spacing w:after="0" w:line="269" w:lineRule="auto"/>
        <w:tabs>
          <w:tab w:leader="none" w:pos="1413"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Work Product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hereby assigns to the Company all of his right, title and interest in and to, and shall disclose</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to the Company, any and all work product, developments, processes, inventions, ideas and discoveries, and works of authorship developed, discovered, improved, authored, derived, invented or acquired by Employee during the period of his employment by the Company (collectively, "Work Product"), whether or not during business hours, that are either related to the scope of Employee 's employment by the Company or make use, in any manner, to the dedicated resources of the Company, and agrees that such Work Product shall be and shall remain the exclusive property of the Company. The parties hereto understand that the term Work Product includes, but is not limited to, all work product developed, discovered, improved, authored, derived, invented or acquired by Employee that: (i) incorporates or reflects any Confidential information, (ii) relates to the business of the Company or the Company's actual or anticipated research and development with respect to Confidential Information, or (iii) results from any work performed by Employee for the Company. Work Product shall not include anything relating to a potential transaction or matter which involves the business of the Company as then conducted (or is related thereto, or a business the Company is then contemplating entering) and may be an investment or business opportunity or of prospective economic or competitive advantage to the Company, with respect to which the Board of Directors of the Company has made a determination not to pursue.</w:t>
      </w:r>
    </w:p>
    <w:p>
      <w:pPr>
        <w:spacing w:after="0" w:line="232" w:lineRule="exact"/>
        <w:rPr>
          <w:rFonts w:ascii="Arial" w:cs="Arial" w:eastAsia="Arial" w:hAnsi="Arial"/>
          <w:sz w:val="17"/>
          <w:szCs w:val="17"/>
          <w:b w:val="1"/>
          <w:bCs w:val="1"/>
          <w:color w:val="auto"/>
        </w:rPr>
      </w:pPr>
    </w:p>
    <w:p>
      <w:pPr>
        <w:ind w:right="20" w:firstLine="656"/>
        <w:spacing w:after="0" w:line="287" w:lineRule="auto"/>
        <w:tabs>
          <w:tab w:leader="none" w:pos="1413"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Non-Competition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absolutely and unconditionally covenants and agrees that, for the period commencing on the Separation</w:t>
      </w:r>
      <w:r>
        <w:rPr>
          <w:rFonts w:ascii="Arial" w:cs="Arial" w:eastAsia="Arial" w:hAnsi="Arial"/>
          <w:sz w:val="16"/>
          <w:szCs w:val="16"/>
          <w:b w:val="1"/>
          <w:bCs w:val="1"/>
          <w:color w:val="auto"/>
        </w:rPr>
        <w:t xml:space="preserve"> </w:t>
      </w:r>
      <w:r>
        <w:rPr>
          <w:rFonts w:ascii="Arial" w:cs="Arial" w:eastAsia="Arial" w:hAnsi="Arial"/>
          <w:sz w:val="16"/>
          <w:szCs w:val="16"/>
          <w:color w:val="auto"/>
        </w:rPr>
        <w:t>Date through the period ending 12 months thereafter (the “Restrictive Period”), Employee will not, either directly or indirectly, solely or jointly with any other person or persons, as an employee, consultant or advisor, or as an individual proprietor, partner, stockholder, director, officer, joint venturer, investor, lender or in any other capacity (whether or not engaged in business for profit), engage or participate in a Competing Business (as defined below). Nothing herein contained shall, however, prohibit Employee’s acquisition or ownership of (i) stock or securities listed on a national or regional securities exchange or the Nasdaq Stock Market, so long as such investments, in the aggregate, in any particular business enterprise constitute less than five percent (5%) of the total issued and outstanding stock and securities of such enterprise or (ii) passive investment in units or other interests in private equity or hedge funds to similar investment vehicles. The term “Competing Business” means (i) the manufacture and sale of immune globulin intravenous (IGIV) and hyperimmune immunoglobulin (IG), (ii) plasma collection, (iii) the manufacture of plasma products competitive with products manufactured by or under development by the Company, (iv) the manufacture of vaccines to stimulate hyperimmune donors, and (v) any other specific business being conducted by the Company during the term of the Employee’s employment with the Company. Nothing herein shall restrict the ability of any of the Permitted Entities, as such term is used in Employee’s Amended and Restated Employment Agreement (which is otherwise superseded), to continue the conduct of their existing businesses.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1" w:name="page82"/>
    <w:bookmarkEnd w:id="81"/>
    <w:p>
      <w:pPr>
        <w:ind w:firstLine="656"/>
        <w:spacing w:after="0" w:line="286" w:lineRule="auto"/>
        <w:tabs>
          <w:tab w:leader="none" w:pos="1413"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absolutely and unconditionally covenants and agrees that, during the Restrictive Period, Employee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either directly or indirectly, for any reason, whether for Employee’s own account or for the account of any other person, natural or legal, without the prior written consent of the Company: (i) solicit, employ, deal with or otherwise interfere with any contract or relationship of the Company with any employee, officer, director or any independent contractor of the Company, while such person or entity is employed by or associated with the Company or in the case of former employees within one year of the termination of such person's employment with the Company during the Restrictive Period, unless such person was terminated without cause by the Company, (ii) solicit, accept, deal with or otherwise interfere with any contract or relationship of the Company with any independent contractor, customer, client or supplier of the Company or with any person, natural or legal the effect of which would have an adverse effect on the Company, or (iii) solicit or otherwise interfere with any existing or proposed contract between the Company and any other person, natural or legal. Other than responding to requests made pursuant to Section 8, Employee agrees not to contact or communicate with employees, directors or independent contractors of the Company except for personal reasons. Without limitation to the foregoing, Employee may continue to work with any independent contractor, customer, client or supplier of the Company, or with any person, natural or legal, who or which has had a previous relationship with any of the Permitted Entities, as such term is used in Employee’s Amended and Restated Employment Agreement (which is otherwise superseded), and which may continue to have such a relationship while honoring any commitments or obligations that it may have with the Company or with whom the Employee had a preexisting relationship prior to the Employee’s employment with the Company.</w:t>
      </w:r>
    </w:p>
    <w:p>
      <w:pPr>
        <w:spacing w:after="0" w:line="224" w:lineRule="exact"/>
        <w:rPr>
          <w:rFonts w:ascii="Arial" w:cs="Arial" w:eastAsia="Arial" w:hAnsi="Arial"/>
          <w:sz w:val="16"/>
          <w:szCs w:val="16"/>
          <w:b w:val="1"/>
          <w:bCs w:val="1"/>
          <w:color w:val="auto"/>
        </w:rPr>
      </w:pPr>
    </w:p>
    <w:p>
      <w:pPr>
        <w:ind w:left="1420" w:hanging="764"/>
        <w:spacing w:after="0"/>
        <w:tabs>
          <w:tab w:leader="none" w:pos="142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abide by any preexisting obligations to indemnify Employee pursuant to the Company Charter.</w:t>
      </w:r>
    </w:p>
    <w:p>
      <w:pPr>
        <w:spacing w:after="0" w:line="302" w:lineRule="exact"/>
        <w:rPr>
          <w:rFonts w:ascii="Arial" w:cs="Arial" w:eastAsia="Arial" w:hAnsi="Arial"/>
          <w:sz w:val="16"/>
          <w:szCs w:val="16"/>
          <w:b w:val="1"/>
          <w:bCs w:val="1"/>
          <w:color w:val="auto"/>
        </w:rPr>
      </w:pPr>
    </w:p>
    <w:p>
      <w:pPr>
        <w:jc w:val="both"/>
        <w:ind w:firstLine="656"/>
        <w:spacing w:after="0" w:line="261" w:lineRule="auto"/>
        <w:tabs>
          <w:tab w:leader="none" w:pos="1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Rule of Ambiguities</w:t>
      </w:r>
      <w:r>
        <w:rPr>
          <w:rFonts w:ascii="Arial" w:cs="Arial" w:eastAsia="Arial" w:hAnsi="Arial"/>
          <w:sz w:val="18"/>
          <w:szCs w:val="18"/>
          <w:color w:val="auto"/>
        </w:rPr>
        <w:t>: It is agreed and understood that the general rule that ambiguities are to be construed against the drafter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this Agreement. In the event that any language in this Agreement is found or claimed to be ambiguous, each party shall have the same opportunity to present evidence as to the actual intent of the parties with respect to any such ambiguous language without any inference or presumption being drawn against the drafter.</w:t>
      </w:r>
    </w:p>
    <w:p>
      <w:pPr>
        <w:spacing w:after="0" w:line="233" w:lineRule="exact"/>
        <w:rPr>
          <w:rFonts w:ascii="Arial" w:cs="Arial" w:eastAsia="Arial" w:hAnsi="Arial"/>
          <w:sz w:val="18"/>
          <w:szCs w:val="18"/>
          <w:b w:val="1"/>
          <w:bCs w:val="1"/>
          <w:color w:val="auto"/>
        </w:rPr>
      </w:pPr>
    </w:p>
    <w:p>
      <w:pPr>
        <w:jc w:val="both"/>
        <w:ind w:firstLine="656"/>
        <w:spacing w:after="0" w:line="256" w:lineRule="auto"/>
        <w:tabs>
          <w:tab w:leader="none" w:pos="158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It is the desire and intent of the parties that the provisions of this Agreement shall be enforced to the fullest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permissible under the laws and public policies applied in each jurisdiction in which enforcement is sought. In the event that any one or more of the provisions of this Agreement shall be held to be invalid, illegal or unenforceable, the validity, legality and enforceability of the remaining provisions shall not in any way be affected or impaired thereby. Moreover, if any one or more of the provisions contained in this Agreement shall be held to be excessively broad as to duration, scope, activity or subject, such provisions shall be construed by limiting or reducing them so as to be enforceable to the maximum extent compatible with applicable law.</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2" w:name="page83"/>
    <w:bookmarkEnd w:id="82"/>
    <w:p>
      <w:pPr>
        <w:jc w:val="both"/>
        <w:ind w:firstLine="656"/>
        <w:spacing w:after="0" w:line="289" w:lineRule="auto"/>
        <w:tabs>
          <w:tab w:leader="none" w:pos="148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Non-Admission of Liability</w:t>
      </w:r>
      <w:r>
        <w:rPr>
          <w:rFonts w:ascii="Arial" w:cs="Arial" w:eastAsia="Arial" w:hAnsi="Arial"/>
          <w:sz w:val="17"/>
          <w:szCs w:val="17"/>
          <w:color w:val="auto"/>
        </w:rPr>
        <w:t>: This Agreement is not, and shall not in any way be construed as, an admission by the Company that it</w:t>
      </w:r>
      <w:r>
        <w:rPr>
          <w:rFonts w:ascii="Arial" w:cs="Arial" w:eastAsia="Arial" w:hAnsi="Arial"/>
          <w:sz w:val="17"/>
          <w:szCs w:val="17"/>
          <w:b w:val="1"/>
          <w:bCs w:val="1"/>
          <w:color w:val="auto"/>
        </w:rPr>
        <w:t xml:space="preserve"> </w:t>
      </w:r>
      <w:r>
        <w:rPr>
          <w:rFonts w:ascii="Arial" w:cs="Arial" w:eastAsia="Arial" w:hAnsi="Arial"/>
          <w:sz w:val="17"/>
          <w:szCs w:val="17"/>
          <w:color w:val="auto"/>
        </w:rPr>
        <w:t>has acted wrongfully with respect to Employee or any other person, or that Employee has any rights whatsoever against the Company except as set forth herein. The Company specifically disclaims any liability to or wrongful acts against Employee or any other person.</w:t>
      </w:r>
    </w:p>
    <w:p>
      <w:pPr>
        <w:spacing w:after="0" w:line="211" w:lineRule="exact"/>
        <w:rPr>
          <w:rFonts w:ascii="Arial" w:cs="Arial" w:eastAsia="Arial" w:hAnsi="Arial"/>
          <w:sz w:val="17"/>
          <w:szCs w:val="17"/>
          <w:b w:val="1"/>
          <w:bCs w:val="1"/>
          <w:color w:val="auto"/>
        </w:rPr>
      </w:pPr>
    </w:p>
    <w:p>
      <w:pPr>
        <w:jc w:val="both"/>
        <w:ind w:firstLine="656"/>
        <w:spacing w:after="0" w:line="289" w:lineRule="auto"/>
        <w:tabs>
          <w:tab w:leader="none" w:pos="1602"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w:t>
      </w:r>
      <w:r>
        <w:rPr>
          <w:rFonts w:ascii="Arial" w:cs="Arial" w:eastAsia="Arial" w:hAnsi="Arial"/>
          <w:sz w:val="17"/>
          <w:szCs w:val="17"/>
          <w:color w:val="auto"/>
        </w:rPr>
        <w:t>: Employee acknowledges that he was advised by the Company to consult with an attorney of his own choosing</w:t>
      </w:r>
      <w:r>
        <w:rPr>
          <w:rFonts w:ascii="Arial" w:cs="Arial" w:eastAsia="Arial" w:hAnsi="Arial"/>
          <w:sz w:val="17"/>
          <w:szCs w:val="17"/>
          <w:b w:val="1"/>
          <w:bCs w:val="1"/>
          <w:color w:val="auto"/>
        </w:rPr>
        <w:t xml:space="preserve"> </w:t>
      </w:r>
      <w:r>
        <w:rPr>
          <w:rFonts w:ascii="Arial" w:cs="Arial" w:eastAsia="Arial" w:hAnsi="Arial"/>
          <w:sz w:val="17"/>
          <w:szCs w:val="17"/>
          <w:color w:val="auto"/>
        </w:rPr>
        <w:t>concerning the waivers contained in this Agreement, that Employee retained Thomas M. Wood IV, Esq., and that the waivers Employee has made herein are knowing, conscious, and with full appreciation that Employee is forever foreclosed from pursuing any of the rights so waived.</w:t>
      </w:r>
    </w:p>
    <w:p>
      <w:pPr>
        <w:spacing w:after="0" w:line="211" w:lineRule="exact"/>
        <w:rPr>
          <w:rFonts w:ascii="Arial" w:cs="Arial" w:eastAsia="Arial" w:hAnsi="Arial"/>
          <w:sz w:val="17"/>
          <w:szCs w:val="17"/>
          <w:b w:val="1"/>
          <w:bCs w:val="1"/>
          <w:color w:val="auto"/>
        </w:rPr>
      </w:pPr>
    </w:p>
    <w:p>
      <w:pPr>
        <w:ind w:right="20" w:firstLine="656"/>
        <w:spacing w:after="0" w:line="282" w:lineRule="auto"/>
        <w:tabs>
          <w:tab w:leader="none" w:pos="1399"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Modification</w:t>
      </w:r>
      <w:r>
        <w:rPr>
          <w:rFonts w:ascii="Arial" w:cs="Arial" w:eastAsia="Arial" w:hAnsi="Arial"/>
          <w:sz w:val="18"/>
          <w:szCs w:val="18"/>
          <w:color w:val="auto"/>
        </w:rPr>
        <w:t>: No waiver or modification of this Agreement or any term or provision hereof shall be binding unless it is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signed by the parties hereto or their expressly authorized representatives.</w:t>
      </w:r>
    </w:p>
    <w:p>
      <w:pPr>
        <w:spacing w:after="0" w:line="215" w:lineRule="exact"/>
        <w:rPr>
          <w:rFonts w:ascii="Arial" w:cs="Arial" w:eastAsia="Arial" w:hAnsi="Arial"/>
          <w:sz w:val="18"/>
          <w:szCs w:val="18"/>
          <w:b w:val="1"/>
          <w:bCs w:val="1"/>
          <w:color w:val="auto"/>
        </w:rPr>
      </w:pPr>
    </w:p>
    <w:p>
      <w:pPr>
        <w:jc w:val="both"/>
        <w:ind w:firstLine="656"/>
        <w:spacing w:after="0" w:line="261" w:lineRule="auto"/>
        <w:tabs>
          <w:tab w:leader="none" w:pos="14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Dispute Resolution</w:t>
      </w:r>
      <w:r>
        <w:rPr>
          <w:rFonts w:ascii="Arial" w:cs="Arial" w:eastAsia="Arial" w:hAnsi="Arial"/>
          <w:sz w:val="18"/>
          <w:szCs w:val="18"/>
          <w:color w:val="auto"/>
        </w:rPr>
        <w:t>: This Agreement shall be construed in accordance with the laws of the State of Florida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conflicts of law principles. Employee and the Company hereby submit to the exclusive jurisdiction of the state and federal courts located in Florida (and waive the defenses of lack of jurisdiction or inconvenient forum to the maintenance of any such action or proceeding in such venue) for any proceedings to obtain injunctive relief for a breach or threatened breach of any covenants herein.</w:t>
      </w:r>
    </w:p>
    <w:p>
      <w:pPr>
        <w:spacing w:after="0" w:line="233" w:lineRule="exact"/>
        <w:rPr>
          <w:rFonts w:ascii="Arial" w:cs="Arial" w:eastAsia="Arial" w:hAnsi="Arial"/>
          <w:sz w:val="18"/>
          <w:szCs w:val="18"/>
          <w:b w:val="1"/>
          <w:bCs w:val="1"/>
          <w:color w:val="auto"/>
        </w:rPr>
      </w:pPr>
    </w:p>
    <w:p>
      <w:pPr>
        <w:jc w:val="both"/>
        <w:ind w:firstLine="656"/>
        <w:spacing w:after="0" w:line="281" w:lineRule="auto"/>
        <w:tabs>
          <w:tab w:leader="none" w:pos="1507"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Injunctive Relief</w:t>
      </w:r>
      <w:r>
        <w:rPr>
          <w:rFonts w:ascii="Arial" w:cs="Arial" w:eastAsia="Arial" w:hAnsi="Arial"/>
          <w:sz w:val="17"/>
          <w:szCs w:val="17"/>
          <w:color w:val="auto"/>
        </w:rPr>
        <w:t>: Employee agrees and acknowledges that the Company will be irreparably harmed by any breach, or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breach, by Employee of this Agreement and that monetary damages would be grossly inadequate. Accordingly, Employee agrees that in the event of a breach or threatened breach by Employee of this Agreement, the Company shall be entitled to immediate injunctive or other preliminary or equitable relief, as appropriate, in addition to all other remedies available at law and equity, without being required to post a bond.</w:t>
      </w:r>
    </w:p>
    <w:p>
      <w:pPr>
        <w:spacing w:after="0" w:line="218" w:lineRule="exact"/>
        <w:rPr>
          <w:rFonts w:ascii="Arial" w:cs="Arial" w:eastAsia="Arial" w:hAnsi="Arial"/>
          <w:sz w:val="17"/>
          <w:szCs w:val="17"/>
          <w:b w:val="1"/>
          <w:bCs w:val="1"/>
          <w:color w:val="auto"/>
        </w:rPr>
      </w:pPr>
    </w:p>
    <w:p>
      <w:pPr>
        <w:jc w:val="both"/>
        <w:ind w:firstLine="656"/>
        <w:spacing w:after="0" w:line="314" w:lineRule="auto"/>
        <w:tabs>
          <w:tab w:leader="none" w:pos="144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Disclosure</w:t>
      </w:r>
      <w:r>
        <w:rPr>
          <w:rFonts w:ascii="Arial" w:cs="Arial" w:eastAsia="Arial" w:hAnsi="Arial"/>
          <w:sz w:val="16"/>
          <w:szCs w:val="16"/>
          <w:color w:val="auto"/>
        </w:rPr>
        <w:t>: Other than as may be required by law, Employee agrees not to disclose to anyone, other than Employee’s immediate</w:t>
      </w:r>
      <w:r>
        <w:rPr>
          <w:rFonts w:ascii="Arial" w:cs="Arial" w:eastAsia="Arial" w:hAnsi="Arial"/>
          <w:sz w:val="16"/>
          <w:szCs w:val="16"/>
          <w:b w:val="1"/>
          <w:bCs w:val="1"/>
          <w:color w:val="auto"/>
        </w:rPr>
        <w:t xml:space="preserve"> </w:t>
      </w:r>
      <w:r>
        <w:rPr>
          <w:rFonts w:ascii="Arial" w:cs="Arial" w:eastAsia="Arial" w:hAnsi="Arial"/>
          <w:sz w:val="16"/>
          <w:szCs w:val="16"/>
          <w:color w:val="auto"/>
        </w:rPr>
        <w:t>family, accountant, and attorney, the contents of this Agreement, the circumstances surrounding it, or its terms, conditions, and negotiation, including the dollar amounts set forth herein, and then only upon their express agreement not to disclose such subject matter to another person, except as required by law.</w:t>
      </w:r>
    </w:p>
    <w:p>
      <w:pPr>
        <w:spacing w:after="0" w:line="195" w:lineRule="exact"/>
        <w:rPr>
          <w:rFonts w:ascii="Arial" w:cs="Arial" w:eastAsia="Arial" w:hAnsi="Arial"/>
          <w:sz w:val="16"/>
          <w:szCs w:val="16"/>
          <w:b w:val="1"/>
          <w:bCs w:val="1"/>
          <w:color w:val="auto"/>
        </w:rPr>
      </w:pPr>
    </w:p>
    <w:p>
      <w:pPr>
        <w:jc w:val="both"/>
        <w:ind w:firstLine="656"/>
        <w:spacing w:after="0" w:line="258" w:lineRule="auto"/>
        <w:tabs>
          <w:tab w:leader="none" w:pos="1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agreement between the parties hereto and fully supersedes and replaces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prior agreements, arrangements, or understandings (whether oral or written) between the parties hereto pertaining to the subject matter hereof. Employee acknowledges and agrees that in signing this Agreement, Employee has not relied upon any representation, promise, or inducement that is not expressly set forth in this Agreement. All prior written agreements between Employee and the Company remain in effect unless modified by the provisions herein.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3" w:name="page84"/>
    <w:bookmarkEnd w:id="83"/>
    <w:p>
      <w:pPr>
        <w:jc w:val="both"/>
        <w:ind w:firstLine="656"/>
        <w:spacing w:after="0" w:line="239" w:lineRule="auto"/>
        <w:tabs>
          <w:tab w:leader="none" w:pos="149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Revocation Period; Effective Date</w:t>
      </w:r>
      <w:r>
        <w:rPr>
          <w:rFonts w:ascii="Arial" w:cs="Arial" w:eastAsia="Arial" w:hAnsi="Arial"/>
          <w:sz w:val="18"/>
          <w:szCs w:val="18"/>
          <w:color w:val="auto"/>
        </w:rPr>
        <w:t>: Employee shall have a period of twenty-one (21) days from the date on which a copy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has been delivered to Employee to consider whether to sign it. In the event that Employee elects to sign and return to the Company a copy of this Agreement, Employee has a period of seven (7) days following the date of Employee’s execution to revoke this Agreement (the “Revocation Period”) by delivering a written letter to ADMA Biologics, Inc., 5800 Park of Commerce Blvd., NW, Boca Raton, FL 33487, Attention: Kim Tripodo, Executive Director &amp; Head of Human Resources, within the Revocation Period notifying ADMA Biologics of Employee’s revocation. Employee further acknowledges and agrees that, in the event that Employee revokes this Agreement, the Agreement shall have no force or effect, and Employee shall have no right to receive any of the benefits provided for hereunder. Provided that Employee signs and does not revoke the Agreement as set forth above, it shall become effective on the eighth (8</w:t>
      </w:r>
      <w:r>
        <w:rPr>
          <w:rFonts w:ascii="Arial" w:cs="Arial" w:eastAsia="Arial" w:hAnsi="Arial"/>
          <w:sz w:val="29"/>
          <w:szCs w:val="29"/>
          <w:color w:val="auto"/>
          <w:vertAlign w:val="superscript"/>
        </w:rPr>
        <w:t>th</w:t>
      </w:r>
      <w:r>
        <w:rPr>
          <w:rFonts w:ascii="Arial" w:cs="Arial" w:eastAsia="Arial" w:hAnsi="Arial"/>
          <w:sz w:val="18"/>
          <w:szCs w:val="18"/>
          <w:color w:val="auto"/>
        </w:rPr>
        <w:t>) day following Employee’s execution of this Agreement (the “Effective Date”). Employee acknowledges and agrees that, in the event Employee does not sign this Agreement within such twenty-one (21) day period or revokes his consent during the additional seven (7) day period described above: (i) the Agreement shall have no force or effect and Employee’s last day of employment with the Company was the Separation Date.</w:t>
      </w:r>
    </w:p>
    <w:p>
      <w:pPr>
        <w:spacing w:after="0" w:line="252" w:lineRule="exact"/>
        <w:rPr>
          <w:rFonts w:ascii="Arial" w:cs="Arial" w:eastAsia="Arial" w:hAnsi="Arial"/>
          <w:sz w:val="18"/>
          <w:szCs w:val="18"/>
          <w:b w:val="1"/>
          <w:bCs w:val="1"/>
          <w:color w:val="auto"/>
        </w:rPr>
      </w:pPr>
    </w:p>
    <w:p>
      <w:pPr>
        <w:ind w:right="20" w:firstLine="656"/>
        <w:spacing w:after="0" w:line="282" w:lineRule="auto"/>
        <w:tabs>
          <w:tab w:leader="none" w:pos="164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Voluntary Execution</w:t>
      </w:r>
      <w:r>
        <w:rPr>
          <w:rFonts w:ascii="Arial" w:cs="Arial" w:eastAsia="Arial" w:hAnsi="Arial"/>
          <w:sz w:val="18"/>
          <w:szCs w:val="18"/>
          <w:color w:val="auto"/>
        </w:rPr>
        <w:t>: Employee hereby acknowledges that Employee has read and that Employee understands the foregoing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that Employee has affixed their signature hereto voluntarily and without coercion.</w:t>
      </w:r>
    </w:p>
    <w:p>
      <w:pPr>
        <w:spacing w:after="0" w:line="215" w:lineRule="exact"/>
        <w:rPr>
          <w:rFonts w:ascii="Arial" w:cs="Arial" w:eastAsia="Arial" w:hAnsi="Arial"/>
          <w:sz w:val="18"/>
          <w:szCs w:val="18"/>
          <w:b w:val="1"/>
          <w:bCs w:val="1"/>
          <w:color w:val="auto"/>
        </w:rPr>
      </w:pPr>
    </w:p>
    <w:p>
      <w:pPr>
        <w:ind w:right="20" w:firstLine="656"/>
        <w:spacing w:after="0" w:line="312" w:lineRule="auto"/>
        <w:tabs>
          <w:tab w:leader="none" w:pos="1426"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any number of counterparts, which together shall be effective as if they were a</w:t>
      </w:r>
      <w:r>
        <w:rPr>
          <w:rFonts w:ascii="Arial" w:cs="Arial" w:eastAsia="Arial" w:hAnsi="Arial"/>
          <w:sz w:val="17"/>
          <w:szCs w:val="17"/>
          <w:b w:val="1"/>
          <w:bCs w:val="1"/>
          <w:color w:val="auto"/>
        </w:rPr>
        <w:t xml:space="preserve"> </w:t>
      </w:r>
      <w:r>
        <w:rPr>
          <w:rFonts w:ascii="Arial" w:cs="Arial" w:eastAsia="Arial" w:hAnsi="Arial"/>
          <w:sz w:val="17"/>
          <w:szCs w:val="17"/>
          <w:color w:val="auto"/>
        </w:rPr>
        <w:t>single document. Signatures on the Agreement transmitted by email or facsimile copy shall have the same force and effect as original signatures.</w:t>
      </w:r>
    </w:p>
    <w:p>
      <w:pPr>
        <w:spacing w:after="0" w:line="193" w:lineRule="exact"/>
        <w:rPr>
          <w:rFonts w:ascii="Arial" w:cs="Arial" w:eastAsia="Arial" w:hAnsi="Arial"/>
          <w:sz w:val="17"/>
          <w:szCs w:val="17"/>
          <w:b w:val="1"/>
          <w:bCs w:val="1"/>
          <w:color w:val="auto"/>
        </w:rPr>
      </w:pPr>
    </w:p>
    <w:p>
      <w:pPr>
        <w:jc w:val="both"/>
        <w:ind w:right="20" w:firstLine="656"/>
        <w:spacing w:after="0" w:line="266" w:lineRule="auto"/>
        <w:tabs>
          <w:tab w:leader="none" w:pos="138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Cost of Enforcement</w:t>
      </w:r>
      <w:r>
        <w:rPr>
          <w:rFonts w:ascii="Arial" w:cs="Arial" w:eastAsia="Arial" w:hAnsi="Arial"/>
          <w:sz w:val="18"/>
          <w:szCs w:val="18"/>
          <w:color w:val="auto"/>
        </w:rPr>
        <w:t>: In the event of litigation involving this Agreement, the non-prevailing party shall reimburse the prevailing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costs and expenses, including reasonable attorneys’ fees and expenses, incurred in connection with any such litigation or arbitration, including any appeal therefrom.</w:t>
      </w:r>
    </w:p>
    <w:p>
      <w:pPr>
        <w:spacing w:after="0" w:line="207"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PLEASE READ CAREFULLY. THIS SEPARATION AGREEMENT AND RELEASE INCLUDES A RELEASE OF KNOWN AND UNKNOWN CLAIMS.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500" w:type="dxa"/>
            <w:vAlign w:val="bottom"/>
          </w:tcPr>
          <w:p>
            <w:pPr>
              <w:ind w:left="1440"/>
              <w:spacing w:after="0"/>
              <w:rPr>
                <w:sz w:val="20"/>
                <w:szCs w:val="20"/>
                <w:color w:val="auto"/>
              </w:rPr>
            </w:pPr>
            <w:r>
              <w:rPr>
                <w:rFonts w:ascii="Arial" w:cs="Arial" w:eastAsia="Arial" w:hAnsi="Arial"/>
                <w:sz w:val="18"/>
                <w:szCs w:val="18"/>
                <w:b w:val="1"/>
                <w:bCs w:val="1"/>
                <w:color w:val="auto"/>
              </w:rPr>
              <w:t>EMPLOYEE</w:t>
            </w:r>
          </w:p>
        </w:tc>
        <w:tc>
          <w:tcPr>
            <w:tcW w:w="1120" w:type="dxa"/>
            <w:vAlign w:val="bottom"/>
          </w:tcPr>
          <w:p>
            <w:pPr>
              <w:spacing w:after="0"/>
              <w:rPr>
                <w:sz w:val="20"/>
                <w:szCs w:val="20"/>
                <w:color w:val="auto"/>
              </w:rPr>
            </w:pPr>
          </w:p>
        </w:tc>
        <w:tc>
          <w:tcPr>
            <w:tcW w:w="5040" w:type="dxa"/>
            <w:vAlign w:val="bottom"/>
          </w:tcPr>
          <w:p>
            <w:pPr>
              <w:ind w:left="1400"/>
              <w:spacing w:after="0"/>
              <w:rPr>
                <w:sz w:val="20"/>
                <w:szCs w:val="20"/>
                <w:color w:val="auto"/>
              </w:rPr>
            </w:pPr>
            <w:r>
              <w:rPr>
                <w:rFonts w:ascii="Arial" w:cs="Arial" w:eastAsia="Arial" w:hAnsi="Arial"/>
                <w:sz w:val="18"/>
                <w:szCs w:val="18"/>
                <w:b w:val="1"/>
                <w:bCs w:val="1"/>
                <w:color w:val="auto"/>
              </w:rPr>
              <w:t>ADMA Biologics, Inc.</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Mond</w:t>
            </w:r>
          </w:p>
        </w:tc>
        <w:tc>
          <w:tcPr>
            <w:tcW w:w="1120" w:type="dxa"/>
            <w:vAlign w:val="bottom"/>
          </w:tcPr>
          <w:p>
            <w:pPr>
              <w:ind w:left="5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Grossman</w:t>
            </w:r>
          </w:p>
        </w:tc>
      </w:tr>
      <w:tr>
        <w:trPr>
          <w:trHeight w:val="453"/>
        </w:trPr>
        <w:tc>
          <w:tcPr>
            <w:tcW w:w="5080" w:type="dxa"/>
            <w:vAlign w:val="bottom"/>
            <w:gridSpan w:val="2"/>
          </w:tcPr>
          <w:p>
            <w:pPr>
              <w:spacing w:after="0"/>
              <w:rPr>
                <w:sz w:val="20"/>
                <w:szCs w:val="20"/>
                <w:color w:val="auto"/>
              </w:rPr>
            </w:pPr>
            <w:r>
              <w:rPr>
                <w:rFonts w:ascii="Arial" w:cs="Arial" w:eastAsia="Arial" w:hAnsi="Arial"/>
                <w:sz w:val="18"/>
                <w:szCs w:val="18"/>
                <w:color w:val="auto"/>
              </w:rPr>
              <w:t>Name: James Mond</w:t>
            </w:r>
          </w:p>
        </w:tc>
        <w:tc>
          <w:tcPr>
            <w:tcW w:w="6160" w:type="dxa"/>
            <w:vAlign w:val="bottom"/>
            <w:gridSpan w:val="2"/>
          </w:tcPr>
          <w:p>
            <w:pPr>
              <w:ind w:left="560"/>
              <w:spacing w:after="0"/>
              <w:rPr>
                <w:sz w:val="20"/>
                <w:szCs w:val="20"/>
                <w:color w:val="auto"/>
              </w:rPr>
            </w:pPr>
            <w:r>
              <w:rPr>
                <w:rFonts w:ascii="Arial" w:cs="Arial" w:eastAsia="Arial" w:hAnsi="Arial"/>
                <w:sz w:val="18"/>
                <w:szCs w:val="18"/>
                <w:color w:val="auto"/>
              </w:rPr>
              <w:t>Name: Adam Grossman</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Borders>
              <w:top w:val="single" w:sz="8" w:color="auto"/>
              <w:bottom w:val="single" w:sz="8" w:color="auto"/>
            </w:tcBorders>
          </w:tcPr>
          <w:p>
            <w:pPr>
              <w:spacing w:after="0"/>
              <w:rPr>
                <w:sz w:val="24"/>
                <w:szCs w:val="24"/>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Title:</w:t>
            </w:r>
          </w:p>
        </w:tc>
        <w:tc>
          <w:tcPr>
            <w:tcW w:w="5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r>
        <w:trPr>
          <w:trHeight w:val="45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4, 2021</w:t>
            </w:r>
          </w:p>
        </w:tc>
        <w:tc>
          <w:tcPr>
            <w:tcW w:w="1120" w:type="dxa"/>
            <w:vAlign w:val="bottom"/>
          </w:tcPr>
          <w:p>
            <w:pPr>
              <w:ind w:left="560"/>
              <w:spacing w:after="0"/>
              <w:rPr>
                <w:sz w:val="20"/>
                <w:szCs w:val="20"/>
                <w:color w:val="auto"/>
              </w:rPr>
            </w:pPr>
            <w:r>
              <w:rPr>
                <w:rFonts w:ascii="Arial" w:cs="Arial" w:eastAsia="Arial" w:hAnsi="Arial"/>
                <w:sz w:val="18"/>
                <w:szCs w:val="18"/>
                <w:color w:val="auto"/>
              </w:rPr>
              <w:t>Date: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6, 2021</w:t>
            </w:r>
          </w:p>
        </w:tc>
      </w:tr>
      <w:tr>
        <w:trPr>
          <w:trHeight w:val="650"/>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120" w:type="dxa"/>
            <w:vAlign w:val="bottom"/>
          </w:tcPr>
          <w:p>
            <w:pPr>
              <w:ind w:left="480"/>
              <w:spacing w:after="0"/>
              <w:rPr>
                <w:sz w:val="20"/>
                <w:szCs w:val="20"/>
                <w:color w:val="auto"/>
              </w:rPr>
            </w:pPr>
            <w:r>
              <w:rPr>
                <w:rFonts w:ascii="Arial" w:cs="Arial" w:eastAsia="Arial" w:hAnsi="Arial"/>
                <w:sz w:val="14"/>
                <w:szCs w:val="14"/>
                <w:color w:val="auto"/>
              </w:rPr>
              <w:t>10</w:t>
            </w:r>
          </w:p>
        </w:tc>
        <w:tc>
          <w:tcPr>
            <w:tcW w:w="5040" w:type="dxa"/>
            <w:vAlign w:val="bottom"/>
          </w:tcPr>
          <w:p>
            <w:pPr>
              <w:spacing w:after="0"/>
              <w:rPr>
                <w:sz w:val="24"/>
                <w:szCs w:val="24"/>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45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4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Adam S. Grossman, certify that:</w:t>
      </w:r>
    </w:p>
    <w:p>
      <w:pPr>
        <w:spacing w:after="0" w:line="24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Date: August 11, 2021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202"/>
        </w:trPr>
        <w:tc>
          <w:tcPr>
            <w:tcW w:w="3640" w:type="dxa"/>
            <w:vAlign w:val="bottom"/>
          </w:tcPr>
          <w:p>
            <w:pPr>
              <w:spacing w:after="0"/>
              <w:rPr>
                <w:sz w:val="17"/>
                <w:szCs w:val="17"/>
                <w:color w:val="auto"/>
              </w:rPr>
            </w:pPr>
          </w:p>
        </w:tc>
        <w:tc>
          <w:tcPr>
            <w:tcW w:w="256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Adam S. Grossman</w:t>
            </w:r>
          </w:p>
        </w:tc>
      </w:tr>
      <w:tr>
        <w:trPr>
          <w:trHeight w:val="216"/>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1"/>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Brian Lenz, certify that:</w:t>
      </w:r>
    </w:p>
    <w:p>
      <w:pPr>
        <w:spacing w:after="0" w:line="24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140" w:hanging="322"/>
        <w:spacing w:after="0" w:line="342" w:lineRule="auto"/>
        <w:tabs>
          <w:tab w:leader="none" w:pos="11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140" w:hanging="322"/>
        <w:spacing w:after="0" w:line="263"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Date: August 11, 2021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202"/>
        </w:trPr>
        <w:tc>
          <w:tcPr>
            <w:tcW w:w="3640" w:type="dxa"/>
            <w:vAlign w:val="bottom"/>
          </w:tcPr>
          <w:p>
            <w:pPr>
              <w:spacing w:after="0"/>
              <w:rPr>
                <w:sz w:val="17"/>
                <w:szCs w:val="17"/>
                <w:color w:val="auto"/>
              </w:rPr>
            </w:pPr>
          </w:p>
        </w:tc>
        <w:tc>
          <w:tcPr>
            <w:tcW w:w="256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Brian Lenz</w:t>
            </w:r>
          </w:p>
        </w:tc>
      </w:tr>
      <w:tr>
        <w:trPr>
          <w:trHeight w:val="216"/>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01"/>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In connection with the Quarterly Report of ADMA Biologics, Inc., a Delaware corporation (the “Company”), on Form 10-Q for the quarter ended June 30, 2021,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20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Date: August 11, 2021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202"/>
        </w:trPr>
        <w:tc>
          <w:tcPr>
            <w:tcW w:w="3640" w:type="dxa"/>
            <w:vAlign w:val="bottom"/>
          </w:tcPr>
          <w:p>
            <w:pPr>
              <w:spacing w:after="0"/>
              <w:rPr>
                <w:sz w:val="17"/>
                <w:szCs w:val="17"/>
                <w:color w:val="auto"/>
              </w:rPr>
            </w:pPr>
          </w:p>
        </w:tc>
        <w:tc>
          <w:tcPr>
            <w:tcW w:w="256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Adam S. Grossman</w:t>
            </w:r>
          </w:p>
        </w:tc>
      </w:tr>
      <w:tr>
        <w:trPr>
          <w:trHeight w:val="216"/>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1"/>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 connection with the Quarterly Report of ADMA Biologics, Inc., a Delaware corporation (the “Company”), on Form 10-Q for the quarter ended June 30, 2021,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219"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Date: August 11, 2021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202"/>
        </w:trPr>
        <w:tc>
          <w:tcPr>
            <w:tcW w:w="3640" w:type="dxa"/>
            <w:vAlign w:val="bottom"/>
          </w:tcPr>
          <w:p>
            <w:pPr>
              <w:spacing w:after="0"/>
              <w:rPr>
                <w:sz w:val="17"/>
                <w:szCs w:val="17"/>
                <w:color w:val="auto"/>
              </w:rPr>
            </w:pPr>
          </w:p>
        </w:tc>
        <w:tc>
          <w:tcPr>
            <w:tcW w:w="256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Brian Lenz</w:t>
            </w:r>
          </w:p>
        </w:tc>
      </w:tr>
      <w:tr>
        <w:trPr>
          <w:trHeight w:val="216"/>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01"/>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2"/>
    </w:lvl>
  </w:abstractNum>
  <w:abstractNum w:abstractNumId="6">
    <w:nsid w:val="836C40E"/>
    <w:multiLevelType w:val="hybridMultilevel"/>
    <w:lvl w:ilvl="0">
      <w:lvlJc w:val="left"/>
      <w:lvlText w:val="%1."/>
      <w:numFmt w:val="decimal"/>
      <w:start w:val="4"/>
    </w:lvl>
  </w:abstractNum>
  <w:abstractNum w:abstractNumId="7">
    <w:nsid w:val="2901D82"/>
    <w:multiLevelType w:val="hybridMultilevel"/>
    <w:lvl w:ilvl="0">
      <w:lvlJc w:val="left"/>
      <w:lvlText w:val="(%1)"/>
      <w:numFmt w:val="lowerRoman"/>
      <w:start w:val="2"/>
    </w:lvl>
  </w:abstractNum>
  <w:abstractNum w:abstractNumId="8">
    <w:nsid w:val="3A95F874"/>
    <w:multiLevelType w:val="hybridMultilevel"/>
    <w:lvl w:ilvl="0">
      <w:lvlJc w:val="left"/>
      <w:lvlText w:val="%1."/>
      <w:numFmt w:val="decimal"/>
      <w:start w:val="8"/>
    </w:lvl>
  </w:abstractNum>
  <w:abstractNum w:abstractNumId="9">
    <w:nsid w:val="8138641"/>
    <w:multiLevelType w:val="hybridMultilevel"/>
    <w:lvl w:ilvl="0">
      <w:lvlJc w:val="left"/>
      <w:lvlText w:val="%1."/>
      <w:numFmt w:val="decimal"/>
      <w:start w:val="9"/>
    </w:lvl>
  </w:abstractNum>
  <w:abstractNum w:abstractNumId="10">
    <w:nsid w:val="1E7FF521"/>
    <w:multiLevelType w:val="hybridMultilevel"/>
    <w:lvl w:ilvl="0">
      <w:lvlJc w:val="left"/>
      <w:lvlText w:val="(%1)"/>
      <w:numFmt w:val="lowerRoman"/>
      <w:start w:val="5"/>
    </w:lvl>
  </w:abstractNum>
  <w:abstractNum w:abstractNumId="11">
    <w:nsid w:val="7C3DBD3D"/>
    <w:multiLevelType w:val="hybridMultilevel"/>
    <w:lvl w:ilvl="0">
      <w:lvlJc w:val="left"/>
      <w:lvlText w:val="%1."/>
      <w:numFmt w:val="decimal"/>
      <w:start w:val="10"/>
    </w:lvl>
  </w:abstractNum>
  <w:abstractNum w:abstractNumId="12">
    <w:nsid w:val="737B8DDC"/>
    <w:multiLevelType w:val="hybridMultilevel"/>
    <w:lvl w:ilvl="0">
      <w:lvlJc w:val="left"/>
      <w:lvlText w:val="%1."/>
      <w:numFmt w:val="decimal"/>
      <w:start w:val="11"/>
    </w:lvl>
  </w:abstractNum>
  <w:abstractNum w:abstractNumId="13">
    <w:nsid w:val="6CEAF087"/>
    <w:multiLevelType w:val="hybridMultilevel"/>
    <w:lvl w:ilvl="0">
      <w:lvlJc w:val="left"/>
      <w:lvlText w:val="%1."/>
      <w:numFmt w:val="decimal"/>
      <w:start w:val="12"/>
    </w:lvl>
  </w:abstractNum>
  <w:abstractNum w:abstractNumId="14">
    <w:nsid w:val="22221A70"/>
    <w:multiLevelType w:val="hybridMultilevel"/>
    <w:lvl w:ilvl="0">
      <w:lvlJc w:val="left"/>
      <w:lvlText w:val="(%1)"/>
      <w:numFmt w:val="lowerRoman"/>
      <w:start w:val="2"/>
    </w:lvl>
  </w:abstractNum>
  <w:abstractNum w:abstractNumId="15">
    <w:nsid w:val="4516DDE9"/>
    <w:multiLevelType w:val="hybridMultilevel"/>
    <w:lvl w:ilvl="0">
      <w:lvlJc w:val="left"/>
      <w:lvlText w:val="(%1)"/>
      <w:numFmt w:val="upperLetter"/>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5"/>
    </w:lvl>
  </w:abstractNum>
  <w:abstractNum w:abstractNumId="34">
    <w:nsid w:val="6A2342EC"/>
    <w:multiLevelType w:val="hybridMultilevel"/>
    <w:lvl w:ilvl="0">
      <w:lvlJc w:val="left"/>
      <w:lvlText w:val="%1."/>
      <w:numFmt w:val="decimal"/>
      <w:start w:val="3"/>
    </w:lvl>
  </w:abstractNum>
  <w:abstractNum w:abstractNumId="35">
    <w:nsid w:val="2A487CB0"/>
    <w:multiLevelType w:val="hybridMultilevel"/>
    <w:lvl w:ilvl="0">
      <w:lvlJc w:val="left"/>
      <w:lvlText w:val="%1."/>
      <w:numFmt w:val="decimal"/>
      <w:start w:val="7"/>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decimal"/>
      <w:start w:val="8"/>
    </w:lvl>
  </w:abstractNum>
  <w:abstractNum w:abstractNumId="38">
    <w:nsid w:val="2CD89A32"/>
    <w:multiLevelType w:val="hybridMultilevel"/>
    <w:lvl w:ilvl="0">
      <w:lvlJc w:val="left"/>
      <w:lvlText w:val="%1."/>
      <w:numFmt w:val="decimal"/>
      <w:start w:val="9"/>
    </w:lvl>
  </w:abstractNum>
  <w:abstractNum w:abstractNumId="39">
    <w:nsid w:val="57E4CCAF"/>
    <w:multiLevelType w:val="hybridMultilevel"/>
    <w:lvl w:ilvl="0">
      <w:lvlJc w:val="left"/>
      <w:lvlText w:val="(%1)"/>
      <w:numFmt w:val="lowerLetter"/>
      <w:start w:val="2"/>
    </w:lvl>
  </w:abstractNum>
  <w:abstractNum w:abstractNumId="40">
    <w:nsid w:val="7A6D8D3C"/>
    <w:multiLevelType w:val="hybridMultilevel"/>
    <w:lvl w:ilvl="0">
      <w:lvlJc w:val="left"/>
      <w:lvlText w:val="(%1)"/>
      <w:numFmt w:val="lowerLetter"/>
      <w:start w:val="3"/>
    </w:lvl>
  </w:abstractNum>
  <w:abstractNum w:abstractNumId="41">
    <w:nsid w:val="4B588F54"/>
    <w:multiLevelType w:val="hybridMultilevel"/>
    <w:lvl w:ilvl="0">
      <w:lvlJc w:val="left"/>
      <w:lvlText w:val="%1."/>
      <w:numFmt w:val="decimal"/>
      <w:start w:val="10"/>
    </w:lvl>
  </w:abstractNum>
  <w:abstractNum w:abstractNumId="42">
    <w:nsid w:val="542289EC"/>
    <w:multiLevelType w:val="hybridMultilevel"/>
    <w:lvl w:ilvl="0">
      <w:lvlJc w:val="left"/>
      <w:lvlText w:val="%1."/>
      <w:numFmt w:val="decimal"/>
      <w:start w:val="11"/>
    </w:lvl>
  </w:abstractNum>
  <w:abstractNum w:abstractNumId="43">
    <w:nsid w:val="6DE91B18"/>
    <w:multiLevelType w:val="hybridMultilevel"/>
    <w:lvl w:ilvl="0">
      <w:lvlJc w:val="left"/>
      <w:lvlText w:val="%1."/>
      <w:numFmt w:val="decimal"/>
      <w:start w:val="14"/>
    </w:lvl>
  </w:abstractNum>
  <w:abstractNum w:abstractNumId="44">
    <w:nsid w:val="38437FDB"/>
    <w:multiLevelType w:val="hybridMultilevel"/>
    <w:lvl w:ilvl="0">
      <w:lvlJc w:val="left"/>
      <w:lvlText w:val="%1."/>
      <w:numFmt w:val="decimal"/>
      <w:start w:val="18"/>
    </w:lvl>
  </w:abstractNum>
  <w:abstractNum w:abstractNumId="45">
    <w:nsid w:val="7644A45C"/>
    <w:multiLevelType w:val="hybridMultilevel"/>
    <w:lvl w:ilvl="0">
      <w:lvlJc w:val="left"/>
      <w:lvlText w:val="%1."/>
      <w:numFmt w:val="decimal"/>
      <w:start w:val="25"/>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84" Type="http://schemas.openxmlformats.org/officeDocument/2006/relationships/hyperlink" Target="https://www.sec.gov/Archives/edgar/data/1368514/000119380521000749/e620651_ex3-1.htm" TargetMode="External"/><Relationship Id="rId85" Type="http://schemas.openxmlformats.org/officeDocument/2006/relationships/hyperlink" Target="https://www.sec.gov/Archives/edgar/data/1368514/000119380521000751/e620652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2021-08-11T16:52:00Z</dcterms:created>
  <dcterms:modified xsi:type="dcterms:W3CDTF">2021-08-11T16:52:00Z</dcterms:modified>
</cp:coreProperties>
</file>