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660" w:right="1920" w:hanging="652"/>
        <w:spacing w:after="0" w:line="258"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right="1900" w:hanging="652"/>
        <w:spacing w:after="0" w:line="25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Delaware</w:t>
            </w:r>
          </w:p>
        </w:tc>
        <w:tc>
          <w:tcPr>
            <w:tcW w:w="3720" w:type="dxa"/>
            <w:vAlign w:val="bottom"/>
            <w:gridSpan w:val="5"/>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Arial" w:cs="Arial" w:eastAsia="Arial" w:hAnsi="Arial"/>
                <w:sz w:val="18"/>
                <w:szCs w:val="18"/>
                <w:color w:val="auto"/>
                <w:w w:val="88"/>
              </w:rPr>
              <w:t>465 State Route 17, Ramsey, New Jersey</w:t>
            </w:r>
          </w:p>
        </w:tc>
        <w:tc>
          <w:tcPr>
            <w:tcW w:w="2840" w:type="dxa"/>
            <w:vAlign w:val="bottom"/>
            <w:gridSpan w:val="4"/>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(201) 478-5552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Preferred Share Purchase Right</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5, 2021, there were 195,813,817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rPr>
              <w:t>ADMA BIOLOGICS, INC. AND SUBSIDIARIES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6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2021 (Unaudited) and December 31, 2020</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540" w:type="dxa"/>
            <w:vAlign w:val="bottom"/>
            <w:gridSpan w:val="19"/>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Operations (Unaudited) for the Three and Nine Months Ended September 30, 2021 and</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CCEEFF"/>
            </w:tcBorders>
            <w:shd w:val="clear" w:color="auto" w:fill="CCEEFF"/>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160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3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540" w:type="dxa"/>
            <w:vAlign w:val="bottom"/>
            <w:gridSpan w:val="19"/>
            <w:shd w:val="clear" w:color="auto" w:fill="CCEEFF"/>
          </w:tcPr>
          <w:p>
            <w:pPr>
              <w:spacing w:after="0" w:line="17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Changes in Stockholders’ Equity (Unaudited) for the Three and Nine Months Ended</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2021 and 2020</w:t>
              </w:r>
            </w:hyperlink>
          </w:p>
        </w:tc>
        <w:tc>
          <w:tcPr>
            <w:tcW w:w="60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540" w:type="dxa"/>
            <w:vAlign w:val="bottom"/>
            <w:gridSpan w:val="19"/>
            <w:shd w:val="clear" w:color="auto" w:fill="CCEEFF"/>
          </w:tcPr>
          <w:p>
            <w:pPr>
              <w:spacing w:after="0" w:line="17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Condensed Consolidated Statements of Cash Flows (Unaudited) for the Nine Months Ended September 30, 2021 and 2020</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8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PART II OTHER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1A.</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Defaults Upon Senior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4.</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Mine Safety Disclosures.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6.</w:t>
            </w:r>
          </w:p>
        </w:tc>
        <w:tc>
          <w:tcPr>
            <w:tcW w:w="9540" w:type="dxa"/>
            <w:vAlign w:val="bottom"/>
            <w:gridSpan w:val="1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SIGNATURES</w:t>
              </w:r>
            </w:hyperlink>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on third-party supply agreements as well as any extensions to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4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revenues, expenses, capital requirements, timing to profitability and the need for and availability of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2020 and in this Quarterly Report on Form 10-Q for the quarter ended September 30, 2021.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34,410,570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55,921,152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20,392,621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13,237,290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114,122,873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81,535,599</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5,859,046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3,046,466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174,785,110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153,740,507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48,393,723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41,593,090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1,907,607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2,444,121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6,690,943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4,259,191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3,333,514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2,106,976</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238,640,406</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207,673,394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17,282,841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11,073,708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14,410,329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501,239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365,682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32,337,243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19,947,367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94,363,008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2,011,573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2,118,698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6,915,750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4,334,151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232,665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135,860,239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119,423,968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 voting, $0.0001 par value, 300,000,000 and 150,000,000 shares authorized, 138,313,817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104,902,888 shares issued and outstanding</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13,831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498,229,637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428,704,039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(395,463,301)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(340,465,103)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102,780,167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238,640,406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207,673,394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20,644,842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10,240,650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54,452,633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28,156,571</w:t>
            </w: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License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35,708</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107,125</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107,125</w:t>
            </w: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10,276,358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54,559,758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28,263,696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80" w:type="dxa"/>
            <w:vAlign w:val="bottom"/>
          </w:tcPr>
          <w:p>
            <w:pPr>
              <w:ind w:left="180"/>
              <w:spacing w:after="0" w:line="201" w:lineRule="exact"/>
              <w:rPr>
                <w:sz w:val="20"/>
                <w:szCs w:val="20"/>
                <w:color w:val="auto"/>
              </w:rPr>
            </w:pPr>
            <w:r>
              <w:rPr>
                <w:rFonts w:ascii="Arial" w:cs="Arial" w:eastAsia="Arial" w:hAnsi="Arial"/>
                <w:sz w:val="18"/>
                <w:szCs w:val="18"/>
                <w:color w:val="auto"/>
                <w:w w:val="99"/>
              </w:rPr>
              <w:t>Cost of product revenue (exclusive of amortization expense shown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80" w:type="dxa"/>
            <w:vAlign w:val="bottom"/>
          </w:tcPr>
          <w:p>
            <w:pPr>
              <w:ind w:left="30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20,295,213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11,855,464</w:t>
            </w:r>
          </w:p>
        </w:tc>
        <w:tc>
          <w:tcPr>
            <w:tcW w:w="2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56,897,959</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42,180,319</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1,708,391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2,917,072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4,893,549</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Plasma center operating expenses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1,218,898</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8,191,890</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2,597,444</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536,514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536,514</w:t>
            </w: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10,726,797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9,115,744</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31,198,880</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25,750,458</w:t>
            </w: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35,117,626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24,077,335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99,742,315</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75,958,284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(14,437,076)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(13,800,977)</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(45,182,557)</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(47,694,588)</w:t>
            </w:r>
          </w:p>
        </w:tc>
      </w:tr>
      <w:tr>
        <w:trPr>
          <w:trHeight w:val="216"/>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32,241</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268,643</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(3,298,680)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(3,091,200)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(9,741,110)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(8,875,597)</w:t>
            </w: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(26,440)</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(106,772)</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(39,232)</w:t>
            </w: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(3,275,878)</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(3,116,476)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(9,815,641)</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(17,712,954)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(16,917,453)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(54,998,198)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(56,340,774)</w:t>
            </w:r>
          </w:p>
        </w:tc>
      </w:tr>
      <w:tr>
        <w:trPr>
          <w:trHeight w:val="209"/>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r>
      <w:tr>
        <w:trPr>
          <w:trHeight w:val="210"/>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133,770,147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87,698,258</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125,682,400</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82,627,753</w:t>
            </w:r>
          </w:p>
        </w:tc>
      </w:tr>
      <w:tr>
        <w:trPr>
          <w:trHeight w:val="21"/>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20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4"/>
          </w:tcPr>
          <w:p>
            <w:pPr>
              <w:jc w:val="right"/>
              <w:ind w:right="7"/>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0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104,902,888</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$ 428,704,039</w:t>
            </w: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(340,465,103)</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781,397</w:t>
            </w:r>
          </w:p>
        </w:tc>
        <w:tc>
          <w:tcPr>
            <w:tcW w:w="1280" w:type="dxa"/>
            <w:vAlign w:val="bottom"/>
            <w:gridSpan w:val="4"/>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781,397</w:t>
            </w:r>
          </w:p>
        </w:tc>
        <w:tc>
          <w:tcPr>
            <w:tcW w:w="0" w:type="dxa"/>
            <w:vAlign w:val="bottom"/>
          </w:tcPr>
          <w:p>
            <w:pPr>
              <w:spacing w:after="0"/>
              <w:rPr>
                <w:sz w:val="1"/>
                <w:szCs w:val="1"/>
                <w:color w:val="auto"/>
              </w:rPr>
            </w:pPr>
          </w:p>
        </w:tc>
      </w:tr>
      <w:tr>
        <w:trPr>
          <w:trHeight w:val="216"/>
        </w:trPr>
        <w:tc>
          <w:tcPr>
            <w:tcW w:w="57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3"/>
              </w:rPr>
              <w:t>Vesting of Restricted Stock Units, net of shares withheld for taxes and retired</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61,385</w:t>
            </w: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(59,317)</w:t>
            </w:r>
          </w:p>
        </w:tc>
        <w:tc>
          <w:tcPr>
            <w:tcW w:w="128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net of offering expenses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18,080,708</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1,808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41,910,707</w:t>
            </w:r>
          </w:p>
        </w:tc>
        <w:tc>
          <w:tcPr>
            <w:tcW w:w="1280" w:type="dxa"/>
            <w:vAlign w:val="bottom"/>
            <w:gridSpan w:val="4"/>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41,912,515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(18,379,941)</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(18,379,941)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0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5"/>
              </w:rPr>
              <w:t>123,044,981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12,304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471,336,826</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(358,845,044)</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112,504,086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805,189</w:t>
            </w:r>
          </w:p>
        </w:tc>
        <w:tc>
          <w:tcPr>
            <w:tcW w:w="128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805,189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net of offering expenses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8,827,045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883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17,188,677</w:t>
            </w:r>
          </w:p>
        </w:tc>
        <w:tc>
          <w:tcPr>
            <w:tcW w:w="1280" w:type="dxa"/>
            <w:vAlign w:val="bottom"/>
            <w:gridSpan w:val="4"/>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17,189,560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(18,905,303)</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(18,905,303)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5"/>
              </w:rPr>
              <w:t>131,872,026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13,187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489,330,692</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(377,750,347)</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111,593,532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6,438,276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644</w:t>
            </w: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8,212,958</w:t>
            </w:r>
          </w:p>
        </w:tc>
        <w:tc>
          <w:tcPr>
            <w:tcW w:w="128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8,213,602</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w w:val="93"/>
              </w:rPr>
              <w:t>Vesting of Restricted Stock Units, net of shares withheld for taxes and retired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(2,287)</w:t>
            </w:r>
          </w:p>
        </w:tc>
        <w:tc>
          <w:tcPr>
            <w:tcW w:w="1280" w:type="dxa"/>
            <w:vAlign w:val="bottom"/>
            <w:gridSpan w:val="4"/>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688,274</w:t>
            </w:r>
          </w:p>
        </w:tc>
        <w:tc>
          <w:tcPr>
            <w:tcW w:w="128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688,274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(17,712,954)</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(17,712,954)</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0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138,313,817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$ 498,229,637</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(395,463,301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102,780,167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740" w:type="dxa"/>
            <w:vAlign w:val="bottom"/>
            <w:gridSpan w:val="13"/>
          </w:tcPr>
          <w:p>
            <w:pPr>
              <w:ind w:left="3360"/>
              <w:spacing w:after="0"/>
              <w:rPr>
                <w:sz w:val="20"/>
                <w:szCs w:val="20"/>
                <w:color w:val="auto"/>
              </w:rPr>
            </w:pPr>
            <w:r>
              <w:rPr>
                <w:rFonts w:ascii="Arial" w:cs="Arial" w:eastAsia="Arial" w:hAnsi="Arial"/>
                <w:sz w:val="18"/>
                <w:szCs w:val="18"/>
                <w:b w:val="1"/>
                <w:bCs w:val="1"/>
                <w:color w:val="auto"/>
              </w:rPr>
              <w:t>For the Three and Nine Months Ended September 30, 2020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12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2120" w:type="dxa"/>
            <w:vAlign w:val="bottom"/>
            <w:tcBorders>
              <w:bottom w:val="single" w:sz="8" w:color="auto"/>
            </w:tcBorders>
            <w:gridSpan w:val="5"/>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4"/>
          </w:tcPr>
          <w:p>
            <w:pPr>
              <w:jc w:val="center"/>
              <w:ind w:right="18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2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9"/>
                <w:szCs w:val="19"/>
                <w:color w:val="auto"/>
              </w:rPr>
            </w:pPr>
          </w:p>
        </w:tc>
        <w:tc>
          <w:tcPr>
            <w:tcW w:w="120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5,932</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290,903,772</w:t>
            </w: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 (264,716,555)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26,193,149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676,548</w:t>
            </w: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27,025,000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2,703</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88,701,336</w:t>
            </w:r>
          </w:p>
        </w:tc>
        <w:tc>
          <w:tcPr>
            <w:tcW w:w="11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88,704,039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7,177</w:t>
            </w: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(19,245,230)</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(19,245,230)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86,345,313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8,635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380,288,833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8"/>
              </w:rPr>
              <w:t>(283,961,785)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96,335,683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715,608</w:t>
            </w:r>
          </w:p>
        </w:tc>
        <w:tc>
          <w:tcPr>
            <w:tcW w:w="11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6,255</w:t>
            </w: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(20,178,091)</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(20,178,091)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86,349,981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8,635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381,010,696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8"/>
              </w:rPr>
              <w:t>(304,139,876)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76,879,455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774,784</w:t>
            </w:r>
          </w:p>
        </w:tc>
        <w:tc>
          <w:tcPr>
            <w:tcW w:w="11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3,251,195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325</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10,638,843</w:t>
            </w:r>
          </w:p>
        </w:tc>
        <w:tc>
          <w:tcPr>
            <w:tcW w:w="11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10,639,168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(16,917,453)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(16,917,453)</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1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89,616,176</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8,962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392,424,321</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 (321,057,329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left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71,375,954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(54,998,198)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(56,340,774)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3,977,786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2,709,783</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disposal of fixed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12,478</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2,166,940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1,394,142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1,344,344</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license revenue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(107,125)</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(7,155,331)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(2,864,617)</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(32,587,272)</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(16,687,794)</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(2,812,580)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(1,252,828)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(813,415)</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(74,335)</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6,209,132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(1,194,820)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5,526,220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2,617,472</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(112,246)</w:t>
            </w:r>
          </w:p>
        </w:tc>
      </w:tr>
      <w:tr>
        <w:trPr>
          <w:trHeight w:val="27"/>
        </w:trPr>
        <w:tc>
          <w:tcPr>
            <w:tcW w:w="8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(78,903,750)</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(69,783,522)</w:t>
            </w:r>
          </w:p>
        </w:tc>
      </w:tr>
      <w:tr>
        <w:trPr>
          <w:trHeight w:val="216"/>
        </w:trPr>
        <w:tc>
          <w:tcPr>
            <w:tcW w:w="8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(9,835,404)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(9,128,359)</w:t>
            </w: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Proceeds from the sale of property and equipment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(9,835,404)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(9,126,359)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net of offering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67,315,677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99,343,207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Taxes paid on vested Restricted Stock Units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(61,598)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(25,507)</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(23,848)</w:t>
            </w: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67,228,572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111,832,791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(21,510,582)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32,922,910</w:t>
            </w: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55,921,152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26,752,135</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34,410,570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59,675,045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6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nine plasma collection facilities in various stages of approval and development located throughout the U.S., three of which hold an approved license with the U.S. Food and Drug Administration (the “FDA”).</w:t>
      </w:r>
    </w:p>
    <w:p>
      <w:pPr>
        <w:spacing w:after="0" w:line="178" w:lineRule="exact"/>
        <w:rPr>
          <w:sz w:val="20"/>
          <w:szCs w:val="20"/>
          <w:color w:val="auto"/>
        </w:rPr>
      </w:pPr>
    </w:p>
    <w:p>
      <w:pPr>
        <w:ind w:right="2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As of September 30, 2021, the Company had working capital of $142.4 million, including $34.4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including the proceeds received from the underwritten public offering completed by the Company on October 25, 2021 (see Note 14), will be sufficient to fund ADMA’s operations, as currently conducted, through the first half of 2022. In order to have sufficient cash to fund its operations thereafter, the Company anticipates it will need to raise additional capital during the second half of 2022, which includes the Company’s plans to refinance and expand upon its existing debt facility. The Company believes that a debt refinancing and expansion of its current debt facility, combined with the proceeds received from the foregoing public offering further discussed in Note 14, will be sufficient to fund its operations into the first quarter of 2024, at which time the Company believes its operations will be cash flow positive. The Company is also evaluating a variety of strategic and financing alternatives and has engaged Morgan Stanley as a financial advisor in connection with certain of those strategic alternatives. There can be no assurances that the Company will be able to successfully refinance or expand its existing debt to obtain additional non-dilutive financing.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or potentially longer, requiring substantial investments in raw material plasma and other manufacturing materials. The Company currently has no firm commitments for additional financing, including for refinancing or expanding the Company’s debt,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Due to numerous risks and uncertainties associated with FDA review, inspections and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10),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September 30, 2021 of $395.5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nine months ended September 30, 2021, the Company raised $67.3 million from the sale of its common stock (see Note 8). On October 25, 2021, the Company completed an underwritten public offering which raised an additional $53.9 million from the sale of its common stock (see Note</w:t>
      </w:r>
    </w:p>
    <w:p>
      <w:pPr>
        <w:ind w:right="100"/>
        <w:spacing w:after="0" w:line="295" w:lineRule="auto"/>
        <w:rPr>
          <w:sz w:val="20"/>
          <w:szCs w:val="20"/>
          <w:color w:val="auto"/>
        </w:rPr>
      </w:pPr>
      <w:r>
        <w:rPr>
          <w:rFonts w:ascii="Arial" w:cs="Arial" w:eastAsia="Arial" w:hAnsi="Arial"/>
          <w:sz w:val="16"/>
          <w:szCs w:val="16"/>
          <w:color w:val="auto"/>
        </w:rPr>
        <w:t>14).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6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2020 included in the Company’s Annual Report on Form 10-K filed with the U.S. Securities and Exchange Commission (the “SEC”) on March 25, 2021. The accompanying consolidated balance sheet as of December 31, 2020 was derived from the audited financial statements as of and for the year ended December 31, 2020.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September 30, 2021 and its results of operations, changes in equity and cash flows for the three and nine months ended September 30, 2021.</w:t>
      </w:r>
    </w:p>
    <w:p>
      <w:pPr>
        <w:spacing w:after="0" w:line="18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the three and nine months ended September 30, 2021 and 2020,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Accounts receivable is reported at realizable value, net of allowances for contractual credits and doubtful accounts in the amount of $0.2 million and $0.1 million at September 30, 2021 and December 31, 2020, respectively, which are recognized in the period the related revenue is recorded. </w:t>
      </w:r>
      <w:r>
        <w:rPr>
          <w:rFonts w:ascii="Arial" w:cs="Arial" w:eastAsia="Arial" w:hAnsi="Arial"/>
          <w:sz w:val="17"/>
          <w:szCs w:val="17"/>
          <w:color w:val="212529"/>
        </w:rPr>
        <w:t>The</w:t>
      </w:r>
      <w:r>
        <w:rPr>
          <w:rFonts w:ascii="Arial" w:cs="Arial" w:eastAsia="Arial" w:hAnsi="Arial"/>
          <w:sz w:val="17"/>
          <w:szCs w:val="17"/>
          <w:color w:val="auto"/>
        </w:rPr>
        <w:t xml:space="preserve"> </w:t>
      </w:r>
      <w:r>
        <w:rPr>
          <w:rFonts w:ascii="Arial" w:cs="Arial" w:eastAsia="Arial" w:hAnsi="Arial"/>
          <w:sz w:val="17"/>
          <w:szCs w:val="17"/>
          <w:color w:val="212529"/>
        </w:rPr>
        <w:t xml:space="preserve">Company extends credit to its customers based upon an evaluation of each customer’s financial condition and credit history. Evaluations of the financial condition and associated credit risk of customers are performed on an ongoing basis. </w:t>
      </w:r>
      <w:r>
        <w:rPr>
          <w:rFonts w:ascii="Arial" w:cs="Arial" w:eastAsia="Arial" w:hAnsi="Arial"/>
          <w:sz w:val="17"/>
          <w:szCs w:val="17"/>
          <w:color w:val="000000"/>
        </w:rPr>
        <w:t>Based on these evaluations, the Company has concluded that its credit</w:t>
      </w:r>
      <w:r>
        <w:rPr>
          <w:rFonts w:ascii="Arial" w:cs="Arial" w:eastAsia="Arial" w:hAnsi="Arial"/>
          <w:sz w:val="17"/>
          <w:szCs w:val="17"/>
          <w:color w:val="212529"/>
        </w:rPr>
        <w:t xml:space="preserve"> </w:t>
      </w:r>
      <w:r>
        <w:rPr>
          <w:rFonts w:ascii="Arial" w:cs="Arial" w:eastAsia="Arial" w:hAnsi="Arial"/>
          <w:sz w:val="17"/>
          <w:szCs w:val="17"/>
          <w:color w:val="000000"/>
        </w:rPr>
        <w:t>risk is minimal. At September 30, 2021, six customers accounted for an aggregate of 94% of the Company’s total accounts receivable, and at December 31, 2020, three customers accounted for approximately 92% of the Company’s total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92" w:lineRule="exact"/>
        <w:rPr>
          <w:sz w:val="20"/>
          <w:szCs w:val="20"/>
          <w:color w:val="auto"/>
        </w:rPr>
      </w:pPr>
    </w:p>
    <w:p>
      <w:pPr>
        <w:ind w:right="60"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ectPr>
          <w:pgSz w:w="11900" w:h="16838" w:orient="portrait"/>
          <w:cols w:equalWidth="0" w:num="1">
            <w:col w:w="11220"/>
          </w:cols>
          <w:pgMar w:left="320" w:top="122" w:right="3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September 30, 2021 and December 31, 2020 was $3.5 million. All of the Company’s goodwill is attributable to its ADMA BioManufacturing business segment and is related to the 2017 Biotest Transaction.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2021 did not result in a goodwill impairment charge, and the Company did not record any impairment charges related to goodwill for the three and nine months ended September 30, 2021 and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nine months ended September 30, 2021 and 2020,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Revenues for the three and nine months ended September 30, 2021 and 2020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the nine months ended September 30, 2021, four customers represented an aggregate of 74% of the Company’s consolidated revenues. For the nine months ended September 30, 2020, three customers represented an aggregate of 82% of the Company’s consolidated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nine months ended September 30, 2021 and 2020, the following securities were excluded from the calculation of diluted loss per common share because of their anti-dilutive effects: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color w:val="auto"/>
                <w:w w:val="92"/>
              </w:rPr>
              <w:t>For the Nine Months Ended September 30,</w:t>
            </w:r>
          </w:p>
        </w:tc>
      </w:tr>
      <w:tr>
        <w:trPr>
          <w:trHeight w:val="223"/>
        </w:trPr>
        <w:tc>
          <w:tcPr>
            <w:tcW w:w="78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7,831,622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6,938,351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4,469,133</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331,000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2,138,160</w:t>
            </w:r>
          </w:p>
        </w:tc>
      </w:tr>
      <w:tr>
        <w:trPr>
          <w:trHeight w:val="27"/>
        </w:trPr>
        <w:tc>
          <w:tcPr>
            <w:tcW w:w="7860" w:type="dxa"/>
            <w:vAlign w:val="bottom"/>
            <w:shd w:val="clear" w:color="auto" w:fill="CCEEFF"/>
          </w:tcPr>
          <w:p>
            <w:pPr>
              <w:spacing w:after="0"/>
              <w:rPr>
                <w:sz w:val="2"/>
                <w:szCs w:val="2"/>
                <w:color w:val="auto"/>
              </w:rPr>
            </w:pPr>
          </w:p>
        </w:tc>
        <w:tc>
          <w:tcPr>
            <w:tcW w:w="15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8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16,828,915</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9,407,511</w:t>
            </w:r>
          </w:p>
        </w:tc>
      </w:tr>
      <w:tr>
        <w:trPr>
          <w:trHeight w:val="21"/>
        </w:trPr>
        <w:tc>
          <w:tcPr>
            <w:tcW w:w="7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2016 and for previous periods as it relates to the Company’s net operating loss carryforwards.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2021 and December 31, 2020, and during the three and nine months ended September 30, 2021 and 2020, the Company recognized no adjustments for uncertain tax positions.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2016-13 on January 1, 2020, and the adoption of this update did not have a significant impact on the Company’s consolidated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37,926,168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32,044,393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57,264,112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30,293,288</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18,932,593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19,197,918</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114,122,873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81,535,599</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September 30, 2021 and December 31, 2020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2"/>
              </w:rPr>
              <w:t>September 30, 2021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2,538,123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1,561,923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2,001,213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561,737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345,684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464,513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442,908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1,076,557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6,084,024</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4,176,417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1,907,607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6,084,024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3,639,903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2,444,121</w:t>
            </w: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was $0.2 million for the three months ended September 30, 2021 and 2020, and $0.5 million for the nine months ended September 30, 2021 and 2020. Estimated aggregate future aggregate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178,838</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2022</w:t>
            </w: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715,352</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715,352</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2024</w:t>
            </w: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298,065</w:t>
            </w:r>
          </w:p>
        </w:tc>
      </w:tr>
      <w:tr>
        <w:trPr>
          <w:trHeight w:val="377"/>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15,803,495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14,468,874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4,082,010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3,253,528</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2,039,398</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5,332,751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3,336,557</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5,272,490</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18,962,987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17,746,744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60,589,916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50,457,032</w:t>
            </w:r>
          </w:p>
        </w:tc>
      </w:tr>
      <w:tr>
        <w:trPr>
          <w:trHeight w:val="223"/>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(12,196,193)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(8,863,942)</w:t>
            </w: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48,393,723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41,593,090</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recorded depreciation expense on property and equipment for the three and nine months ended September 30, 2021 of $1.2 million and $3.4 million, respectively. Depreciation expense for the three and nine months ended September 30, 2020 was $0.9 million and $2.2 million,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at September 30, 2021 and December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distribution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1,981,281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828,120</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734,972</w:t>
            </w: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testing</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1,259,871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779,660</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2,391,630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3,210,884</w:t>
            </w: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severance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1,881,484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14,410,329</w:t>
            </w:r>
          </w:p>
        </w:tc>
        <w:tc>
          <w:tcPr>
            <w:tcW w:w="12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c>
          <w:tcPr>
            <w:tcW w:w="0" w:type="dxa"/>
            <w:vAlign w:val="bottom"/>
          </w:tcPr>
          <w:p>
            <w:pPr>
              <w:spacing w:after="0"/>
              <w:rPr>
                <w:sz w:val="1"/>
                <w:szCs w:val="1"/>
                <w:color w:val="auto"/>
              </w:rPr>
            </w:pPr>
          </w:p>
        </w:tc>
      </w:tr>
      <w:tr>
        <w:trPr>
          <w:trHeight w:val="21"/>
        </w:trPr>
        <w:tc>
          <w:tcPr>
            <w:tcW w:w="7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DEBT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9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A summary of outstanding senior notes payable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(5,636,992)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(7,031,134)</w:t>
            </w:r>
          </w:p>
        </w:tc>
        <w:tc>
          <w:tcPr>
            <w:tcW w:w="0" w:type="dxa"/>
            <w:vAlign w:val="bottom"/>
          </w:tcPr>
          <w:p>
            <w:pPr>
              <w:spacing w:after="0"/>
              <w:rPr>
                <w:sz w:val="1"/>
                <w:szCs w:val="1"/>
                <w:color w:val="auto"/>
              </w:rPr>
            </w:pP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Senior notes payable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94,363,008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92,968,866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Under the Credit Agreement and Guaranty, as amended from time to time, (the “Perceptive Credit Agreement”) with Perceptive Credit Holdings II, LP, as the lender and administrative agent (“Perceptive”), the Company has a principal balance outstanding to Perceptive in the form of senior secured notes payable to Perceptive aggregating to $100.0 million with a maturity date of March 1, 2024 (the “Maturity Date”), subject to acceleration pursuant to the Perceptive Credit Agreement, including upon an Event of Default (as defined in the Perceptive Credit Agreement). On the Maturity Date, the Company will pay Perceptive the entire outstanding principal amount and any accrued and unpaid interest thereon. Prior to the Maturity Date, there are no scheduled principal payments due under the Perceptive Credit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100" w:firstLine="8"/>
        <w:spacing w:after="0" w:line="253"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September 30, 2021 was 11.0%, and the Company paid interest to Perceptive during the nine months ended September 30, 2021 and 2020 in the amount of $8.3 million and $6.8 million,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of the Company’s obligations under the Perceptive Credit Agreement are secured by a first-priority lien and security interest in substantially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tangible and intangible assets, including intellectual property and all of the equity interests in the Company’s subsidiaries. The Perceptive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contains certain representations and warranties, affirmative covenants, negative covenants and conditions that are customarily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similar financings. The negative covenants restrict or limit the ability of the Company and its subsidiaries to, among other things and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exceptions contained in the Perceptive Credit Agreement, incur new indebtedness; create liens on assets; engage in certain fundamental corporate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mergers or acquisitions, or changes to the Company’s or its subsidiaries’ business activities; make certain Investments or Restricted Payments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defined in the Perceptive Credit Agreement); change its fiscal year; pay dividends; repay other certain indebtedness; engage in certain affiliate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or enter into, amend or terminate any other agreements that have the impact of restricting the Company’s ability to make loan repayments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Perceptive Credit Agreement. In addition, the Company must (i) at all times prior to the Maturity Date maintain a minimum cash balance of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(ii) as of the last day of each fiscal quarter commencing with the fiscal quarter ended June 30, 2019, report revenues for the trailing 12-month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that exceed the amounts set forth in the Perceptive Credit Agreement, which range from $7.0 million for the fiscal quarter ended June 30, 2019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$55.0 million for the fiscal quarter ending December 31, 2021. At September 30, 2021, the Company was in compliance with all of the covenants contained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Perceptive Credit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a result of the fees paid to Perceptive and the value of the warrants issued to Perceptive under the terms of the Perceptive Credit Agreement, the Company recognized an aggregate discount on the senior secured notes in the amount of $7.1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senior secured notes payable to Perceptive as of September 30, 2021 was approximately 13.7%.</w:t>
      </w:r>
    </w:p>
    <w:p>
      <w:pPr>
        <w:spacing w:after="0" w:line="15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September 30, 2021 and December 31, 2020, the Company was authorized to issue 300,000,000 and 150,000,000 shares, respectively, of its common stock, $0.0001 par value per share, and 138,313,817 and 104,902,888 shares of common stock were outstanding as of September 30, 2021 and December 31, 2020, respectively. On May 27, 2021, the Company’s stockholders approved an amendment to the Company’s certificate of incorporation which increased the number of shares of common stock that the Company is authorized to issue from 150,000,000 to 300,000,000. After giving effect to the 16,828,915 shares reserved for outstanding warrants and awards issued or reserved for future issuance under the Company’s equity incentive plans, as of September 30, 2021 there were 144,641,489 shares of common stock available for issuance.</w:t>
      </w:r>
    </w:p>
    <w:p>
      <w:pPr>
        <w:spacing w:after="0" w:line="16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During the nine months ended September 30, 2021, the Company issued and sold 27,805,198 shares of common stock under the 2020 Sale Agreement and received net proceeds of $60.4 million. The Sale Agreement was terminated on August 31, 2021.</w:t>
      </w:r>
    </w:p>
    <w:p>
      <w:pPr>
        <w:spacing w:after="0" w:line="19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currently intends to use any net proceeds from the sale of its common stock under the Distribution Agreement for general corporate purposes, including procurement of raw materials, source plasma, supply chain initiatives and production expenditures, funding expansion of plasma centers, working capital, capital expenditures, expansion and resources for commercialization activities, and other potential research and development and business opportunities. During the nine months ended September 30, 2021, the Company issued 5,540,831 shares of its common stock under the Distribution Agreement and received net proceeds of $6.9 million.</w:t>
      </w:r>
    </w:p>
    <w:p>
      <w:pPr>
        <w:spacing w:after="0" w:line="16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At September 30, 2021 and December 31, 2020, the Company had outstanding warrants to purchase an aggregate of 4,528,160 shares of common stock, with a weighted average exercise price of $2.82 per share and expiration dates ranging between June 2022 and December 2030.</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8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3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Expected term</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5"/>
              </w:rPr>
              <w:t>5.5 - 6.3 years</w:t>
            </w:r>
          </w:p>
        </w:tc>
        <w:tc>
          <w:tcPr>
            <w:tcW w:w="2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5"/>
              </w:rPr>
              <w:t>5.5 - 6.3 years</w:t>
            </w: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0.80-1.14%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0.33-1.68%</w:t>
            </w: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nine months ended September 30, 2021 and 2020, the Company granted options to purchase an aggregate of 1,757,050 and 1,398,412 shares of common stock, respectively, to its directors, employees and certain third-party service providers. The weighted average remaining contractual life of stock options outstanding and expected to vest at September 30, 2021 is 6.3 years. The weighted average remaining contractual life of stock options exercisable at September 30, 2021 is 5.1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(433,492)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(414,867)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1,757,050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outstanding, vested and expected to vest at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7,831,622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Pr>
          <w:p>
            <w:pPr>
              <w:jc w:val="right"/>
              <w:spacing w:after="0"/>
              <w:rPr>
                <w:sz w:val="20"/>
                <w:szCs w:val="20"/>
                <w:color w:val="auto"/>
              </w:rPr>
            </w:pPr>
            <w:r>
              <w:rPr>
                <w:rFonts w:ascii="Arial" w:cs="Arial" w:eastAsia="Arial" w:hAnsi="Arial"/>
                <w:sz w:val="18"/>
                <w:szCs w:val="18"/>
                <w:color w:val="auto"/>
              </w:rPr>
              <w:t>5,261,720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2021, the Company had $3.7 million of unrecognized compensation expense related to options granted under the Company’s equity incentive plans, which is expected to be recognized over a weighted-average period of 2.5 years.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During the nine months ended September 30, 2021 and 2020, the Company granted Restricted Stock Units (“RSUs”) representing an aggregate of 4,332,244 and 361,000 shares, respectively, to certain management employees of the Company and to members of its Board of Directors. Except for the RSUs granted under the Company’s retention incentive program discussed below, the RSUs generally vest annually over a period of four years for employees and semi-annually over a period of one year for directors. On September 28, 2021, the Company implemented a retention incentive program for the Company’s executive management and certain employees (see Note 10), whereby the Company issued an aggregate of 3,780,000 RSUs, of which 2,632,500 are time-based RSUs and 1,147,500 are milestone-based RSUs. Fifty percent of the time-based RSUs granted under the retention bonus program will vest on December 31, 2022, with the remainder vesting in quarterly installments through December 31, 2024. The milestone-based RSUs will vest upon achievement of the applicable milestone, with each milestone required to be achieved on or prior to December 31, 2022. The Company will periodically assess the probability of vesting for each milestone-based RSU and will adjust compensation expense based on its probability assessment.</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nine months ended September 30, 2021, 92,750 shares vested in connection with grants of RSUs. With respect to these vested RSUs, 27,850 shares valued at approximately $62,000 were withheld by the Company to cover employees’ tax liabilities. These shares have been retired by the Company and were no longer outstanding as of September 30, 2021. A summary of the Company’s unvested RSU activity and related information is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32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7040" w:type="dxa"/>
            <w:vAlign w:val="bottom"/>
            <w:gridSpan w:val="3"/>
          </w:tcPr>
          <w:p>
            <w:pPr>
              <w:jc w:val="right"/>
              <w:ind w:right="248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9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r>
      <w:tr>
        <w:trPr>
          <w:trHeight w:val="241"/>
        </w:trPr>
        <w:tc>
          <w:tcPr>
            <w:tcW w:w="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57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4,332,244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(92,750)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040" w:type="dxa"/>
            <w:vAlign w:val="bottom"/>
            <w:gridSpan w:val="3"/>
          </w:tcPr>
          <w:p>
            <w:pPr>
              <w:jc w:val="right"/>
              <w:ind w:right="160"/>
              <w:spacing w:after="0"/>
              <w:rPr>
                <w:sz w:val="20"/>
                <w:szCs w:val="20"/>
                <w:color w:val="auto"/>
              </w:rPr>
            </w:pPr>
            <w:r>
              <w:rPr>
                <w:rFonts w:ascii="Arial" w:cs="Arial" w:eastAsia="Arial" w:hAnsi="Arial"/>
                <w:sz w:val="18"/>
                <w:szCs w:val="18"/>
                <w:color w:val="auto"/>
              </w:rPr>
              <w:t>(96,361)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57"/>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5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4,469,133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September 30, 2021, the Company had $5.8 million of unrecognized compensation expense related to unvested RSUs granted under the Company’s equity incentive plans, which is expected to be recognized over a weighted-average period of 2.8 years.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Total stock-based compensation expense for all awards granted under the Company’s equity incentive plans for the three months and nine months ended September 30, 2021 and 2020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365,213</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8,579</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38,605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24,333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596,084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535,949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1,850,411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1,599,094</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63,646</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236,612</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178,300</w:t>
            </w: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688,274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774,784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2,274,860</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2,166,940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Rent expense for the nine months ended September 30, 2021 and 2020 amounted to $90,000.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consolidated financial statements for the nine months ended September 30, 2021 and 2020. In addition, during the nine months ended September 30, 2021 and 2020, the Company purchased certain specialized medical equipment and services related to the Company’s plasma collection centers, as well as personal protective equipment, from GenesisBPS and its affiliates (“Genesis”), in the amount of $0.1 million. Dr. Grossman and Adam Grossman each own shares of Genesis.</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7 for a discussion of the Company’s credit facility and related transactions with Perceptive, a holder of approximately 9.6% of the Company’s common stock.</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nine months ended September 30, 2021, in connection with the resignation of Dr. James Mond, the Company’s former Chief Scientific and Medical Officer, the Company recognized an expense and corresponding liability in the amount of $0.8 million for estimated payments to be made under a separation and transition agreement with Dr. Mond. Such payments are to be made in scheduled installments over a period of 10 months.</w:t>
      </w:r>
    </w:p>
    <w:p>
      <w:pPr>
        <w:spacing w:after="0" w:line="14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the February 2020 public offering of the Company’s common stock (see Note 8) on February 11, 2020: (i) Perceptive Advisors, a principal stockholder of ADMA, purchased 4,563,700 shares of common stock through one of its affiliates, (ii) Dr. Grossman purchased 22,857 shares of 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w:t>
      </w:r>
    </w:p>
    <w:p>
      <w:pPr>
        <w:spacing w:after="0" w:line="1" w:lineRule="exact"/>
        <w:rPr>
          <w:sz w:val="20"/>
          <w:szCs w:val="20"/>
          <w:color w:val="auto"/>
        </w:rPr>
      </w:pPr>
    </w:p>
    <w:p>
      <w:pPr>
        <w:ind w:right="68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Lenz, the Company’s Executive Vice President and Chief Financial Officer, purchased 7,142 shares of common stock, and (vi) Dr. Mond purchased 4,285 shares of common stock, all at the public offering price of $3.50 per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continues to monitor the ongoing developments related to the COVID-19 pandemic, including the emergence of the Delta variant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The Company is also subject to supply chain delays as a result of certain of its suppliers diverting significant resources towards the rapid development and distribution of COVID-19 vaccines and, as a result, the Company may elect to carry more raw materials inventory than it has in the past.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pandemic could also impact the Company’s ability to interact with the FDA or other regulatory authorities and may result in delays in the conduct of inspections or review of pending applications or submissions. Although the Company received several FDA approvals and an FDA inspection of the Boca Facility was completed during the first nine months of 2021, no assurances can be provided as to the timing for completion of any other regulatory submissions or applications that may be impacted by restrictions related to COVID-19.</w:t>
      </w:r>
    </w:p>
    <w:p>
      <w:pPr>
        <w:spacing w:after="0" w:line="17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and the Company has also increased its number of planned plasma collection center buildouts and is continuing to increase its plasma collection capabilities at its ADMA BioCenters plasma collection centers business segment.</w:t>
      </w:r>
    </w:p>
    <w:p>
      <w:pPr>
        <w:spacing w:after="0" w:line="1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nine months ended September 30, 2021, plasma purchases from Grifols totaled $31.2 million, or approximately 69% of the Company’s total inventory purchases. For the nine months ended September 30, 2020, plasma purchases from Grifols totaled approximately $13.8 million, representing approximately 66%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June of 2023.</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The Company has entered into employment agreements with its executive management team consisting of its President and Chief Executive Officer, its Executive Vice President and Chief Financial Officer and its former Executive Vice President, Chief Medical Officer and Chief Scientific Officer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September 28, 2021, following the approval of the Company’s Board of Directors upon recommendation of the Compensation Committee of the Board of Directors,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is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7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cash portion of the retention program consists of two tranches. The first tranche was paid to employees on September 30, 2021 in the amount of $1.3 million, and the second tranche aggregating to approximately $1.3 million will be paid on June 15, 2022. Based on the terms of the retention agreements the Company entered into with each applicable executive and employee, $0.8 million of the first tranche is being recognized over the retention service period, which ends on December 31, 2022, with the remainder having been recognized as expense on September 30, 2021. The second tranche will be recognized as compensation expense over a 15-month period from October 1, 2021 through December 31, 2022.</w:t>
      </w:r>
    </w:p>
    <w:p>
      <w:pPr>
        <w:spacing w:after="0" w:line="17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2021.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as of September 30, 2021 consists of nine plasma collection facilities in various stages of approval and development located throughout the U.S., three of which hold an approved license with the FDA.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ectPr>
          <w:pgSz w:w="11900" w:h="16838" w:orient="portrait"/>
          <w:cols w:equalWidth="0" w:num="1">
            <w:col w:w="11220"/>
          </w:cols>
          <w:pgMar w:left="320" w:top="121" w:right="359" w:bottom="1440" w:gutter="0" w:footer="0" w:header="0"/>
        </w:sect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ADMA</w:t>
            </w:r>
          </w:p>
        </w:tc>
        <w:tc>
          <w:tcPr>
            <w:tcW w:w="1600" w:type="dxa"/>
            <w:vAlign w:val="bottom"/>
            <w:tcBorders>
              <w:top w:val="single" w:sz="8" w:color="auto"/>
            </w:tcBorders>
            <w:gridSpan w:val="4"/>
          </w:tcPr>
          <w:p>
            <w:pPr>
              <w:ind w:left="80"/>
              <w:spacing w:after="0" w:line="205"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19,063,077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1,581,765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20,680,550</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1,599,430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20,295,213</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(7,456,129)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(3,163,886)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(3,817,061)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(14,437,076)</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(3,297,103)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(3,275,878)</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(7,433,307)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(7,114,164)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(17,712,954)</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1,422,164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189,019,883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22,273,264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27,347,259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238,640,406</w:t>
            </w:r>
          </w:p>
        </w:tc>
      </w:tr>
      <w:tr>
        <w:trPr>
          <w:trHeight w:val="425"/>
        </w:trPr>
        <w:tc>
          <w:tcPr>
            <w:tcW w:w="34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5"/>
              </w:rPr>
              <w:t>Three Months Ended September 30, 2020</w:t>
            </w: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ADMA</w:t>
            </w:r>
          </w:p>
        </w:tc>
        <w:tc>
          <w:tcPr>
            <w:tcW w:w="160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9,026,323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1,214,327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10,276,358</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1,229,627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11,855,464</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(9,277,702)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(3,202,814)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(13,800,977)</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(2,848,042)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(3,116,476)</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(9,545,725)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(6,050,856)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(16,917,453)</w:t>
            </w: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1,035,293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125,004,813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9,358,823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55,612,407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189,976,043</w:t>
            </w:r>
          </w:p>
        </w:tc>
      </w:tr>
      <w:tr>
        <w:trPr>
          <w:trHeight w:val="554"/>
        </w:trPr>
        <w:tc>
          <w:tcPr>
            <w:tcW w:w="3440" w:type="dxa"/>
            <w:vAlign w:val="bottom"/>
          </w:tcPr>
          <w:p>
            <w:pPr>
              <w:spacing w:after="0"/>
              <w:rPr>
                <w:sz w:val="24"/>
                <w:szCs w:val="24"/>
                <w:color w:val="auto"/>
              </w:rPr>
            </w:pPr>
          </w:p>
        </w:tc>
        <w:tc>
          <w:tcPr>
            <w:tcW w:w="2360" w:type="dxa"/>
            <w:vAlign w:val="bottom"/>
            <w:gridSpan w:val="2"/>
          </w:tcPr>
          <w:p>
            <w:pPr>
              <w:jc w:val="right"/>
              <w:ind w:right="10"/>
              <w:spacing w:after="0"/>
              <w:rPr>
                <w:sz w:val="20"/>
                <w:szCs w:val="20"/>
                <w:color w:val="auto"/>
              </w:rPr>
            </w:pPr>
            <w:r>
              <w:rPr>
                <w:rFonts w:ascii="Arial" w:cs="Arial" w:eastAsia="Arial" w:hAnsi="Arial"/>
                <w:sz w:val="14"/>
                <w:szCs w:val="14"/>
                <w:color w:val="auto"/>
              </w:rPr>
              <w:t>19</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ind w:left="120"/>
              <w:spacing w:after="0" w:line="205" w:lineRule="exact"/>
              <w:rPr>
                <w:sz w:val="20"/>
                <w:szCs w:val="20"/>
                <w:color w:val="auto"/>
              </w:rPr>
            </w:pPr>
            <w:r>
              <w:rPr>
                <w:rFonts w:ascii="Arial" w:cs="Arial" w:eastAsia="Arial" w:hAnsi="Arial"/>
                <w:sz w:val="18"/>
                <w:szCs w:val="18"/>
                <w:b w:val="1"/>
                <w:bCs w:val="1"/>
                <w:color w:val="auto"/>
              </w:rPr>
              <w:t>ADMA</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5"/>
          </w:tcPr>
          <w:p>
            <w:pPr>
              <w:spacing w:after="0" w:line="205"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6"/>
              </w:rPr>
              <w:t>BioManufacturing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Centers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48,832,000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5,620,633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54,559,758</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51,527,832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5,370,127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56,897,959</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(25,299,223)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(7,928,946)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(11,954,388)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(45,182,557)</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(9,735,808)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(9,815,641)</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(25,376,707)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(7,931,295)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(21,690,196)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(54,998,198)</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3,805,472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6,029,932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9,835,404</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3,130,064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843,151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3,977,786</w:t>
            </w:r>
          </w:p>
        </w:tc>
      </w:tr>
      <w:tr>
        <w:trPr>
          <w:trHeight w:val="425"/>
        </w:trPr>
        <w:tc>
          <w:tcPr>
            <w:tcW w:w="3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ADMA</w:t>
            </w:r>
          </w:p>
        </w:tc>
        <w:tc>
          <w:tcPr>
            <w:tcW w:w="140" w:type="dxa"/>
            <w:vAlign w:val="bottom"/>
          </w:tcPr>
          <w:p>
            <w:pPr>
              <w:spacing w:after="0"/>
              <w:rPr>
                <w:sz w:val="17"/>
                <w:szCs w:val="17"/>
                <w:color w:val="auto"/>
              </w:rPr>
            </w:pPr>
          </w:p>
        </w:tc>
        <w:tc>
          <w:tcPr>
            <w:tcW w:w="152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6"/>
              </w:rPr>
              <w:t>BioManufacturing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Centers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23,272,463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4,884,108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28,263,696</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37,314,930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4,865,389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42,180,319</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(34,606,679)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(2,696,927)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(10,390,982)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(47,694,588)</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(742,336)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(7,903,406)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(8,646,186)</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(35,349,015)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(2,697,371)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(18,294,388)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(56,340,774)</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6,619,399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2,508,960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9,128,359</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2,310,580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392,086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2,709,783</w:t>
            </w:r>
          </w:p>
        </w:tc>
      </w:tr>
      <w:tr>
        <w:trPr>
          <w:trHeight w:val="418"/>
        </w:trPr>
        <w:tc>
          <w:tcPr>
            <w:tcW w:w="8460" w:type="dxa"/>
            <w:vAlign w:val="bottom"/>
            <w:gridSpan w:val="10"/>
          </w:tcPr>
          <w:p>
            <w:pPr>
              <w:spacing w:after="0"/>
              <w:rPr>
                <w:sz w:val="20"/>
                <w:szCs w:val="20"/>
                <w:color w:val="auto"/>
              </w:rPr>
            </w:pPr>
            <w:r>
              <w:rPr>
                <w:rFonts w:ascii="Arial" w:cs="Arial" w:eastAsia="Arial" w:hAnsi="Arial"/>
                <w:sz w:val="18"/>
                <w:szCs w:val="18"/>
                <w:color w:val="auto"/>
                <w:w w:val="94"/>
              </w:rPr>
              <w:t>Net revenues according to geographic area, based on the location of where the product is shipped, is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8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11"/>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3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18,265,945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8,809,667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47,368,793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24,263,110</w:t>
            </w:r>
          </w:p>
        </w:tc>
        <w:tc>
          <w:tcPr>
            <w:tcW w:w="100" w:type="dxa"/>
            <w:vAlign w:val="bottom"/>
            <w:shd w:val="clear" w:color="auto" w:fill="CCEEFF"/>
          </w:tcPr>
          <w:p>
            <w:pPr>
              <w:spacing w:after="0"/>
              <w:rPr>
                <w:sz w:val="18"/>
                <w:szCs w:val="18"/>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2,414,605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1,466,691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7,190,965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4,000,586</w:t>
            </w:r>
          </w:p>
        </w:tc>
      </w:tr>
      <w:tr>
        <w:trPr>
          <w:trHeight w:val="257"/>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10,276,358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54,559,758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28,263,696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420" w:type="dxa"/>
            <w:vAlign w:val="bottom"/>
          </w:tcPr>
          <w:p>
            <w:pPr>
              <w:spacing w:after="0"/>
              <w:rPr>
                <w:sz w:val="24"/>
                <w:szCs w:val="24"/>
                <w:color w:val="auto"/>
              </w:rPr>
            </w:pPr>
          </w:p>
        </w:tc>
        <w:tc>
          <w:tcPr>
            <w:tcW w:w="2380" w:type="dxa"/>
            <w:vAlign w:val="bottom"/>
            <w:gridSpan w:val="2"/>
          </w:tcPr>
          <w:p>
            <w:pPr>
              <w:jc w:val="right"/>
              <w:ind w:right="10"/>
              <w:spacing w:after="0"/>
              <w:rPr>
                <w:sz w:val="20"/>
                <w:szCs w:val="20"/>
                <w:color w:val="auto"/>
              </w:rPr>
            </w:pPr>
            <w:r>
              <w:rPr>
                <w:rFonts w:ascii="Arial" w:cs="Arial" w:eastAsia="Arial" w:hAnsi="Arial"/>
                <w:sz w:val="14"/>
                <w:szCs w:val="14"/>
                <w:color w:val="auto"/>
              </w:rPr>
              <w:t>20</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September 30, 2021 and 2020 was approximately $0.4 million and $0.2 million, respectively. Aggregate lease expense for the nine months ended September 30, 2021 and 2020 was approximately $1.0 million and $0.4 million, respectively. Cash paid for the Company’s leases for the three months ended September 30, 2021 and 2020 was approximately $0.3 million and $0.1 million, respectively. Cash paid for the Company’s leases for the nine months ended September 30, 2021 and 2020 was approximately $0.7 million and $0.3 million, respectively.</w:t>
      </w:r>
    </w:p>
    <w:p>
      <w:pPr>
        <w:spacing w:after="0" w:line="18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nine months ended September 30, 2021, the Company recognized additional right to use assets and corresponding lease liabilities of $2.8 million in connection with three new property leases where the Company has opened or intends to open additional plasma collection facilities. Including a finance lease the Company entered into in June 2018, the Company has aggregate lease liabilities of $7.4 million and $4.7 million as of September 30, 2021 and December 31, 2020, respectively, which are comprised primarily of the leases for the Company’s plasma collection centers and an administrative office lease related to the Company’s ADMA BioCenters subsidiary. The Company’s operating leases have a weighted average remaining term of 9.1 years. Scheduled payments under the Company’s lease obligations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312,470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1,512,443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1,526,406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1,399,474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1,405,411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1,137,321</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5,486,814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payments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12,780,339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(5,363,350)</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(501,239)</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6,915,750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June 11, 2021, the Company entered into an additional property lease that the Company intends to use to store certain inventory for its ADMA BioManufacturing business segment. The Company has not taken possession of this leased property and its lease commencement date has not been determined. With the exception of a security deposit and six months’ rent totaling $0.3 million, no payments have been made under this lease. The initial term of the lease is for 90 months with monthly rental payments varying between approximately $14,000 and $24,000, including common area maintenance charges.</w:t>
      </w:r>
    </w:p>
    <w:p>
      <w:pPr>
        <w:spacing w:after="0" w:line="18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On October 8, 2021, the Company entered into an additional property lease for its eighth plasma collection facility. The Company has not taken possession of this leased property and its lease commencement date has not been determined. With the exception of a security deposit and an initial months’ rent totaling approximately $18,000, no payments have been made under this lease. The initial term of the lease is for 137 months with monthly rental payments varying between approximately $9,000 and $12,000, including common area maintenance charges.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w w:val="93"/>
              </w:rPr>
              <w:t>Supplemental cash flow information for the nine months ended September 30, 2021 and 2020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8,346,968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7,303,753</w:t>
            </w:r>
          </w:p>
        </w:tc>
      </w:tr>
      <w:tr>
        <w:trPr>
          <w:trHeight w:val="210"/>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1,382,818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1,468,147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Right-to-use assets in exchange for lease obligations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2,844,875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1,738,156</w:t>
            </w:r>
          </w:p>
        </w:tc>
      </w:tr>
      <w:tr>
        <w:trPr>
          <w:trHeight w:val="21"/>
        </w:trPr>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October 25, 2021, the Company completed an underwritten public offering whereby the Company issued 57.5 million shares of common stock and received gross proceeds of $57.5 million. Net proceeds after underwriting discounts and expenses associated with the offering, were approximately $53.9 million. The Company intends to use the net proceeds from this offering (i) to advance the commercial sales of its FDA approved products through the procurement of raw materials for the manufacturing of BIVIGAM and ASCENIV; (ii) to expand its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2020, filed on March 25, 2021 (the “2020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quantities of our immune globulin (“IG”) products of more than $250 million in annual revenue beginning in 2024 and potentially in excess of $300 million of annual revenue thereafter, as well as achieving profitability during the first quarter of 2024, as we ramp-up production over the next three to five years. We anticipate exiting 2021 approaching an annualized revenue run rate of approximately $100 million or more.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four new plasma collection centers during the past 18 months, and we now have nine plasma collection centers in various stages of approval and development, including five that are operational and collecting plasma. With respect to our operational plasma collection centers, three plasma collection centers currently hold FDA licenses. In addition, one of our FDA-approved plasma collection centers also has approvals from the Korean Ministry of Food and Drug Safety (“MFDS”), as well as FDA approval to operate a Hepatitis B immunization program. After giving effect to the progress we made in 2020 and thus far in 2021 with our plasma collection network expansion, we believe we remain on track to achieve our goal of having 10 or more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18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packing services in light of the recent FDA approval of our in-house fill-finish capabilities.</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September 8, 2021, we announced that the FDA has granted approval for our Vanrx SA25 aseptic fill-finish machine and our related internal fill-finish processes. This approval provides us with in-house fill-finish operations, capable of sufficiently addressing our forecasted production requirements for our FDA approved commercial products. With our fill-finish machine and related processes operational, we are anticipating meaningfully improved gross margins, enhanced patient supply consistency, accelerated inventory production cycle times, and increased control and visibility of commercial product lot releases. We also expect that the approval of our in-house fill-finish processes and capabilities will provide us with the opportunity to onboard new fill-finish contract manufacturing opportunities with third parties as a potential new revenue stream.</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Effective as of May 12, 2021, we entered into a Second Amendment to our Plasma Purchase Agreement with Grifols Worldwide Operations Limited (“Grifols”) whereby, among other provisions, we extended the term of our supply agreement for the purchase of normal source plasma (“NSP”) through December 31, 2022, while certain historical provisions were deleted. In order to maintain a reliable supply of raw material plasma thereafter, we have executed additional agreements with multiple third-party plasma suppliers of NSP to provide us with a long-term supply of NSP, which will be supplemented by our accelerated plasma center expansion activities, whereby we expect to have 10 or more plasma collection centers licensed by the FDA by the end of 2023. We expect these initiatives will ensure the raw material plasma supply necessary to meet our anticipated peak annual plasma processing capability of up to 600,000 liters.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April 28, 2021, we announced that the FDA has granted approval for our expanded plasma pool production scale process, allowing for a 4,400-liter plasma pool for the manufacture of our BIVIGAM IVIG product. We expect this increased IVIG plasma pool scale, which will allow us to produce BIVIGAM at an expanded capacity, will utilize the same equipment, release testing assays and labor force, and to have a favorable impact on our gross margins and operating results, potentially beginning late in the fourth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Due to the COVID-19 pandemic, our plans have been delayed. In the future however, we plan to work with the FDA and the immunology and infectious disease community to design an appropriate clinical trial to evaluate the use of ASCENIV in this patient population. Commercial sales of ASCENIV commenced in October of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continue to closely monitor ongoing developments in connection with the COVID-19 global pandemic, including the emergence of the Delta variant and other resistant strains of the novel coronavirus, and its impacts to our commercial and manufacturing operations and plasma collection facilities, including but not limited to potential disruptions to our supply chain operations, including collections of source plasma, procurement of raw materials and packaging materials, a portion of which are sourced internationally, and testing of finished drug product that is required prior to its availability for commercial sale. Such testing has historically been performed by contract laboratories outside the United States. In addition, travel and other restrictions that have been implemented in the United States have impacted our commercial engagement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pacing w:after="0" w:line="19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Due to a combination of previous state and local “shelter-in-place” orders, as well as government stimulus packages, persisting social distancing measures and varying roll-outs of vaccinations by state, we have been experiencing lower than normal donor collections at our FDA-approved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are also subject to supply chain delays as a result of certain of our suppliers diverting significant resources towards the rapid development and distribution of COVID-19 vaccines and, as a result, we may elect to carry more raw materials inventory than we have in the past. In addition, we have also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conferences,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16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pandemic could further impact our ability to interact with the FDA or other regulatory authorities and may result in delays in the conduct of inspections or review of pending applications or submissions. Although we have received several FDA approvals during the past few months and an FDA inspection of the Boca Facility was completed in July of 2021, no assurances can be provided as to the timing for completion of any other regulatory submissions or applications that may be impacted by restrictions related to COVID-19.</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the date of this report, we do not believe that the operations and immunoglobulin and plasma products production at our Boca Facility, our contract fill/finishers or our plasma collection facilities have been significantly impacted by the COVID-19 pandemic. As a result, as of the date of this report, we have not experienced, and currently do not anticipate, any material impairments with respect to any of our long-lived assets, including our property and equipment, goodwill or intangible assets.</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Although we believe the effects of the COVID-19 pandemic on our business and our operations will be temporary, at the present time we are unable to determine the ultimate duration of the pandemic or its long-term effects on, among other things, the global, national or local economies, the capital and credit markets, our workforce, our customers or our suppliers. As a result, we are unable to predict whether the COVID-19 crisis will have a material adverse impact on our business, financial condition, liquidity and results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Revenues for the nine months ended September 30, 2021 and 2020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and testing revenue from certain clients, and (v) license revenues attributable to the out-licensing of ASCENIV in December 2012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over the term of the Biotest license, representing a period of approximately 22 years.</w:t>
      </w:r>
    </w:p>
    <w:p>
      <w:pPr>
        <w:spacing w:after="0" w:line="17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sales of our intermediates or contract manufacturing, control transfers to the customer and the performance obligation is satisfied when the customer takes possession of the product from the Boca Facility or a third-party warehouse that is utilized by the Company.</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Product revenue from the sale of human plasma collected at our plasma collection centers is recognized at the time control of the product has been transferred to the customer, which generally occurs at the time of shipment. Product revenue is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nine months ended September 30, 2021, four customers, BioCARE, Inc. (“BioCare”), Reliance Life Sciences Pvt Limited (“Reliance”), Priority Healthcare Distribution, Inc. (“Curascript”) and AmerisourceBergen Drug Corporation (“AmerisourceBergen”) represented an aggregate of 74% of our consolidated revenues. For the nine months ended September 30, 2020, three customers, Biolife Plasma Services, L.P. (“Biolife”), BioCare and Reliance represented an aggregate of 82% of our consolidated revenues.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We extend credit to our customers based upon an evaluation of each customer’s financial condition and credit history. Evaluations of the financial condition and associated credit risk of customers are performed on an ongoing basis. Based on these evaluations, we have concluded that our credit risk is minimal.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their expenses are classified as research and development expenses.</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as we ensure product quality and compliance with current Good Manufacturing Practices (“cGMP”), FDA, state and local regulations, or due to testing results not meeting specifications. Such losses are charged to cost of product revenue in the period they are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nine months ended September 30, 2021, we granted RSUs to certain members of our management and employees representing an aggregate of 4,332,244 shares of common stock (see Notes 8 and 10 to the Consolidated Financial Statements), and during the nine months ended September 30, 2020, we granted RSUs to members of our Board of Directors and certain members of our management and employees representing an aggregate of 361,000 shares of common stock. For the purpose of valuing stock options granted to our employees, directors and officers, we use the Black-Scholes option pricing model. We granted options to purchase an aggregate of 1,757,050 and 1,398,412 shares of common stock to management, employees and directors during the nine months ended September 30, 2021 and 2020,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we have elected not to establish a forfeiture rate, as stock-based compensation expense related to forfeitures of unvested stock options is fully reversed at the time of forfeiture.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research and development (“R&amp;D”) costs consist of clinical research organization costs, costs related to clinical trials, testing and evaluation of new or alternative products or processes, studies for potentially extending a product’s approved and labeled expiration dating and other potential label expansions, post-marketing commitment studies as required by the FDA for BIVIGAM and ASCENIV and wages, benefits and stock-based compensation for employees directly related to research and development activities. All research and development costs are expensed as incurred.</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Raw materials inventory consists of various materials purchased from suppliers, including normal source plasma, that are used in the production of our products. Work-in-process and finished goods inventories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our products relative to the total square footage of the facility. 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1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we expect to receive when the inventory is sold, less costs to deliver the inventory to the recipient. The estimates for net realizable value of inventory are based on contractual terms or upon historical experience and certain other assumptions which we believe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2021 and 2020, we determined that there was no impairment of our long-lived assets.</w:t>
      </w:r>
    </w:p>
    <w:p>
      <w:pPr>
        <w:spacing w:after="0" w:line="17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nine months ended September 30,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2016-13 on January 1, 2020, and the adoption of this update did not have a significant impact on our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2021, our third fiscal quarter, compared to the three months ended September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 September 30,</w:t>
            </w:r>
          </w:p>
        </w:tc>
      </w:tr>
      <w:tr>
        <w:trPr>
          <w:trHeight w:val="198"/>
        </w:trPr>
        <w:tc>
          <w:tcPr>
            <w:tcW w:w="7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10,276,358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10,404,192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80" w:type="dxa"/>
            <w:vAlign w:val="bottom"/>
          </w:tcPr>
          <w:p>
            <w:pPr>
              <w:spacing w:after="0"/>
              <w:rPr>
                <w:sz w:val="19"/>
                <w:szCs w:val="19"/>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20,295,213</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11,855,464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8,439,749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385,337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(1,579,106)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1,964,443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770,557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1,708,391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(937,834)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3,146,221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1,218,898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1,927,323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10,726,797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9,115,744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1,611,053</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(14,437,076)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(13,800,977)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(636,099)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(3,298,680)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(3,091,200)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(207,480)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9"/>
                <w:szCs w:val="19"/>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22,802</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(25,276)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48,078</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(17,712,954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(16,917,453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recorded total revenues of $20.7 million during the three months ended September 30, 2021, as compared to $10.3 million during the three months ended September 30, 2020, an increase of $10.4 million, or approximately 101%. The increase is due to increased sales across our entire portfolio of immunoglobulin products generated by our Boca Facility manufacturing operations in 2021, as we continue to expand our customer base for BIVIGAM and experience increased physician, payer and patient acceptance of ASCENIV. We also continued to benefit from the manufacturing and supply agreement we entered into in January 2020 to produce and sell intermediate fractions to a certain customer.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Cost of product revenue was $20.3 million for the three months ended September 30, 2021, as compared to $11.9 million for the three months ended September 30, 2020. This increase is primarily attributable to the increase in sales volume of our immunoglobulin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R&amp;D expenses totaled $0.8 million for the three months ended September 30, 2021, as compared to $1.7 million for the three months ended September 30, 2020. In the third quarter of 2020, we completed the implementation and qualification of a new filling line at our contract fill-finisher with associated costs of approximately $0.6 million, with no comparable amount in 2021. We also had reduced compensation costs, including stock-based compensation, associated with R&amp;D activities during the quarter of $0.4 million, partially offset by expenses associated with ASCENIV post marketing commitments in 2021 of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Plasma center operating expenses were $3.1 million for the three months ended September 30, 2021, as compared to $1.2 million for the three months ended September 30, 2020.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From the beginning of the fourth quarter of 2020 through the end of third quarter of 2021, we opened three new plasma collection centers and began the construction and buildout of a fourth plasma collection center. These expansion efforts resulted in significantly increased staffing and travel expenses, as well as increases in donor fees, rent, softgoods and consumable supplies and depreciation expense.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Selling, general and administrative (“SG&amp;A”) expenses were $10.7 million for the three months ended September 30, 2021, an increase of $1.6 million from the three months ended September 30, 2020. The increase was primarily due to higher employee compensation, increased staffing and travel and related expenses of $1.4 million, largely in support of our commercialization efforts for BIVIGAM and ASCENIV, increased insurance expense of $0.3 million and increased software maintenance expense of $0.3 million as we enhance our information technology systems and replace and modernize such systems in order to maintain compliance with cGMP. These costs were partially offset by lower third-party market intelligence and consulting fees associated with certain of our ASCENIV commercialization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operating loss was $14.4 million for the third quarter of 2021, as compared to $13.8 million for the third quarter of 2020. The $0.6 million increase in operating loss was mainly due to the increased SG&amp;A and plasma center operating expenses, partially offset by our improved gross profit (loss) of $2.0 million and lower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Interest expense increased by approximately $0.2 million for the three months ended September 30, 2021 as compared to the same period of a year ago. The increase reflects the refinancing of $15 million of subordinated debt in December 2020 whereby the interest rate increased from 6% to 11% per annum, as the maturity date on this indebtedness was extended from June 2022 to March 2024 (see “Liquidity and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Our net loss was $17.7 million for the three months ended September 30, 2021, as compared to $16.9 million for the three months ended September 30, 2020. The $0.8 million increase in net loss was primarily due to the increased operating loss for the quarter of $0.6 million, and to the increase in interest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nine months ended September 30, 2021, compared to the nine months ended September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Nine Months Ended September 30,</w:t>
            </w:r>
          </w:p>
        </w:tc>
      </w:tr>
      <w:tr>
        <w:trPr>
          <w:trHeight w:val="198"/>
        </w:trPr>
        <w:tc>
          <w:tcPr>
            <w:tcW w:w="5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5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54,559,758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28,263,696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26,296,062</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w w:val="92"/>
              </w:rPr>
              <w:t>Cost of product revenue (exclusive of amortization expense shown below)</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56,897,959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42,180,319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14,717,640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(2,338,201)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(13,916,623)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11,578,422</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2,917,072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4,893,549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(1,976,477)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8,191,890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2,597,444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5,594,446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536,514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536,514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31,198,880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25,750,458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5,448,422</w:t>
            </w:r>
          </w:p>
        </w:tc>
      </w:tr>
      <w:tr>
        <w:trPr>
          <w:trHeight w:val="27"/>
        </w:trPr>
        <w:tc>
          <w:tcPr>
            <w:tcW w:w="54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(45,182,557)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(47,694,588)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2,512,031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(9,741,110)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(8,875,597)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(865,513)</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(74,531)</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229,411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(303,942)</w:t>
            </w:r>
          </w:p>
        </w:tc>
      </w:tr>
      <w:tr>
        <w:trPr>
          <w:trHeight w:val="256"/>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(54,998,198</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(56,340,774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5460" w:type="dxa"/>
            <w:vAlign w:val="bottom"/>
          </w:tcPr>
          <w:p>
            <w:pPr>
              <w:spacing w:after="0"/>
              <w:rPr>
                <w:sz w:val="24"/>
                <w:szCs w:val="24"/>
                <w:color w:val="auto"/>
              </w:rPr>
            </w:pPr>
          </w:p>
        </w:tc>
        <w:tc>
          <w:tcPr>
            <w:tcW w:w="1860" w:type="dxa"/>
            <w:vAlign w:val="bottom"/>
          </w:tcPr>
          <w:p>
            <w:pPr>
              <w:jc w:val="right"/>
              <w:ind w:right="1548"/>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recorded total revenues of $54.6 million for the nine months ended September 30, 2021, as compared to $28.3 million for the nine months ended September 30, 2020, an increase of $26.3 million, or approximately 93%. The increase is due to increased sales of our immunoglobulin products generated by our Boca Facility manufacturing operations in 2021, largely driven by the expansion of our customer base at both of our business segments that took place subsequent to September 30, 2020.</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revenues for the first nine months of 2021 as compared to the same period of a year ago were favorably impacted by the continued commercial scale-up and increasing physician/payer acceptance of BIVIGAM and ASCENIV following these products’ FDA approvals on May 9, 2019 and April 1, 2019, respectively, while we also continued to benefit from the manufacturing and supply agreement we entered into in January 2020 to produce and sell intermediate fractions to a certain customer. Revenues in the first nine months of 2021 were also favorably impacted by the approvals we received from the FDA to implement a Hepatitis B immunization program at one of our FDA-approved plasma collection centers and from MFDS for the sale of source plasma into South Korea.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Cost of product revenue was $56.9 million for the nine months ended September 30, 2021, as compared to $42.2 million for the nine months ended September 30, 2020. This increase reflects higher product revenue costs in 2021 corresponding to the increase in immunoglobulin revenues, partially offset by the absence of conformance batch production expenses in 2020 of $7.3 million. The lack of such expenses in 2021, combined with the increase in revenues, resulted in a reduction of our gross loss in the amount of $11.6 million, or 83%, for the first nine months of 2021 as compared to the first nine months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R&amp;D expenses totaled $2.9 million for the nine months ended September 30, 2021, as compared to $4.9 million for the nine months ended September 30, 2020. R&amp;D expenses in 2020 included non-recurring charges of $1.4 million related to the implementation and qualification of a new filling line at our contract fill-finisher, $0.4 million related to a study we conducted to potentially extend ASCENIV’s approved and labeled expiration dating, and $0.2 million related to our participation in a third-party clinical research project. We also experienced a reduction in R&amp;D related compensation expenses due to the resignation of our former Chief Medical Officer on June 8, 2021, which was offset by an increase in post-marketing commitment clinical studies in 2021 for BIVIGAM and ASCENIV as required by the FDA.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Plasma center operating expenses were $8.2 million for the nine months ended September 30, 2021, as compared to $2.6 million for the nine months ended September 30, 2020. The increase in plasma center operating expenses is mainly attributable to the increased number of plasma collection centers in operation resulting in higher staff and related expenses, including travel expenses, of $3.6 million, as well as increases in rent expense of $0.6 million, depreciation expense of $0.5 million, donor fees of $0.5 million, advertising expenses of $0.2 million, softgoods and consumable supplies of $0.2 million, all related to our plasma center expansion activities. As of September 30, 2021 we had five plasma collection centers that were operational and collecting plasma. We also have four additional plasma collection centers under construction and development. For those plasma centers that have not yet become operational, we are still required to incur staffing, training and travel costs during the build-out period so that these facilities are operational on the day they open.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$0.5 million for the nine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SG&amp;A expenses were $31.2 million for the nine months ended September 30, 2021, an increase of $5.4 million from the nine months ended September 30, 2020. The increase was primarily due to higher employee compensation, increased staffing and related expenses of $3.7 million, largely in support of our commercialization efforts for BIVIGAM and ASCENIV, along with the increase in the overall size and scope of our operations. In addition, during the second quarter of 2021 we recognized an expense and corresponding liability in the amount of $0.8 million related to the separation and transition agreement with our former Chief Medical Officer. We also incurred $1.0 million of increased insurance expense primarily related to our Boca Facility and plasma center expansion.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Our operating loss was $45.2 million for the first nine months of 2021, as compared to $47.7 million for the first nine months of 2020. The $2.5 million decrease in operating loss was mainly due to the increases in revenues and corresponding reduction in gross loss and decrease in R&amp;D expenses, largely offset by the increases in plasma center operating expenses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was $9.7 million for the nine months ended September 30, 2021, as compared to $8.9 million for the nine months ended September 30, 2020. The increase reflects the additional interest expense associated with the Perceptive Tranche III Loan which we drew down on March 20, 2020, as well as the higher interest on the $15 million note formerly due to Biotest that we refinanced in December 2020 (see “Liquidity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net loss was $55.0 million for the nine months ended September 30, 2021, as compared to $56.3 million for the nine months ended September 30, 2020. The decrease in net loss of $1.3 million was primarily due to increased revenues and the decreased operating loss for the quarter of $2.5 million, partially offset by the increase in interest expense of $0.9 million, and the decrease in interest income of $0.2 million due to the reduction of interest rates that took place during the first quarter of 2020.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September 30, 2021, we had working capital of $142.4 million, including cash and cash equivalents of $34.4 million, and stockholders’ equity of $102.8 million, as compared to working capital of $133.8 million, including cash and cash equivalents of $55.9 million, and stockholders’ equity of $88.2 million as of December 31, 2020. We have incurred an accumulated deficit of $395.5 million since inception, had negative cash flows from operations of $78.9 million and $69.8 million for the nine months ended September 30, 2021 and 2020, respectively, and negative cash flows from operations of $102.0 million and $76.2 million for the years ended December 31, 2020 and 2019, respectively. We have funded our operations over the past few years primarily from the sale of our equity and debt securities.</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scale up of our commercialization efforts, capacity expansion at the Boca Facility, building additional plasma collection facilities, product development, quality assurance, regulatory affairs and conducting post-marketing clinical trials for our FDA-approved products.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through corporate collaboration and licensing arrangements. We are currently evaluating a variety of strategic and financing alternatives and have engaged Morgan Stanley as a financial advisor in connection with certain of those strategic alternatives. Based upon our projected revenues and projected expenditures, including capital expenditures and continued implementation of our commercialization and expansion activities, we currently believe that our cash, cash equivalents, projected revenue and accounts receivable, including the proceeds received from the October 25, 2021 underwritten public offering discussed below, will be sufficient to fund our operations, as currently conducted, through the first half of 2022. In order to have sufficient cash to fund our operations thereafter, we will need to raise additional capital during the second half of 2022, which includes our plans to refinance and expand upon, our existing debt facility. We believe that a refinancing and expansion of our current debt facility will be sufficient to fund our operations into the first quarter of 2024, at which time we believe our operations will be cash flow positive. These estimates and timeframes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$53.9 million. We intend to use the net proceeds from this offering (i) to advance the commercial sales of our FDA approved products through the procurement of raw materials for the manufacturing of BIVIGAM and ASCENIV; (ii) to expand our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Due to numerous risks and uncertainties associated with the COVID-19 pandemic, FDA reviews, inspections and approvals related to our products and processes, patient/payer acceptance of our products, ongoing compliance and maintenance requirements, capacity expansion efforts at the Boca Facility, expansion of our plasma collection center network and supply chain disruptions,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our ability to continue as a going concern.</w:t>
      </w:r>
    </w:p>
    <w:p>
      <w:pPr>
        <w:spacing w:after="0" w:line="19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may decide to raise capital through public or private equity offerings or debt financings, obtain a bank credit facility or enter into corporate collaboration and licensing arrangements. There can be no assurances that we will be able to successfully refinance or expand our existing debt to obtain additional non-dilutive financing.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 We are also considering alternative business opportunities to maximize stockholder value including, for example, the acquisition or sale of specific assets or businesses, collaboration and/or license agreements or co-development agreements.</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During the nine months ended September 30, 2021, we issued 5,540,831 shares of our common stock under the Distribution Agreement and received net proceeds of $6.9 million. We may decide to utilize the Distribution Agreement from time to time in order to supplement our cash resources and fund our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On August 5, 2020, we entered into an Open Market Sale Agreement (the “Sale Agreement”) with Jefferies LLC (“Jefferies”), pursuant to which we could offer and sell, from time to time, at our option, through or to Jefferies, up to an aggregate of $50 million of shares of our common stock. On November 5, 2020 and February 3, 2021, we and Jefferies entered into amendments to the Sale Agreement (as amended, the “Amended Sale Agreement”) to provide for an increase in the aggregate offering amount under the Amended Sale Agreement, such that, as of February 3, 2021, we could sell shares having a gross aggregate offering price of up to $105.4 million.</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For the year ended December 31, 2020, we sold 18,537,907 shares of our common stock under the Amended Sale Agreement and received net proceeds in the amount of $42.5 million. During the nine months ended September 30, 2021, we sold an additional 27,805,198 shares of our common stock and received net proceeds of $60.4 million. The net proceeds from this offering were or are being used for general corporate purposes, which may include</w:t>
      </w:r>
    </w:p>
    <w:p>
      <w:pPr>
        <w:spacing w:after="0" w:line="2" w:lineRule="exact"/>
        <w:rPr>
          <w:sz w:val="20"/>
          <w:szCs w:val="20"/>
          <w:color w:val="auto"/>
        </w:rPr>
      </w:pPr>
    </w:p>
    <w:p>
      <w:pPr>
        <w:ind w:right="320" w:firstLine="8"/>
        <w:spacing w:after="0" w:line="302" w:lineRule="auto"/>
        <w:tabs>
          <w:tab w:leader="none" w:pos="2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procurement of raw materials for the manufacturing of BIVIGAM and ASCENIV; (ii) supporting the ongoing commercial sales of our IVIG products; (iii) expanding the manufacturing capacity of our Boca Facility, including supply chain functions, and enhancing the robustness of our supply chain oversight; (iv) expanding our plasma collection facility network; and (v) research and development and business development opportunities.</w:t>
      </w:r>
    </w:p>
    <w:p>
      <w:pPr>
        <w:spacing w:after="0" w:line="15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proceeds from the Perceptive Tranche IV Loan were used to retire the $15.0 million subordinated note we had payable to Biotest, which had a maturity date of June 17,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right="260" w:firstLine="8"/>
        <w:spacing w:after="0" w:line="302"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3.5%; provided, however, that upon, and during the continuance of, an Event of Default, the interest rate will automatically increase by an additional 400 basis points. Accrued interest of approximately $0.9 million per month is payable to Perceptive on the last day of each month during the term of the Perceptive Credit Facility. The rate of interest in effect as of the Perceptive Closing Date and at September 30, 2021 was 11.0%.</w:t>
      </w:r>
    </w:p>
    <w:p>
      <w:pPr>
        <w:spacing w:after="0" w:line="15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the Maturity Date, we are required to pay Perceptive the entire outstanding principal amount underlying the Perceptive Loans and any accrued and unpaid interest thereon. There are no scheduled principal payments on the Perceptive Loans prior to the Maturity Date. We may prepay outstanding principal on the Perceptive Loans at any time and from time to time upon three business days’ prior written notice, subject to the payment to Perceptive of</w:t>
      </w:r>
    </w:p>
    <w:p>
      <w:pPr>
        <w:spacing w:after="0" w:line="2" w:lineRule="exact"/>
        <w:rPr>
          <w:sz w:val="20"/>
          <w:szCs w:val="20"/>
          <w:color w:val="auto"/>
        </w:rPr>
      </w:pPr>
    </w:p>
    <w:p>
      <w:pPr>
        <w:jc w:val="both"/>
        <w:ind w:right="80" w:firstLine="8"/>
        <w:spacing w:after="0" w:line="253"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accrued but unpaid interest on the prepaid principal amount plus (B) a redemption premium amount equal to (i) 5.0% of the prepaid principal amount, if prepaid on or prior to December 31, 2021, (ii) 2.0% of the prepaid principal amount, if prepaid after December 31, 2021 and on or prior to December 31, 2022, (iii) 4.0% of the prepaid principal amount, if prepaid after December 31, 2022 and on or prior to December 31, 2023, and (iv) 5.0% of the prepaid principal amount, if prepaid any time thereafter and prior to the Maturity 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and that of our subsidiaries to, among other things and subject to certain exceptions contained in the Perceptive Credit Agreement, incur new indebtedness; create liens on assets; engage in certain fundamental corporate changes, such as mergers or acquisitions, or changes to our or our subsidiaries’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$45.4 million for the fiscal quarter ended September 30, 2021 to $55.0 million for the fiscal quarter ending December 31, 2021. At September 30, 2021, we were in compliance with all of the covenants contained in the Perceptive Credit Agreement.</w:t>
      </w:r>
    </w:p>
    <w:p>
      <w:pPr>
        <w:spacing w:after="0" w:line="16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were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46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(78,903,751)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(69,783,522)</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(9,835,404)</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(9,126,359)</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67,228,573</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111,832,791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(21,510,582)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32,922,910</w:t>
            </w:r>
          </w:p>
        </w:tc>
      </w:tr>
      <w:tr>
        <w:trPr>
          <w:trHeight w:val="216"/>
        </w:trPr>
        <w:tc>
          <w:tcPr>
            <w:tcW w:w="8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55,921,152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26,752,135</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34,410,570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59,675,045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Cash used in operations for the nine months ended September 30, 2021 was $78.9 million, an increase of $9.1 million from the same period of a year ago, mainly due to an increases in inventory and accounts receivable, partially offset by increases in accounts payable and accrued expenses. The following table illustrates the primary components of our cash flows from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(54,998,198)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(56,340,774)</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Non-cash expenses, gains and losses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7,620,142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6,126,420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(7,155,331)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(2,864,617)</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Changes in inventories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(32,587,273)</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(16,687,794)</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(2,812,580)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(1,252,828)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Changes in accounts payable and accrued expenses</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11,735,352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1,422,652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(705,863)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(186,581)</w:t>
            </w:r>
          </w:p>
        </w:tc>
      </w:tr>
      <w:tr>
        <w:trPr>
          <w:trHeight w:val="27"/>
        </w:trPr>
        <w:tc>
          <w:tcPr>
            <w:tcW w:w="320" w:type="dxa"/>
            <w:vAlign w:val="bottom"/>
            <w:shd w:val="clear" w:color="auto" w:fill="CCEEFF"/>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Cash used in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(78,903,751)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(69,783,522)</w:t>
            </w:r>
          </w:p>
        </w:tc>
      </w:tr>
      <w:tr>
        <w:trPr>
          <w:trHeight w:val="21"/>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cash used in investing activities for the nine months ended September 30, 2021 was $9.8 million, which primarily consisted of $6.0 million for the construction and buildout of new plasma collection centers and related equipment and capital expenditures at the Boca Facility of $3.8 million, which includes equipment purchases and implementation of our in-house fill/finish capabilities. Cash used in investing activities of $9.1 million for the nine months ended September 30, 2020 was attributable to $6.6 million of capital expenditures at the Boca Facility and $2.5 million for the construction of new plasma centers. We expect our total capital expenditures will be between $3.0 million and $6.0 million for the remainder of fiscal 2021, mainly for continued plasma collection center expansion.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Cash provided by financing activities was $67.2 million for the nine months ended September 30, 2021 and primarily consisted of proceeds received from the Amended Sale Agreement and the Distribution Agreement. Cash provided by financing activities of $111.8 million for the same period of a year ago was comprised of $88.7 million of net proceeds received from our underwritten public offering in February 2020, $12.5 million of proceeds from the Perceptive Tranche III Loan received in March 2020 and $10.6 million from the Amended Sale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revenues, operating expenses or net loss for the nine months ended September 30, 2021 or in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2021. Based on this evaluation, our principal executive officer and our principal financial officer concluded that our disclosure controls and procedures as of September 30, 2021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2021 that have materially affected, or are reasonably likely to materially affect, our internal control over financial reporting.</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history of losses and will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auditor’s report contains a going concern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5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jc w:val="both"/>
        <w:ind w:left="660" w:right="48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23"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7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or test products and product candidates, and such parties are outside of our control.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Perceptive Credit Facility is subject to acceleration in specified circumstances, which may result in Perceptive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including the proceeds received on October 25, 2021 from our most recent underwritten public offering, will be sufficient to fund our operations, as currently conducted, through the first half of 2022. In order to have sufficient cash to fund our operations thereafter, we will need to raise additional capital during the second half of 2022, which includes our plans to refinance and expand upon, our existing debt facility. We believe that a refinancing and expansion of our current debt facility, combined with the proceeds received from the October 25, 2021 public offering, will be sufficient to fund our operations into the first quarter of 2024, at which time we believe our operations will be cash flow positive.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are also evaluating a variety of strategic and financing alternatives and have engaged Morgan Stanley as a financial advisor in connection with certain of those strategic alternatives. We anticipate that we will not be able to generate a sufficient amount of product revenue to achieve profitability until the beginning of 2024 and, as a result, we anticipate that we will need to continue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the auditor’s report on our financial statements for the year ended December 31, 2020 includes a going concern paragraph. To date, our products have not generated significant revenue. As a result, we have suffered recurring losses and require significant additional cash resources to execute our business plan. These losses are expected to continue for an extended period of time. These factors raise substantial doubt about our ability to continue as a going concern beyond one year from the date of filing this Quarterly Report on Form 10-Q.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our common stock. The actual amount of cash that we will need is subject to many factors. There can be no assurances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2023, and we may never achieve or maintain profitability. For the nine months ended September 30, 2021 and 2020, we incurred net losses of $55.0 million and $56.3 million, respectively, and for the years ended December 31, 2020 and 2019, we incurred net losses of $75.7 million and $48.3 million, respectively. From our inception in 2004 through September 30, 2021, we have incurred an accumulated deficit of $395.5 million.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COVID-19 pandemic, including the Delta variant and other resistant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quality of our products and product candidates.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a combination of previous state and local “shelter-in-place” orders, as well as government stimulus packages, persisting social distancing measures and varying roll-outs of vaccinations by state, we have experienced,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have also experienced supply chain delays as a result of significant resources being diverted towards the rapid development and distribution of COVID-19 vaccines, which could result in our need to carry more inventory that we have in the past, which would put an additional strain on our cash resources.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During the second quarter of 2021, we were notified by the FDA that our submission for the approval of our in-house fill-finish process utilizing our Vanrx SA25 Workcell aseptic filling machine will require a site inspection, either in person or virtually. Although the inspection was completed in July of 2021 and FDA approval our in-house fill-finish process and new aseptic filling machine was received in September 2021, no assurances can be provided as to the timing for completion of any other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guidances with respect to blood and blood components. The FDA’s guidance is continually evolving.</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Subsequent to the onset of the COVID-19 pandemic, there had been a noticeable decline in certain medical prescriptions attributed to lower incident rates for illnesses, fewer RSV, influenza and other respiratory viral pathogen-infected patients, hospital admissions and a reduction in doctor visits. In addition, physical and social distancing guidelines issued by public health authorities and the resulting global changes in human behavior resulted in an observed reduction in infection transmission rates and spread of bacterial and viral infections, resulting in lower rates of infection across all patient populations, which, if continued, could potentially negatively impact the use of our IVIG products by patients. While COVID-19-related requirements vary across the United States, there are recent reports of increasing rates of other viral infections in certain locations and geographic regions of the country and as such may impact the usage and/or demand for our IVIG products. Additionally, the previous guidelines that were issued by public health authorities or any new or changing recommendations or guidelines may still impact the demand or usage of our IVIG products.</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COVID-19 pandemic may also result in changes in laws and regulations. By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Although we have received FDA approval for the fill/finish suite we built at the Boca Facility, we also intend to continue to utilize third parties to supplement our fill/finish process for final drug substance. Our anticipated reliance on a limited number of third-party manufacturers exposes us to the following risks:</w:t>
      </w:r>
    </w:p>
    <w:p>
      <w:pPr>
        <w:spacing w:after="0" w:line="184" w:lineRule="exact"/>
        <w:rPr>
          <w:sz w:val="20"/>
          <w:szCs w:val="20"/>
          <w:color w:val="auto"/>
        </w:rPr>
      </w:pPr>
    </w:p>
    <w:p>
      <w:pPr>
        <w:ind w:left="660" w:right="20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8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4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Each of these risks could delay or prevent the completion of our finished drug product and the release of finished drug product by the FDA, which could result in higher costs or adversely impact the commercialization of our products. These risks could also result in the delay in obtaining clinical supply,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7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 could result in certain FDA actions, including the issuance of observations, notices, citations or warning letters.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must inspect and approve our and our third-parties’ facilities before they may be used for commercial production. At the end of such an inspection, the FDA could issue a Form 483 Notice of Inspectional Observations, which could cause us to modify certain activities identified during the inspection and may not approve the use of the facility.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196"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the COVID-19 pandemic,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the FDA or an independent institutional review board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9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achieve sufficient study enrollment, subjects may drop out or be withdrawn from out studies, we may have delays in adding new investigators or clinical trial sites, or we may experience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or study design, including endpoints, or our interpretation of data from preclinical studies and clinical trials, may find that a product candidate’s benefits do not outweigh its safety risks, or may require that we conduct additional development or study work;</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trade policies that may impact our or our manufacturers’ ability to obtain raw materials and/or finished product for commercialization;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FDA or comparable regulatory authorities may take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depend on independent investigators and collaborators, such as universities and medical institutions, contract laboratories, clinical research organizations,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the nine months ended September 30, 2021, four customers, BioCare, Reliance, Curascript and AmerisourceBergen, represented an aggregate of 74% of our consolidated revenues. For the year ended December 31, 2020, three customers, BioCare, Reliance and Biolife, represented an aggregate of 82% of our consolidated revenues.</w:t>
      </w:r>
    </w:p>
    <w:p>
      <w:pPr>
        <w:spacing w:after="0" w:line="184" w:lineRule="exact"/>
        <w:rPr>
          <w:sz w:val="20"/>
          <w:szCs w:val="20"/>
          <w:color w:val="auto"/>
        </w:rPr>
      </w:pPr>
    </w:p>
    <w:p>
      <w:pPr>
        <w:jc w:val="both"/>
        <w:ind w:right="700" w:firstLine="648"/>
        <w:spacing w:after="0" w:line="263" w:lineRule="auto"/>
        <w:rPr>
          <w:sz w:val="20"/>
          <w:szCs w:val="20"/>
          <w:color w:val="auto"/>
        </w:rPr>
      </w:pPr>
      <w:r>
        <w:rPr>
          <w:rFonts w:ascii="Arial" w:cs="Arial" w:eastAsia="Arial" w:hAnsi="Arial"/>
          <w:sz w:val="18"/>
          <w:szCs w:val="18"/>
          <w:color w:val="auto"/>
        </w:rPr>
        <w:t>As of September 30, 2021, six customers, Curascript, BioCare, Healix Infusion Therapy LLC, Reliance, Biolife and AmerisourceBergen, represented a total of 94% of our consolidated accounts receivable. As of December 31, 2020, three customers, BioCare, Reliance and Curascript, represented a total of 92% of our consolidated accounts receivable.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currently provides for a senior secured term loan facility in the principal amount of $100.0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issuance of a promissory note in favor of Perceptive on May 3, 2019 (the “Perceptive Tranche II Loan”), (iii) a term loan in the principal amount of $12.5 million evidenced by our issuance of a promissory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Loans each have a maturity date of March 1, 2024,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FDA and other government approvals, as applicable. Failure to comply with applicable governmental regulations or to receive applicable approvals for our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5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operations, facilities, suppliers and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4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was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and there are ongoing legal challenges, including at the Supreme Court, which may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nine months ended September 30, 2021 and 2020, we had negative cash flows from operations of $78.9 million and $69.8 million, respectively, and for the years ended December 31, 2020 and 2019, we had negative cash flows from operations of approximately $102.0 million and $76.2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currently anticipate, based upon our projected revenue and expenditures, that our current cash, cash equivalents and accounts receivable, including the proceeds received from our October 25, public offering, will be sufficient to fund our operations, as currently conducted, through the first half of 2022. In order to have sufficient cash to fund our operations thereafter, we will need to raise additional equity or debt financing during the second half of 2022, which includes our plans to refinance and expand upon, our existing debt facility. This time frame may change based upon how quickly we are able to execute on our operational initiatives and the various financing options that may be available to us.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$100.0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$0.9 million, with all principal and unpaid interest due at maturity. The Perceptive Credit Facility has a maturity date of March 1, 2024,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17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incurred substantial losses during our history. As of December 31, 2020, we had federal and state NOLs of $239.8 million and $172.6 million, respectively. Federal and State NOLs of approximately $115.8 million and $90.0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November 5, 2021, most of our 195,813,817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As of September 30, 2021, Perceptive, our directors and executive officers and their affiliates beneficially owned approximately 15%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also recently adopted a short-term stockholder rights agreement with an expiration date of December 15, 2021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September 30, 2021, there were 144,641,489 shares remaining available for issuance, after giving effect to 16,828,915 shares of our common stock that were subject to outstanding stock options, RSUs and warrants as of September 30, 2021 that may be issued by us without stockholder approval, as well as an additional 215,779 shares reserved for the future issuance of awards under our equity compensation plans.</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Exhibit Index immediately following the signature page of this Quarterly Report on Form 10-Q.</w:t>
      </w:r>
    </w:p>
    <w:p>
      <w:pPr>
        <w:spacing w:after="0" w:line="200" w:lineRule="exact"/>
        <w:rPr>
          <w:sz w:val="20"/>
          <w:szCs w:val="20"/>
          <w:color w:val="auto"/>
        </w:rPr>
      </w:pPr>
    </w:p>
    <w:p>
      <w:pPr>
        <w:spacing w:after="0" w:line="23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10, 2021</w:t>
      </w:r>
      <w:r>
        <w:rPr>
          <w:sz w:val="20"/>
          <w:szCs w:val="20"/>
          <w:color w:val="auto"/>
        </w:rPr>
        <w:tab/>
      </w:r>
      <w:r>
        <w:rPr>
          <w:rFonts w:ascii="Arial" w:cs="Arial" w:eastAsia="Arial" w:hAnsi="Arial"/>
          <w:sz w:val="16"/>
          <w:szCs w:val="16"/>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10, 2021</w:t>
      </w:r>
      <w:r>
        <w:rPr>
          <w:sz w:val="20"/>
          <w:szCs w:val="20"/>
          <w:color w:val="auto"/>
        </w:rPr>
        <w:tab/>
      </w:r>
      <w:r>
        <w:rPr>
          <w:rFonts w:ascii="Arial" w:cs="Arial" w:eastAsia="Arial" w:hAnsi="Arial"/>
          <w:sz w:val="17"/>
          <w:szCs w:val="17"/>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3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40" w:type="dxa"/>
            <w:vAlign w:val="bottom"/>
          </w:tcPr>
          <w:p>
            <w:pPr>
              <w:spacing w:after="0"/>
              <w:rPr>
                <w:sz w:val="14"/>
                <w:szCs w:val="14"/>
                <w:color w:val="auto"/>
              </w:rPr>
            </w:pPr>
          </w:p>
        </w:tc>
        <w:tc>
          <w:tcPr>
            <w:tcW w:w="904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1360" w:type="dxa"/>
            <w:vAlign w:val="bottom"/>
            <w:gridSpan w:val="5"/>
          </w:tcPr>
          <w:p>
            <w:pPr>
              <w:spacing w:after="0"/>
              <w:rPr>
                <w:sz w:val="20"/>
                <w:szCs w:val="20"/>
                <w:color w:val="auto"/>
              </w:rPr>
            </w:pPr>
            <w:r>
              <w:rPr>
                <w:rFonts w:ascii="Arial" w:cs="Arial" w:eastAsia="Arial" w:hAnsi="Arial"/>
                <w:sz w:val="18"/>
                <w:szCs w:val="18"/>
                <w:color w:val="auto"/>
              </w:rPr>
              <w:t>Exhibit Number</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37"/>
        </w:trPr>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040" w:type="dxa"/>
            <w:vAlign w:val="bottom"/>
          </w:tcPr>
          <w:p>
            <w:pPr>
              <w:spacing w:after="0"/>
              <w:rPr>
                <w:sz w:val="20"/>
                <w:szCs w:val="20"/>
                <w:color w:val="auto"/>
              </w:rPr>
            </w:pPr>
          </w:p>
        </w:tc>
      </w:tr>
      <w:tr>
        <w:trPr>
          <w:trHeight w:val="175"/>
        </w:trPr>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Distribution Agreement, dated September 3, 2021, by and between ADMA Biologics, Inc. and Raymond James &amp; Associates, Inc.</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(incorporated by reference to Exhibit 1.1 of the Company’s Current Report on Form 8-K filed with the SEC on September 3, 2021).</w:t>
            </w:r>
          </w:p>
        </w:tc>
      </w:tr>
      <w:tr>
        <w:trPr>
          <w:trHeight w:val="176"/>
        </w:trPr>
        <w:tc>
          <w:tcPr>
            <w:tcW w:w="320" w:type="dxa"/>
            <w:vAlign w:val="bottom"/>
            <w:tcBorders>
              <w:bottom w:val="single" w:sz="8" w:color="0000EE"/>
            </w:tcBorders>
          </w:tcPr>
          <w:p>
            <w:pPr>
              <w:spacing w:after="0" w:line="176" w:lineRule="exact"/>
              <w:rPr>
                <w:rFonts w:ascii="Arial" w:cs="Arial" w:eastAsia="Arial" w:hAnsi="Arial"/>
                <w:sz w:val="18"/>
                <w:szCs w:val="18"/>
                <w:color w:val="0000EE"/>
                <w:w w:val="85"/>
              </w:rPr>
            </w:pPr>
            <w:hyperlink r:id="rId8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auto"/>
                <w:w w:val="94"/>
              </w:rPr>
              <w:t>Form of Retention Bonus Agreement (incorporated by reference to Exhibit 10.1 to the Company’s Current Report on Form 8-K filed</w:t>
            </w: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with the SEC on October 1, 2021).</w:t>
            </w:r>
          </w:p>
        </w:tc>
      </w:tr>
      <w:tr>
        <w:trPr>
          <w:trHeight w:val="175"/>
        </w:trPr>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r:id="rId8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Amendment to Employment Agreement, dated as of September 29, 2021, by and between the Company and Adam Grossman</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(incorporated by reference to Exhibit 10.2 to the Company’s Current Report on Form 8-K filed with the SEC on October 1, 2021).</w:t>
            </w:r>
          </w:p>
        </w:tc>
      </w:tr>
      <w:tr>
        <w:trPr>
          <w:trHeight w:val="176"/>
        </w:trPr>
        <w:tc>
          <w:tcPr>
            <w:tcW w:w="320" w:type="dxa"/>
            <w:vAlign w:val="bottom"/>
            <w:tcBorders>
              <w:bottom w:val="single" w:sz="8" w:color="0000EE"/>
            </w:tcBorders>
          </w:tcPr>
          <w:p>
            <w:pPr>
              <w:spacing w:after="0" w:line="176" w:lineRule="exact"/>
              <w:rPr>
                <w:rFonts w:ascii="Arial" w:cs="Arial" w:eastAsia="Arial" w:hAnsi="Arial"/>
                <w:sz w:val="18"/>
                <w:szCs w:val="18"/>
                <w:color w:val="0000EE"/>
                <w:w w:val="85"/>
              </w:rPr>
            </w:pPr>
            <w:hyperlink r:id="rId8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auto"/>
                <w:w w:val="90"/>
              </w:rPr>
              <w:t>Amendment to Employment Agreement, dated as of September 29, 2021, by and between the Company and Brian Lenz (incorporated by</w:t>
            </w:r>
          </w:p>
        </w:tc>
      </w:tr>
      <w:tr>
        <w:trPr>
          <w:trHeight w:val="236"/>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reference to Exhibit 10.3 to the Company’s Current Report on Form 8-K filed with the SEC on October 1, 2021).</w:t>
            </w:r>
          </w:p>
        </w:tc>
      </w:tr>
      <w:tr>
        <w:trPr>
          <w:trHeight w:val="17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Certification of Principal Executive Officer pursuant to Rules 13a-14(a) and 15d-14(a), as adopted pursuant to Section 302 of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175"/>
        </w:trPr>
        <w:tc>
          <w:tcPr>
            <w:tcW w:w="500" w:type="dxa"/>
            <w:vAlign w:val="bottom"/>
            <w:gridSpan w:val="3"/>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auto"/>
                <w:w w:val="97"/>
              </w:rPr>
              <w:t>Certification of Principal Financial Officer pursuant to Rules 13a-14(a) and 15d-14(a), as adopted pursuant to Section 302 of the</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176"/>
        </w:trPr>
        <w:tc>
          <w:tcPr>
            <w:tcW w:w="1180" w:type="dxa"/>
            <w:vAlign w:val="bottom"/>
            <w:gridSpan w:val="4"/>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8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Oxley Act of 2002.</w:t>
            </w:r>
          </w:p>
        </w:tc>
      </w:tr>
      <w:tr>
        <w:trPr>
          <w:trHeight w:val="176"/>
        </w:trPr>
        <w:tc>
          <w:tcPr>
            <w:tcW w:w="1180" w:type="dxa"/>
            <w:vAlign w:val="bottom"/>
            <w:gridSpan w:val="4"/>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8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The following materials from ADMA Biologics, Inc.’s Form 10-Q for the quarter ended September 30, 2021, formatted in Extensible</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Business Reporting Language (XBRL): (i) Condensed Consolidated Balance Sheets as of September 30, 2021 (Unaudited) and</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December 31, 2020, (ii) Condensed Consolidated Statements of Operations (Unaudited) for the three and nine months ended September</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30, 2021 and 2020, (iii) Condensed Consolidated Statements of Changes in Stockholders’ Equity (Unaudited) for the three and nine</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months ended September 30, 2021 and 2020, (iv) Condensed Consolidated Statements of Cash Flows (Unaudited) for the nine months</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ended September 30, 2021 and 2020, and (v) Notes to (Unaudited) Condensed Consolidated Financial Statements.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230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S. Grossman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Lenz</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In connection with the Quarterly Report of ADMA Biologics, Inc., a Delaware corporation (the “Company”), on Form 10-Q for the quarter ended September 30, 2021,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7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60" w:type="dxa"/>
            <w:vAlign w:val="bottom"/>
          </w:tcPr>
          <w:p>
            <w:pPr>
              <w:spacing w:after="0"/>
              <w:rPr>
                <w:sz w:val="20"/>
                <w:szCs w:val="20"/>
                <w:color w:val="auto"/>
              </w:rPr>
            </w:pPr>
            <w:r>
              <w:rPr>
                <w:rFonts w:ascii="Arial" w:cs="Arial" w:eastAsia="Arial" w:hAnsi="Arial"/>
                <w:sz w:val="18"/>
                <w:szCs w:val="18"/>
                <w:color w:val="auto"/>
              </w:rPr>
              <w:t>Date: November 10, 2021</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760" w:type="dxa"/>
            <w:vAlign w:val="bottom"/>
          </w:tcPr>
          <w:p>
            <w:pPr>
              <w:spacing w:after="0"/>
              <w:rPr>
                <w:sz w:val="17"/>
                <w:szCs w:val="17"/>
                <w:color w:val="auto"/>
              </w:rPr>
            </w:pPr>
          </w:p>
        </w:tc>
        <w:tc>
          <w:tcPr>
            <w:tcW w:w="244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760" w:type="dxa"/>
            <w:vAlign w:val="bottom"/>
          </w:tcPr>
          <w:p>
            <w:pPr>
              <w:spacing w:after="0"/>
              <w:rPr>
                <w:sz w:val="18"/>
                <w:szCs w:val="18"/>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connection with the Quarterly Report of ADMA Biologics, Inc., a Delaware corporation (the “Company”), on Form 10-Q for the quarter ended September 30, 2021,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Lenz</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lowerRoman"/>
      <w:start w:val="5"/>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2"/>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upp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86" Type="http://schemas.openxmlformats.org/officeDocument/2006/relationships/hyperlink" Target="https://www.sec.gov/Archives/edgar/data/1368514/000114036121030391/ny20000594x2_ex1-1.htm" TargetMode="External"/><Relationship Id="rId87" Type="http://schemas.openxmlformats.org/officeDocument/2006/relationships/hyperlink" Target="https://www.sec.gov/Archives/edgar/data/1368514/000114036121033302/brhc10029407_ex10-1.htm" TargetMode="External"/><Relationship Id="rId88" Type="http://schemas.openxmlformats.org/officeDocument/2006/relationships/hyperlink" Target="https://www.sec.gov/Archives/edgar/data/1368514/000114036121033302/brhc10029407_ex10-2.htm" TargetMode="External"/><Relationship Id="rId89" Type="http://schemas.openxmlformats.org/officeDocument/2006/relationships/hyperlink" Target="https://www.sec.gov/Archives/edgar/data/1368514/000114036121033302/brhc10029407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2021-11-10T16:27:16Z</dcterms:created>
  <dcterms:modified xsi:type="dcterms:W3CDTF">2021-11-10T16:27:16Z</dcterms:modified>
</cp:coreProperties>
</file>