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660" w:right="420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660" w:right="418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0" w:lineRule="exact"/>
        <w:rPr>
          <w:rFonts w:ascii="MS PGothic" w:cs="MS PGothic" w:eastAsia="MS PGothic" w:hAnsi="MS PGothic"/>
          <w:sz w:val="18"/>
          <w:szCs w:val="18"/>
          <w:color w:val="auto"/>
        </w:rPr>
      </w:pPr>
    </w:p>
    <w:p>
      <w:pPr>
        <w:ind w:left="66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________ to 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001-36728</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ADMA BIOLOGICS,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40" w:type="dxa"/>
            <w:vAlign w:val="bottom"/>
            <w:gridSpan w:val="3"/>
          </w:tcPr>
          <w:p>
            <w:pPr>
              <w:jc w:val="center"/>
              <w:ind w:right="1960"/>
              <w:spacing w:after="0"/>
              <w:rPr>
                <w:sz w:val="20"/>
                <w:szCs w:val="20"/>
                <w:color w:val="auto"/>
              </w:rPr>
            </w:pPr>
            <w:r>
              <w:rPr>
                <w:rFonts w:ascii="Arial" w:cs="Arial" w:eastAsia="Arial" w:hAnsi="Arial"/>
                <w:sz w:val="18"/>
                <w:szCs w:val="18"/>
                <w:color w:val="auto"/>
                <w:w w:val="89"/>
              </w:rPr>
              <w:t>Delaware</w:t>
            </w:r>
          </w:p>
        </w:tc>
        <w:tc>
          <w:tcPr>
            <w:tcW w:w="4720" w:type="dxa"/>
            <w:vAlign w:val="bottom"/>
            <w:gridSpan w:val="6"/>
          </w:tcPr>
          <w:p>
            <w:pPr>
              <w:jc w:val="right"/>
              <w:ind w:right="880"/>
              <w:spacing w:after="0"/>
              <w:rPr>
                <w:sz w:val="20"/>
                <w:szCs w:val="20"/>
                <w:color w:val="auto"/>
              </w:rPr>
            </w:pPr>
            <w:r>
              <w:rPr>
                <w:rFonts w:ascii="Arial" w:cs="Arial" w:eastAsia="Arial" w:hAnsi="Arial"/>
                <w:sz w:val="18"/>
                <w:szCs w:val="18"/>
                <w:color w:val="auto"/>
              </w:rPr>
              <w:t>56-2590442</w:t>
            </w:r>
          </w:p>
        </w:tc>
      </w:tr>
      <w:tr>
        <w:trPr>
          <w:trHeight w:val="20"/>
        </w:trPr>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4500" w:type="dxa"/>
            <w:vAlign w:val="bottom"/>
            <w:gridSpan w:val="5"/>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1120" w:type="dxa"/>
            <w:vAlign w:val="bottom"/>
          </w:tcPr>
          <w:p>
            <w:pPr>
              <w:spacing w:after="0"/>
              <w:rPr>
                <w:sz w:val="20"/>
                <w:szCs w:val="20"/>
                <w:color w:val="auto"/>
              </w:rPr>
            </w:pPr>
          </w:p>
        </w:tc>
        <w:tc>
          <w:tcPr>
            <w:tcW w:w="3600" w:type="dxa"/>
            <w:vAlign w:val="bottom"/>
            <w:gridSpan w:val="5"/>
          </w:tcPr>
          <w:p>
            <w:pPr>
              <w:jc w:val="center"/>
              <w:ind w:left="89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720" w:type="dxa"/>
            <w:vAlign w:val="bottom"/>
          </w:tcPr>
          <w:p>
            <w:pPr>
              <w:spacing w:after="0"/>
              <w:rPr>
                <w:sz w:val="24"/>
                <w:szCs w:val="24"/>
                <w:color w:val="auto"/>
              </w:rPr>
            </w:pPr>
          </w:p>
        </w:tc>
        <w:tc>
          <w:tcPr>
            <w:tcW w:w="3780" w:type="dxa"/>
            <w:vAlign w:val="bottom"/>
            <w:gridSpan w:val="4"/>
          </w:tcPr>
          <w:p>
            <w:pPr>
              <w:jc w:val="center"/>
              <w:ind w:right="820"/>
              <w:spacing w:after="0"/>
              <w:rPr>
                <w:sz w:val="20"/>
                <w:szCs w:val="20"/>
                <w:color w:val="auto"/>
              </w:rPr>
            </w:pPr>
            <w:r>
              <w:rPr>
                <w:rFonts w:ascii="Arial" w:cs="Arial" w:eastAsia="Arial" w:hAnsi="Arial"/>
                <w:sz w:val="18"/>
                <w:szCs w:val="18"/>
                <w:color w:val="auto"/>
                <w:w w:val="88"/>
              </w:rPr>
              <w:t>465 State Route 17, Ramsey, New Jersey</w:t>
            </w:r>
          </w:p>
        </w:tc>
        <w:tc>
          <w:tcPr>
            <w:tcW w:w="3840" w:type="dxa"/>
            <w:vAlign w:val="bottom"/>
            <w:gridSpan w:val="5"/>
          </w:tcPr>
          <w:p>
            <w:pPr>
              <w:jc w:val="right"/>
              <w:ind w:right="200"/>
              <w:spacing w:after="0"/>
              <w:rPr>
                <w:sz w:val="20"/>
                <w:szCs w:val="20"/>
                <w:color w:val="auto"/>
              </w:rPr>
            </w:pPr>
            <w:r>
              <w:rPr>
                <w:rFonts w:ascii="Arial" w:cs="Arial" w:eastAsia="Arial" w:hAnsi="Arial"/>
                <w:sz w:val="18"/>
                <w:szCs w:val="18"/>
                <w:color w:val="auto"/>
              </w:rPr>
              <w:t>07446</w:t>
            </w:r>
          </w:p>
        </w:tc>
        <w:tc>
          <w:tcPr>
            <w:tcW w:w="88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2960" w:type="dxa"/>
            <w:vAlign w:val="bottom"/>
            <w:gridSpan w:val="3"/>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296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740" w:type="dxa"/>
            <w:vAlign w:val="bottom"/>
            <w:gridSpan w:val="4"/>
          </w:tcPr>
          <w:p>
            <w:pPr>
              <w:jc w:val="center"/>
              <w:ind w:right="880"/>
              <w:spacing w:after="0"/>
              <w:rPr>
                <w:sz w:val="20"/>
                <w:szCs w:val="20"/>
                <w:color w:val="auto"/>
              </w:rPr>
            </w:pPr>
            <w:r>
              <w:rPr>
                <w:rFonts w:ascii="Arial" w:cs="Arial" w:eastAsia="Arial" w:hAnsi="Arial"/>
                <w:sz w:val="18"/>
                <w:szCs w:val="18"/>
                <w:color w:val="auto"/>
                <w:w w:val="91"/>
              </w:rPr>
              <w:t>(Zip Code)</w:t>
            </w:r>
          </w:p>
        </w:tc>
      </w:tr>
      <w:tr>
        <w:trPr>
          <w:trHeight w:val="392"/>
        </w:trPr>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 478-5552</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ý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ý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9" w:lineRule="exact"/>
        <w:rPr>
          <w:sz w:val="24"/>
          <w:szCs w:val="24"/>
          <w:color w:val="auto"/>
        </w:rPr>
      </w:pPr>
    </w:p>
    <w:tbl>
      <w:tblPr>
        <w:tblLayout w:type="fixed"/>
        <w:tblInd w:w="126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2"/>
              </w:rPr>
              <w:t>Large accelerated filer</w:t>
            </w:r>
          </w:p>
        </w:tc>
        <w:tc>
          <w:tcPr>
            <w:tcW w:w="256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920" w:type="dxa"/>
            <w:vAlign w:val="bottom"/>
          </w:tcPr>
          <w:p>
            <w:pPr>
              <w:ind w:left="8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180" w:type="dxa"/>
            <w:vAlign w:val="bottom"/>
          </w:tcPr>
          <w:p>
            <w:pPr>
              <w:spacing w:after="0"/>
              <w:rPr>
                <w:sz w:val="18"/>
                <w:szCs w:val="18"/>
                <w:color w:val="auto"/>
              </w:rPr>
            </w:pPr>
          </w:p>
        </w:tc>
      </w:tr>
      <w:tr>
        <w:trPr>
          <w:trHeight w:val="249"/>
        </w:trPr>
        <w:tc>
          <w:tcPr>
            <w:tcW w:w="1660" w:type="dxa"/>
            <w:vAlign w:val="bottom"/>
          </w:tcPr>
          <w:p>
            <w:pPr>
              <w:spacing w:after="0"/>
              <w:rPr>
                <w:sz w:val="20"/>
                <w:szCs w:val="20"/>
                <w:color w:val="auto"/>
              </w:rPr>
            </w:pPr>
            <w:r>
              <w:rPr>
                <w:rFonts w:ascii="Arial" w:cs="Arial" w:eastAsia="Arial" w:hAnsi="Arial"/>
                <w:sz w:val="18"/>
                <w:szCs w:val="18"/>
                <w:color w:val="auto"/>
                <w:w w:val="98"/>
              </w:rPr>
              <w:t>Non-accelerated filer</w:t>
            </w:r>
          </w:p>
        </w:tc>
        <w:tc>
          <w:tcPr>
            <w:tcW w:w="25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920" w:type="dxa"/>
            <w:vAlign w:val="bottom"/>
          </w:tcPr>
          <w:p>
            <w:pPr>
              <w:ind w:left="860"/>
              <w:spacing w:after="0"/>
              <w:rPr>
                <w:sz w:val="20"/>
                <w:szCs w:val="20"/>
                <w:color w:val="auto"/>
              </w:rPr>
            </w:pPr>
            <w:r>
              <w:rPr>
                <w:rFonts w:ascii="Arial" w:cs="Arial" w:eastAsia="Arial" w:hAnsi="Arial"/>
                <w:sz w:val="18"/>
                <w:szCs w:val="18"/>
                <w:color w:val="auto"/>
                <w:w w:val="94"/>
              </w:rPr>
              <w:t>Smaller reporting company</w:t>
            </w:r>
          </w:p>
        </w:tc>
        <w:tc>
          <w:tcPr>
            <w:tcW w:w="180" w:type="dxa"/>
            <w:vAlign w:val="bottom"/>
          </w:tcPr>
          <w:p>
            <w:pPr>
              <w:ind w:left="100"/>
              <w:spacing w:after="0"/>
              <w:rPr>
                <w:sz w:val="20"/>
                <w:szCs w:val="20"/>
                <w:color w:val="auto"/>
              </w:rPr>
            </w:pPr>
            <w:r>
              <w:rPr>
                <w:rFonts w:ascii="Arial" w:cs="Arial" w:eastAsia="Arial" w:hAnsi="Arial"/>
                <w:sz w:val="17"/>
                <w:szCs w:val="17"/>
                <w:color w:val="auto"/>
                <w:w w:val="70"/>
              </w:rPr>
              <w:t>ý</w:t>
            </w: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(Do not check if a smaller reporting company)</w:t>
            </w:r>
          </w:p>
        </w:tc>
        <w:tc>
          <w:tcPr>
            <w:tcW w:w="2920" w:type="dxa"/>
            <w:vAlign w:val="bottom"/>
          </w:tcPr>
          <w:p>
            <w:pPr>
              <w:ind w:left="860"/>
              <w:spacing w:after="0"/>
              <w:rPr>
                <w:sz w:val="20"/>
                <w:szCs w:val="20"/>
                <w:color w:val="auto"/>
              </w:rPr>
            </w:pPr>
            <w:r>
              <w:rPr>
                <w:rFonts w:ascii="Arial" w:cs="Arial" w:eastAsia="Arial" w:hAnsi="Arial"/>
                <w:sz w:val="18"/>
                <w:szCs w:val="18"/>
                <w:color w:val="auto"/>
                <w:w w:val="95"/>
              </w:rPr>
              <w:t>Emerging growth company</w:t>
            </w:r>
          </w:p>
        </w:tc>
        <w:tc>
          <w:tcPr>
            <w:tcW w:w="180" w:type="dxa"/>
            <w:vAlign w:val="bottom"/>
          </w:tcPr>
          <w:p>
            <w:pPr>
              <w:ind w:left="80"/>
              <w:spacing w:after="0"/>
              <w:rPr>
                <w:sz w:val="20"/>
                <w:szCs w:val="20"/>
                <w:color w:val="auto"/>
              </w:rPr>
            </w:pPr>
            <w:r>
              <w:rPr>
                <w:rFonts w:ascii="Arial" w:cs="Arial" w:eastAsia="Arial" w:hAnsi="Arial"/>
                <w:sz w:val="18"/>
                <w:szCs w:val="18"/>
                <w:color w:val="auto"/>
                <w:w w:val="88"/>
              </w:rPr>
              <w:t>ý</w:t>
            </w:r>
          </w:p>
        </w:tc>
      </w:tr>
    </w:tbl>
    <w:p>
      <w:pPr>
        <w:spacing w:after="0" w:line="202"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ý</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August 8, 2018, there were 46,349,514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180" w:type="dxa"/>
            <w:vAlign w:val="bottom"/>
            <w:gridSpan w:val="8"/>
          </w:tcPr>
          <w:p>
            <w:pPr>
              <w:jc w:val="center"/>
              <w:ind w:right="2880"/>
              <w:spacing w:after="0"/>
              <w:rPr>
                <w:sz w:val="20"/>
                <w:szCs w:val="20"/>
                <w:color w:val="auto"/>
              </w:rPr>
            </w:pPr>
            <w:r>
              <w:rPr>
                <w:rFonts w:ascii="Arial" w:cs="Arial" w:eastAsia="Arial" w:hAnsi="Arial"/>
                <w:sz w:val="18"/>
                <w:szCs w:val="18"/>
                <w:b w:val="1"/>
                <w:bCs w:val="1"/>
                <w:color w:val="auto"/>
              </w:rPr>
              <w:t>ADMA BIOLOGICS, INC. AND SUBSIDIARIES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180" w:type="dxa"/>
            <w:vAlign w:val="bottom"/>
            <w:gridSpan w:val="8"/>
          </w:tcPr>
          <w:p>
            <w:pPr>
              <w:jc w:val="center"/>
              <w:ind w:right="288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19"/>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PART I FINANCIAL INFORMATION</w:t>
              </w:r>
            </w:hyperlink>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Borders>
              <w:top w:val="single" w:sz="8" w:color="0000EE"/>
            </w:tcBorders>
            <w:gridSpan w:val="2"/>
          </w:tcPr>
          <w:p>
            <w:pPr>
              <w:ind w:left="160"/>
              <w:spacing w:after="0" w:line="176" w:lineRule="exact"/>
              <w:rPr>
                <w:sz w:val="20"/>
                <w:szCs w:val="20"/>
                <w:color w:val="auto"/>
              </w:rPr>
            </w:pPr>
            <w:r>
              <w:rPr>
                <w:rFonts w:ascii="Arial" w:cs="Arial" w:eastAsia="Arial" w:hAnsi="Arial"/>
                <w:sz w:val="18"/>
                <w:szCs w:val="18"/>
                <w:color w:val="auto"/>
              </w:rPr>
              <w:t>Item 1.</w:t>
            </w:r>
          </w:p>
        </w:tc>
        <w:tc>
          <w:tcPr>
            <w:tcW w:w="1640" w:type="dxa"/>
            <w:vAlign w:val="bottom"/>
            <w:tcBorders>
              <w:top w:val="single" w:sz="8" w:color="0000EE"/>
            </w:tcBorders>
            <w:gridSpan w:val="7"/>
          </w:tcPr>
          <w:p>
            <w:pPr>
              <w:spacing w:after="0" w:line="17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Financial Statements</w:t>
              </w:r>
            </w:hyperlink>
          </w:p>
        </w:tc>
        <w:tc>
          <w:tcPr>
            <w:tcW w:w="7900" w:type="dxa"/>
            <w:vAlign w:val="bottom"/>
            <w:tcBorders>
              <w:top w:val="single" w:sz="8" w:color="CCEEFF"/>
            </w:tcBorders>
            <w:gridSpan w:val="10"/>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540" w:type="dxa"/>
            <w:vAlign w:val="bottom"/>
            <w:gridSpan w:val="1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June 30, 2018 (Unaudited) and December 31, 2017</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40" w:type="dxa"/>
            <w:vAlign w:val="bottom"/>
            <w:gridSpan w:val="17"/>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Operations (Unaudited) for the Three and Six Months Ended June 30, 2018 and 2017</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540" w:type="dxa"/>
            <w:vAlign w:val="bottom"/>
            <w:gridSpan w:val="17"/>
            <w:shd w:val="clear" w:color="auto" w:fill="CCEEFF"/>
          </w:tcPr>
          <w:p>
            <w:pPr>
              <w:spacing w:after="0" w:line="17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Condensed Consolidated Statement of Changes in Stockholders’ Equity (Unaudited) for the Six Months Ended June 30, 2018</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40" w:type="dxa"/>
            <w:vAlign w:val="bottom"/>
            <w:tcBorders>
              <w:top w:val="single" w:sz="8" w:color="0000EE"/>
            </w:tcBorders>
            <w:gridSpan w:val="16"/>
          </w:tcPr>
          <w:p>
            <w:pPr>
              <w:spacing w:after="0" w:line="176"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Condensed Consolidated Statements of Cash Flows (Unaudited) for the Six Months Ended June 30, 2018 and 2017</w:t>
              </w:r>
            </w:hyperlink>
          </w:p>
        </w:tc>
        <w:tc>
          <w:tcPr>
            <w:tcW w:w="50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540" w:type="dxa"/>
            <w:vAlign w:val="bottom"/>
            <w:gridSpan w:val="17"/>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Item 2.</w:t>
            </w:r>
          </w:p>
        </w:tc>
        <w:tc>
          <w:tcPr>
            <w:tcW w:w="9540" w:type="dxa"/>
            <w:vAlign w:val="bottom"/>
            <w:gridSpan w:val="17"/>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540" w:type="dxa"/>
            <w:vAlign w:val="bottom"/>
            <w:gridSpan w:val="17"/>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Borders>
              <w:top w:val="single" w:sz="8" w:color="CCEEFF"/>
            </w:tcBorders>
            <w:gridSpan w:val="2"/>
          </w:tcPr>
          <w:p>
            <w:pPr>
              <w:ind w:left="160"/>
              <w:spacing w:after="0" w:line="176" w:lineRule="exact"/>
              <w:rPr>
                <w:sz w:val="20"/>
                <w:szCs w:val="20"/>
                <w:color w:val="auto"/>
              </w:rPr>
            </w:pPr>
            <w:r>
              <w:rPr>
                <w:rFonts w:ascii="Arial" w:cs="Arial" w:eastAsia="Arial" w:hAnsi="Arial"/>
                <w:sz w:val="18"/>
                <w:szCs w:val="18"/>
                <w:color w:val="auto"/>
              </w:rPr>
              <w:t>Item 4.</w:t>
            </w:r>
          </w:p>
        </w:tc>
        <w:tc>
          <w:tcPr>
            <w:tcW w:w="440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5140" w:type="dxa"/>
            <w:vAlign w:val="bottom"/>
            <w:tcBorders>
              <w:top w:val="single" w:sz="8" w:color="CCEEFF"/>
            </w:tcBorders>
            <w:gridSpan w:val="7"/>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2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PART II OTHER INFORMATION</w:t>
              </w:r>
            </w:hyperlink>
          </w:p>
        </w:tc>
        <w:tc>
          <w:tcPr>
            <w:tcW w:w="8200" w:type="dxa"/>
            <w:vAlign w:val="bottom"/>
            <w:tcBorders>
              <w:bottom w:val="single" w:sz="8" w:color="CCEEFF"/>
            </w:tcBorders>
            <w:gridSpan w:val="14"/>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Item 1.</w:t>
            </w:r>
          </w:p>
        </w:tc>
        <w:tc>
          <w:tcPr>
            <w:tcW w:w="9540" w:type="dxa"/>
            <w:vAlign w:val="bottom"/>
            <w:gridSpan w:val="17"/>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1A.</w:t>
            </w:r>
          </w:p>
        </w:tc>
        <w:tc>
          <w:tcPr>
            <w:tcW w:w="9540" w:type="dxa"/>
            <w:vAlign w:val="bottom"/>
            <w:gridSpan w:val="17"/>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Item 2.</w:t>
            </w:r>
          </w:p>
        </w:tc>
        <w:tc>
          <w:tcPr>
            <w:tcW w:w="9540" w:type="dxa"/>
            <w:vAlign w:val="bottom"/>
            <w:gridSpan w:val="17"/>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Unregistered Sales of Equity Securities and Use of Proceeds.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540" w:type="dxa"/>
            <w:vAlign w:val="bottom"/>
            <w:gridSpan w:val="17"/>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Defaults Upon Senior Securities.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Borders>
              <w:top w:val="single" w:sz="8" w:color="CCEEFF"/>
            </w:tcBorders>
            <w:gridSpan w:val="2"/>
          </w:tcPr>
          <w:p>
            <w:pPr>
              <w:ind w:left="160"/>
              <w:spacing w:after="0" w:line="176" w:lineRule="exact"/>
              <w:rPr>
                <w:sz w:val="20"/>
                <w:szCs w:val="20"/>
                <w:color w:val="auto"/>
              </w:rPr>
            </w:pPr>
            <w:r>
              <w:rPr>
                <w:rFonts w:ascii="Arial" w:cs="Arial" w:eastAsia="Arial" w:hAnsi="Arial"/>
                <w:sz w:val="18"/>
                <w:szCs w:val="18"/>
                <w:color w:val="auto"/>
              </w:rPr>
              <w:t>Item 4.</w:t>
            </w:r>
          </w:p>
        </w:tc>
        <w:tc>
          <w:tcPr>
            <w:tcW w:w="236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Mine Safety Disclosures.</w:t>
              </w:r>
            </w:hyperlink>
          </w:p>
        </w:tc>
        <w:tc>
          <w:tcPr>
            <w:tcW w:w="7180" w:type="dxa"/>
            <w:vAlign w:val="bottom"/>
            <w:tcBorders>
              <w:top w:val="single" w:sz="8" w:color="CCEEFF"/>
            </w:tcBorders>
            <w:gridSpan w:val="8"/>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Borders>
              <w:bottom w:val="single" w:sz="8" w:color="CCEEFF"/>
            </w:tcBorders>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Item 5.</w:t>
            </w:r>
          </w:p>
        </w:tc>
        <w:tc>
          <w:tcPr>
            <w:tcW w:w="13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Other Information.</w:t>
              </w:r>
            </w:hyperlink>
          </w:p>
        </w:tc>
        <w:tc>
          <w:tcPr>
            <w:tcW w:w="8180" w:type="dxa"/>
            <w:vAlign w:val="bottom"/>
            <w:tcBorders>
              <w:bottom w:val="single" w:sz="8" w:color="CCEEFF"/>
            </w:tcBorders>
            <w:gridSpan w:val="1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Item 6.</w:t>
            </w:r>
          </w:p>
        </w:tc>
        <w:tc>
          <w:tcPr>
            <w:tcW w:w="9540" w:type="dxa"/>
            <w:vAlign w:val="bottom"/>
            <w:gridSpan w:val="17"/>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gridSpan w:val="2"/>
            <w:shd w:val="clear" w:color="auto" w:fill="CCEEFF"/>
          </w:tcPr>
          <w:p>
            <w:pPr>
              <w:spacing w:after="0" w:line="176" w:lineRule="exact"/>
              <w:rPr>
                <w:rFonts w:ascii="Arial" w:cs="Arial" w:eastAsia="Arial" w:hAnsi="Arial"/>
                <w:sz w:val="18"/>
                <w:szCs w:val="18"/>
                <w:color w:val="0000EE"/>
                <w:w w:val="99"/>
              </w:rPr>
            </w:pPr>
            <w:hyperlink w:anchor="page66">
              <w:r>
                <w:rPr>
                  <w:rFonts w:ascii="Arial" w:cs="Arial" w:eastAsia="Arial" w:hAnsi="Arial"/>
                  <w:sz w:val="18"/>
                  <w:szCs w:val="18"/>
                  <w:color w:val="0000EE"/>
                  <w:w w:val="99"/>
                </w:rPr>
                <w:t>SIGNATURES</w:t>
              </w:r>
            </w:hyperlink>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This Quarterly Report on Form 10-Q includes our trademarks, trade names and service marks, such as “Nabi-HB®” and “BIVIGAM®” which are protected under applicable intellectual property laws and are the property of ADMA Biologics, Inc., or its subsidiaries. Solely for convenience, trademarks, trade names and service marks referred to in this report may appear without the ®, ™ or SM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 w:name="page3"/>
    <w:bookmarkEnd w:id="2"/>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Some of the information in this Quarterly Report on Form 10-Q contains forward-looking statements within the meaning of the federal securities laws. These statements include, among others, statements about:</w:t>
      </w:r>
    </w:p>
    <w:p>
      <w:pPr>
        <w:spacing w:after="0" w:line="170" w:lineRule="exact"/>
        <w:rPr>
          <w:sz w:val="20"/>
          <w:szCs w:val="20"/>
          <w:color w:val="auto"/>
        </w:rPr>
      </w:pPr>
    </w:p>
    <w:p>
      <w:pPr>
        <w:ind w:left="660" w:right="1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leverage the anticipated benefits and synergies from our June 6, 2017 acquisition of certain assets of Biotest Pharmaceuticals Corporation (the “Biotest Transaction”), including optimization of the combined businesses, operations and products and services, as well as the nature, strategy and focus of the combined company and the management and governance structure of the combined company;</w:t>
      </w:r>
    </w:p>
    <w:p>
      <w:pPr>
        <w:spacing w:after="0" w:line="146" w:lineRule="exact"/>
        <w:rPr>
          <w:rFonts w:ascii="Arial" w:cs="Arial" w:eastAsia="Arial" w:hAnsi="Arial"/>
          <w:sz w:val="16"/>
          <w:szCs w:val="16"/>
          <w:color w:val="auto"/>
        </w:rPr>
      </w:pPr>
    </w:p>
    <w:p>
      <w:pPr>
        <w:ind w:left="66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resume the manufacturing and commercialization of BIVIGAM once the deficiencies identified in a November 2014 warning letter (the “Warning Letter”) with respect to the outstanding issues at the plasma fractionation facility in Boca Raton, FL acquired in the Biotest Transaction have been resolved by us to the satisfaction of the U.S. Food and Drug Administration (the “FDA”), as well as a positive review of the optimized manufacturing process for BIVIGAM submitted to the agency as a Prior Approval Supplement;</w:t>
      </w:r>
    </w:p>
    <w:p>
      <w:pPr>
        <w:spacing w:after="0" w:line="171" w:lineRule="exact"/>
        <w:rPr>
          <w:rFonts w:ascii="Arial" w:cs="Arial" w:eastAsia="Arial" w:hAnsi="Arial"/>
          <w:sz w:val="17"/>
          <w:szCs w:val="17"/>
          <w:color w:val="auto"/>
        </w:rPr>
      </w:pPr>
    </w:p>
    <w:p>
      <w:pPr>
        <w:ind w:left="660" w:right="8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officially obtain the appropriate compliance status classification to allow us to successfully resubmit to the FDA our Biologics License Application (the “BLA”) for our lead pipeline product candidate, RI-002 (“RI-002”), once the deficiencies identified in the Complete Response Letter we received in July 2016 reaffirming the issues set forth in the Warning Letter have been resolved by us and/or our third-party vendors to the satisfaction of the FDA, and other requests for information included therein have been provided by us;</w:t>
      </w:r>
    </w:p>
    <w:p>
      <w:pPr>
        <w:spacing w:after="0" w:line="171" w:lineRule="exact"/>
        <w:rPr>
          <w:rFonts w:ascii="Arial" w:cs="Arial" w:eastAsia="Arial" w:hAnsi="Arial"/>
          <w:sz w:val="17"/>
          <w:szCs w:val="17"/>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manufacture, market, launch and expand our own commercial infrastructure and commercialize our current and future products and the success of such efforts;</w:t>
      </w:r>
    </w:p>
    <w:p>
      <w:pPr>
        <w:spacing w:after="0" w:line="170" w:lineRule="exact"/>
        <w:rPr>
          <w:rFonts w:ascii="Arial" w:cs="Arial" w:eastAsia="Arial" w:hAnsi="Arial"/>
          <w:sz w:val="18"/>
          <w:szCs w:val="18"/>
          <w:color w:val="auto"/>
        </w:rPr>
      </w:pPr>
    </w:p>
    <w:p>
      <w:pPr>
        <w:ind w:left="660" w:right="38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safety, efficacy and expected timing of and our ability to obtain and maintain regulatory approvals for our current products and product candidates, including the timeframe within which we may receive approval from the FDA, if at all, of our BLA resubmission for RI-002 and the labeling or nature of any such approvals, as well as our ability to maintain an acceptable compliance status to continue operations;</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or expected timing, progress and results of clinical development, clinical trials and potential regulatory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our third-party and related-party customers and vendors and their compliance with regulatory bodies;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quantities of FDA-approved plasma with proper specifications;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increase our supplies of plasma;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investigational new product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acceptability of any of our products, including RI-002, for any purpose by physicians, patients or payers;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concurrence by the FDA with our conclusions and the satisfaction by us of its guidance;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comparability of results of our immune globulin products to other comparably run Intravenous Immune Globulin clinical trials;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 w:name="page4"/>
    <w:bookmarkEnd w:id="3"/>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6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of RI-002 and BIVIGAM to provide meaningful clinical improvement for patients living with Primary Immune Deficiency Disease;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market and promote Nabi-HB in a highly competitive environment and to generate meaningful revenues from this product;</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 and the defense thereof, including our expectations regarding the scope of patent protection with respect to RI-002 or other future pipeline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manufacturing capabilities, third-party contractor capabilities and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relating to manufacturing, supply and other collaborative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capital requirements and the need for additional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or likely reimbursement levels for our currently marketed products and, if any, if and when RI-002 is approved for marketing;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estimates regarding market size, projected growth and sales of our existing products as well as our expectations of market acceptance of RI-002;</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economic conditions or performance;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These statements may be found under the “Risk Factors“ and “Management’s Discussion and Analysis of Financial Condition and Results of Operations” sections of this Quarterly Report on Form 10-Q. Forward-looking statements typically are identified by the use of terms such as “anticipates,” “believes,” “can,” “continue,” “could,” “estimates,” “expects,” “intends,” “may,” “plans,” “potential,” “predicts,” “should,” or “will” or the negative thereof or other variations thereof or comparable terminology. You should be aware that our actual results could differ materially from those contained in the forward-looking statements due to the factors referenced above. Any forward-looking statement included or incorporated by reference in this Quarterly Report on Form 10-Q reflects our current views with respect to future events and is subject to these and other risks, uncertainties and assumptions related to our operations, results of operations, industry and future growth. Given these uncertainties, you should not place undue reliance on these forward-looking statements. These forward-looking statements speak only as of the dates such statements are made.</w:t>
      </w:r>
    </w:p>
    <w:p>
      <w:pPr>
        <w:spacing w:after="0" w:line="179"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In addition to the foregoing, you should also consider carefully the statements under the section entitled “Risk Factors” and other sections of this Quarterly Report on Form 10-Q, which address additional factors that could cause our actual results to differ from those set forth in the forward-looking statements. Any forward-looking statements that we make in this Quarterly Report on Form 10-Q speak only as of the date of such statements and we undertake no obligation to publicly update any forward-looking statements or to publicly announce revisions to any of the forward-looking statements, whether as a result of new information, future events or otherwise.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4" w:name="page5"/>
    <w:bookmarkEnd w:id="4"/>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(Unaudited)</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55,153,975</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43,107,574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3,797,194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3,880,154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12,246,968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12,628,181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2,431,366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2,050,740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73,629,503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63,166,649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30,337,285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30,466,858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4,426,881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4,849,350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3,529,509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3,529,509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Assets to be transferred under purchase agreement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1,295,392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1,496,410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4,000,000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Deposits and other assets</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533,422</w:t>
            </w: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510,057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117,751,992</w:t>
            </w:r>
          </w:p>
        </w:tc>
        <w:tc>
          <w:tcPr>
            <w:tcW w:w="2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108,018,833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3,101,079</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5,920,873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3,644,181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3,376,476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deferred revenue</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142,834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142,834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Current portion of capital lease obligation</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28,992</w:t>
            </w: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6,917,086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9,440,183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Notes payable, net of discount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25,878,081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25,368,458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End of term liability, notes payable</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2,760,000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2,475,782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2,547,199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Note payable - related party, net of discount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14,857,908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14,842,396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Obligation to transfer assets under purchase agreement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12,621,844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12,621,844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134,323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347,898</w:t>
            </w: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105,996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65,992,922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67,686,076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w w:val="88"/>
              </w:rPr>
              <w:t>Preferred Stock, $0.0001 par value, 10,000,000 shares authorized, no shares issued and outstanding</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Common Stock - voting, $0.0001 par value, 75,000,000 shares</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authorized, 46,349,514 and 36,725,499 shares issued and outstanding</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4,635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tcPr>
          <w:p>
            <w:pPr>
              <w:spacing w:after="0" w:line="201" w:lineRule="exact"/>
              <w:rPr>
                <w:sz w:val="20"/>
                <w:szCs w:val="20"/>
                <w:color w:val="auto"/>
              </w:rPr>
            </w:pPr>
            <w:r>
              <w:rPr>
                <w:rFonts w:ascii="Arial" w:cs="Arial" w:eastAsia="Arial" w:hAnsi="Arial"/>
                <w:sz w:val="18"/>
                <w:szCs w:val="18"/>
                <w:color w:val="auto"/>
              </w:rPr>
              <w:t>Common Stock - non-voting, $0.0001 par value, 8,591,160 shares</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authorized, 0 and 8,591,160 shares issued and outstanding</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235,018,201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191,022,018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(183,263,766)</w:t>
            </w: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(150,693,793)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51,759,070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40,332,757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117,751,992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108,018,833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229" w:right="239" w:bottom="1440" w:gutter="0" w:footer="0" w:header="0"/>
        </w:sectPr>
      </w:pP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spacing w:after="0"/>
              <w:rPr>
                <w:rFonts w:ascii="Arial" w:cs="Arial" w:eastAsia="Arial" w:hAnsi="Arial"/>
                <w:sz w:val="14"/>
                <w:szCs w:val="14"/>
                <w:i w:val="1"/>
                <w:iCs w:val="1"/>
                <w:color w:val="0000EE"/>
                <w:w w:val="92"/>
              </w:rPr>
            </w:pPr>
            <w:hyperlink w:anchor="page2">
              <w:r>
                <w:rPr>
                  <w:rFonts w:ascii="Arial" w:cs="Arial" w:eastAsia="Arial" w:hAnsi="Arial"/>
                  <w:sz w:val="14"/>
                  <w:szCs w:val="14"/>
                  <w:i w:val="1"/>
                  <w:iCs w:val="1"/>
                  <w:color w:val="0000EE"/>
                  <w:w w:val="92"/>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8020" w:type="dxa"/>
            <w:vAlign w:val="bottom"/>
            <w:gridSpan w:val="6"/>
          </w:tcPr>
          <w:p>
            <w:pPr>
              <w:jc w:val="center"/>
              <w:ind w:left="3290"/>
              <w:spacing w:after="0"/>
              <w:rPr>
                <w:sz w:val="20"/>
                <w:szCs w:val="20"/>
                <w:color w:val="auto"/>
              </w:rPr>
            </w:pPr>
            <w:r>
              <w:rPr>
                <w:rFonts w:ascii="Arial" w:cs="Arial" w:eastAsia="Arial" w:hAnsi="Arial"/>
                <w:sz w:val="18"/>
                <w:szCs w:val="18"/>
                <w:b w:val="1"/>
                <w:bCs w:val="1"/>
                <w:color w:val="auto"/>
              </w:rPr>
              <w:t>ADMA BIOLOGICS, INC. AND SUBSIDIARIES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8"/>
          </w:tcPr>
          <w:p>
            <w:pPr>
              <w:jc w:val="center"/>
              <w:ind w:left="273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(Unaudited)</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7"/>
              </w:rPr>
              <w:t>Three Months Ended June 30,</w:t>
            </w: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Product revenue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4,620,841</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3,363,692</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8,627,139</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5,956,855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 and other revenue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35,709</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35,709</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71,417</w:t>
            </w:r>
          </w:p>
        </w:tc>
        <w:tc>
          <w:tcPr>
            <w:tcW w:w="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71,417</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4,656,550</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3,399,401</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8,698,556</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6,028,272</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Cost of product revenue (exclusive of amortization expense</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shown below)</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9,645,662</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4,334,019</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21,888,410</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5,950,306</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1,472,100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1,358,409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2,753,806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2,551,136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Plasma center operating expenses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1,738,128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1,600,170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3,571,902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3,079,646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211,234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73,021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422,469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5,006,807</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4,435,650</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10,011,853</w:t>
            </w:r>
          </w:p>
        </w:tc>
        <w:tc>
          <w:tcPr>
            <w:tcW w:w="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8,713,034</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18,073,931</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11,801,269</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38,648,440</w:t>
            </w:r>
          </w:p>
        </w:tc>
        <w:tc>
          <w:tcPr>
            <w:tcW w:w="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20,367,143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(13,417,381)</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(8,401,868)</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(29,949,884)</w:t>
            </w:r>
          </w:p>
        </w:tc>
        <w:tc>
          <w:tcPr>
            <w:tcW w:w="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(14,338,871)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33,070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7,858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59,616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(1,359,188)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(642,485)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(2,682,340)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(1,261,013)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(expense) income</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2,635</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 NET</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(1,330,450)</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(634,627)</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(2,620,089)</w:t>
            </w:r>
          </w:p>
        </w:tc>
        <w:tc>
          <w:tcPr>
            <w:tcW w:w="2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(1,234,587)</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(14,747,831)</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(9,036,495)</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(32,569,973)</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(15,573,458)</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COMMON SHARES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tcPr>
          <w:p>
            <w:pPr>
              <w:ind w:left="160"/>
              <w:spacing w:after="0"/>
              <w:rPr>
                <w:sz w:val="20"/>
                <w:szCs w:val="20"/>
                <w:color w:val="auto"/>
              </w:rPr>
            </w:pPr>
            <w:r>
              <w:rPr>
                <w:rFonts w:ascii="Arial" w:cs="Arial" w:eastAsia="Arial" w:hAnsi="Arial"/>
                <w:sz w:val="18"/>
                <w:szCs w:val="18"/>
                <w:b w:val="1"/>
                <w:bCs w:val="1"/>
                <w:color w:val="auto"/>
              </w:rPr>
              <w:t>Basic and Diluted</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42,712,168</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16,427,054</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44,007,409</w:t>
            </w:r>
          </w:p>
        </w:tc>
        <w:tc>
          <w:tcPr>
            <w:tcW w:w="2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14,666,677</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6" w:name="page7"/>
    <w:bookmarkEnd w:id="6"/>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ind w:left="640"/>
              <w:spacing w:after="0"/>
              <w:rPr>
                <w:sz w:val="20"/>
                <w:szCs w:val="20"/>
                <w:color w:val="auto"/>
              </w:rPr>
            </w:pPr>
            <w:r>
              <w:rPr>
                <w:rFonts w:ascii="Arial" w:cs="Arial" w:eastAsia="Arial" w:hAnsi="Arial"/>
                <w:sz w:val="11"/>
                <w:szCs w:val="11"/>
                <w:b w:val="1"/>
                <w:bCs w:val="1"/>
                <w:color w:val="auto"/>
                <w:w w:val="91"/>
              </w:rPr>
              <w:t>Common Stock</w:t>
            </w:r>
          </w:p>
        </w:tc>
        <w:tc>
          <w:tcPr>
            <w:tcW w:w="7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9"/>
              </w:rPr>
              <w:t>Additional</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gridSpan w:val="3"/>
          </w:tcPr>
          <w:p>
            <w:pPr>
              <w:jc w:val="right"/>
              <w:ind w:right="140"/>
              <w:spacing w:after="0" w:line="115" w:lineRule="exact"/>
              <w:rPr>
                <w:sz w:val="20"/>
                <w:szCs w:val="20"/>
                <w:color w:val="auto"/>
              </w:rPr>
            </w:pPr>
            <w:r>
              <w:rPr>
                <w:rFonts w:ascii="Arial" w:cs="Arial" w:eastAsia="Arial" w:hAnsi="Arial"/>
                <w:sz w:val="11"/>
                <w:szCs w:val="11"/>
                <w:b w:val="1"/>
                <w:bCs w:val="1"/>
                <w:color w:val="auto"/>
                <w:w w:val="93"/>
              </w:rPr>
              <w:t>Voting</w:t>
            </w: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gridSpan w:val="3"/>
          </w:tcPr>
          <w:p>
            <w:pPr>
              <w:jc w:val="right"/>
              <w:ind w:right="80"/>
              <w:spacing w:after="0" w:line="115" w:lineRule="exact"/>
              <w:rPr>
                <w:sz w:val="20"/>
                <w:szCs w:val="20"/>
                <w:color w:val="auto"/>
              </w:rPr>
            </w:pPr>
            <w:r>
              <w:rPr>
                <w:rFonts w:ascii="Arial" w:cs="Arial" w:eastAsia="Arial" w:hAnsi="Arial"/>
                <w:sz w:val="11"/>
                <w:szCs w:val="11"/>
                <w:b w:val="1"/>
                <w:bCs w:val="1"/>
                <w:color w:val="auto"/>
              </w:rPr>
              <w:t>Non-Voting</w:t>
            </w: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gridSpan w:val="2"/>
          </w:tcPr>
          <w:p>
            <w:pPr>
              <w:jc w:val="center"/>
              <w:ind w:right="400"/>
              <w:spacing w:after="0" w:line="115" w:lineRule="exact"/>
              <w:rPr>
                <w:sz w:val="20"/>
                <w:szCs w:val="20"/>
                <w:color w:val="auto"/>
              </w:rPr>
            </w:pPr>
            <w:r>
              <w:rPr>
                <w:rFonts w:ascii="Arial" w:cs="Arial" w:eastAsia="Arial" w:hAnsi="Arial"/>
                <w:sz w:val="11"/>
                <w:szCs w:val="11"/>
                <w:b w:val="1"/>
                <w:bCs w:val="1"/>
                <w:color w:val="auto"/>
                <w:w w:val="87"/>
              </w:rPr>
              <w:t>Paid-in</w:t>
            </w:r>
          </w:p>
        </w:tc>
        <w:tc>
          <w:tcPr>
            <w:tcW w:w="140" w:type="dxa"/>
            <w:vAlign w:val="bottom"/>
          </w:tcPr>
          <w:p>
            <w:pPr>
              <w:spacing w:after="0"/>
              <w:rPr>
                <w:sz w:val="9"/>
                <w:szCs w:val="9"/>
                <w:color w:val="auto"/>
              </w:rPr>
            </w:pPr>
          </w:p>
        </w:tc>
        <w:tc>
          <w:tcPr>
            <w:tcW w:w="920" w:type="dxa"/>
            <w:vAlign w:val="bottom"/>
          </w:tcPr>
          <w:p>
            <w:pPr>
              <w:jc w:val="right"/>
              <w:ind w:right="166"/>
              <w:spacing w:after="0" w:line="115" w:lineRule="exact"/>
              <w:rPr>
                <w:sz w:val="20"/>
                <w:szCs w:val="20"/>
                <w:color w:val="auto"/>
              </w:rPr>
            </w:pPr>
            <w:r>
              <w:rPr>
                <w:rFonts w:ascii="Arial" w:cs="Arial" w:eastAsia="Arial" w:hAnsi="Arial"/>
                <w:sz w:val="11"/>
                <w:szCs w:val="11"/>
                <w:b w:val="1"/>
                <w:bCs w:val="1"/>
                <w:color w:val="auto"/>
                <w:w w:val="98"/>
              </w:rPr>
              <w:t>Accumulated</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960" w:type="dxa"/>
            <w:vAlign w:val="bottom"/>
          </w:tcPr>
          <w:p>
            <w:pPr>
              <w:jc w:val="right"/>
              <w:ind w:right="246"/>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3"/>
          </w:tcPr>
          <w:p>
            <w:pPr>
              <w:ind w:left="140"/>
              <w:spacing w:after="0"/>
              <w:rPr>
                <w:sz w:val="20"/>
                <w:szCs w:val="20"/>
                <w:color w:val="auto"/>
              </w:rPr>
            </w:pPr>
            <w:r>
              <w:rPr>
                <w:rFonts w:ascii="Arial" w:cs="Arial" w:eastAsia="Arial" w:hAnsi="Arial"/>
                <w:sz w:val="11"/>
                <w:szCs w:val="11"/>
                <w:b w:val="1"/>
                <w:bCs w:val="1"/>
                <w:color w:val="auto"/>
              </w:rPr>
              <w:t>Amount</w:t>
            </w:r>
          </w:p>
        </w:tc>
        <w:tc>
          <w:tcPr>
            <w:tcW w:w="740" w:type="dxa"/>
            <w:vAlign w:val="bottom"/>
          </w:tcPr>
          <w:p>
            <w:pPr>
              <w:jc w:val="right"/>
              <w:ind w:right="326"/>
              <w:spacing w:after="0"/>
              <w:rPr>
                <w:sz w:val="20"/>
                <w:szCs w:val="20"/>
                <w:color w:val="auto"/>
              </w:rPr>
            </w:pPr>
            <w:r>
              <w:rPr>
                <w:rFonts w:ascii="Arial" w:cs="Arial" w:eastAsia="Arial" w:hAnsi="Arial"/>
                <w:sz w:val="11"/>
                <w:szCs w:val="11"/>
                <w:b w:val="1"/>
                <w:bCs w:val="1"/>
                <w:color w:val="auto"/>
                <w:w w:val="92"/>
              </w:rPr>
              <w:t>Shares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286"/>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1"/>
                <w:szCs w:val="11"/>
                <w:color w:val="auto"/>
              </w:rPr>
            </w:pPr>
          </w:p>
        </w:tc>
        <w:tc>
          <w:tcPr>
            <w:tcW w:w="920" w:type="dxa"/>
            <w:vAlign w:val="bottom"/>
          </w:tcPr>
          <w:p>
            <w:pPr>
              <w:jc w:val="right"/>
              <w:ind w:right="326"/>
              <w:spacing w:after="0"/>
              <w:rPr>
                <w:sz w:val="20"/>
                <w:szCs w:val="20"/>
                <w:color w:val="auto"/>
              </w:rPr>
            </w:pPr>
            <w:r>
              <w:rPr>
                <w:rFonts w:ascii="Arial" w:cs="Arial" w:eastAsia="Arial" w:hAnsi="Arial"/>
                <w:sz w:val="11"/>
                <w:szCs w:val="11"/>
                <w:b w:val="1"/>
                <w:bCs w:val="1"/>
                <w:color w:val="auto"/>
              </w:rPr>
              <w:t>Deficit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ind w:right="3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6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Balance - January 1, 2018</w:t>
            </w:r>
          </w:p>
        </w:tc>
        <w:tc>
          <w:tcPr>
            <w:tcW w:w="9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36,725,499</w:t>
            </w:r>
          </w:p>
        </w:tc>
        <w:tc>
          <w:tcPr>
            <w:tcW w:w="48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3,673</w:t>
            </w: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8,591,160</w:t>
            </w:r>
          </w:p>
        </w:tc>
        <w:tc>
          <w:tcPr>
            <w:tcW w:w="4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859</w:t>
            </w:r>
          </w:p>
        </w:tc>
        <w:tc>
          <w:tcPr>
            <w:tcW w:w="4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191,022,018</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(150,693,793)</w:t>
            </w:r>
          </w:p>
        </w:tc>
        <w:tc>
          <w:tcPr>
            <w:tcW w:w="4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40,332,757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0" w:type="dxa"/>
            <w:vAlign w:val="bottom"/>
          </w:tcPr>
          <w:p>
            <w:pPr>
              <w:spacing w:after="0" w:line="122" w:lineRule="exact"/>
              <w:rPr>
                <w:sz w:val="20"/>
                <w:szCs w:val="20"/>
                <w:color w:val="auto"/>
              </w:rPr>
            </w:pPr>
            <w:r>
              <w:rPr>
                <w:rFonts w:ascii="Arial" w:cs="Arial" w:eastAsia="Arial" w:hAnsi="Arial"/>
                <w:sz w:val="11"/>
                <w:szCs w:val="11"/>
                <w:color w:val="auto"/>
              </w:rPr>
              <w:t>Stock-based compensation</w:t>
            </w:r>
          </w:p>
        </w:tc>
        <w:tc>
          <w:tcPr>
            <w:tcW w:w="9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3"/>
          </w:tcPr>
          <w:p>
            <w:pPr>
              <w:jc w:val="right"/>
              <w:ind w:right="64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jc w:val="right"/>
              <w:ind w:right="66"/>
              <w:spacing w:after="0" w:line="122" w:lineRule="exact"/>
              <w:rPr>
                <w:sz w:val="20"/>
                <w:szCs w:val="20"/>
                <w:color w:val="auto"/>
              </w:rPr>
            </w:pPr>
            <w:r>
              <w:rPr>
                <w:rFonts w:ascii="Arial" w:cs="Arial" w:eastAsia="Arial" w:hAnsi="Arial"/>
                <w:sz w:val="11"/>
                <w:szCs w:val="11"/>
                <w:color w:val="auto"/>
              </w:rPr>
              <w:t>1,050,175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1,050,175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Issuance of common stock, net of offering expenses</w:t>
            </w:r>
          </w:p>
        </w:tc>
        <w:tc>
          <w:tcPr>
            <w:tcW w:w="9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9,623,430</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962</w:t>
            </w: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42,945,149</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42,946,111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0" w:type="dxa"/>
            <w:vAlign w:val="bottom"/>
          </w:tcPr>
          <w:p>
            <w:pPr>
              <w:spacing w:after="0" w:line="122" w:lineRule="exact"/>
              <w:rPr>
                <w:sz w:val="20"/>
                <w:szCs w:val="20"/>
                <w:color w:val="auto"/>
              </w:rPr>
            </w:pPr>
            <w:r>
              <w:rPr>
                <w:rFonts w:ascii="Arial" w:cs="Arial" w:eastAsia="Arial" w:hAnsi="Arial"/>
                <w:sz w:val="11"/>
                <w:szCs w:val="11"/>
                <w:color w:val="auto"/>
              </w:rPr>
              <w:t>Stock options exercised</w:t>
            </w:r>
          </w:p>
        </w:tc>
        <w:tc>
          <w:tcPr>
            <w:tcW w:w="960" w:type="dxa"/>
            <w:vAlign w:val="bottom"/>
          </w:tcPr>
          <w:p>
            <w:pPr>
              <w:jc w:val="right"/>
              <w:spacing w:after="0" w:line="122" w:lineRule="exact"/>
              <w:rPr>
                <w:sz w:val="20"/>
                <w:szCs w:val="20"/>
                <w:color w:val="auto"/>
              </w:rPr>
            </w:pPr>
            <w:r>
              <w:rPr>
                <w:rFonts w:ascii="Arial" w:cs="Arial" w:eastAsia="Arial" w:hAnsi="Arial"/>
                <w:sz w:val="11"/>
                <w:szCs w:val="11"/>
                <w:color w:val="auto"/>
              </w:rPr>
              <w:t>585</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3"/>
          </w:tcPr>
          <w:p>
            <w:pPr>
              <w:jc w:val="right"/>
              <w:ind w:right="64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2"/>
          </w:tcPr>
          <w:p>
            <w:pPr>
              <w:jc w:val="right"/>
              <w:ind w:right="3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920" w:type="dxa"/>
            <w:vAlign w:val="bottom"/>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Retirement of Non-voting common stock</w:t>
            </w:r>
          </w:p>
        </w:tc>
        <w:tc>
          <w:tcPr>
            <w:tcW w:w="9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gridSpan w:val="3"/>
            <w:shd w:val="clear" w:color="auto" w:fill="CCEEFF"/>
          </w:tcPr>
          <w:p>
            <w:pPr>
              <w:jc w:val="right"/>
              <w:ind w:right="640"/>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(8,591,160)</w:t>
            </w: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(859)</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859</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46"/>
              <w:spacing w:after="0" w:line="122"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loss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(32,569,973)</w:t>
            </w:r>
          </w:p>
        </w:tc>
        <w:tc>
          <w:tcPr>
            <w:tcW w:w="2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(32,569,973)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1"/>
                <w:szCs w:val="11"/>
                <w:color w:val="auto"/>
              </w:rPr>
              <w:t>Balance - June 30, 2018</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46,349,514</w:t>
            </w: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4,635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235,018,201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(183,263,766)</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51,759,070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spacing w:after="0"/>
              <w:rPr>
                <w:rFonts w:ascii="Arial" w:cs="Arial" w:eastAsia="Arial" w:hAnsi="Arial"/>
                <w:sz w:val="14"/>
                <w:szCs w:val="14"/>
                <w:i w:val="1"/>
                <w:iCs w:val="1"/>
                <w:color w:val="0000EE"/>
                <w:w w:val="92"/>
              </w:rPr>
            </w:pPr>
            <w:hyperlink w:anchor="page2">
              <w:r>
                <w:rPr>
                  <w:rFonts w:ascii="Arial" w:cs="Arial" w:eastAsia="Arial" w:hAnsi="Arial"/>
                  <w:sz w:val="14"/>
                  <w:szCs w:val="14"/>
                  <w:i w:val="1"/>
                  <w:iCs w:val="1"/>
                  <w:color w:val="0000EE"/>
                  <w:w w:val="92"/>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7900" w:type="dxa"/>
            <w:vAlign w:val="bottom"/>
            <w:gridSpan w:val="3"/>
          </w:tcPr>
          <w:p>
            <w:pPr>
              <w:jc w:val="center"/>
              <w:ind w:left="3410"/>
              <w:spacing w:after="0"/>
              <w:rPr>
                <w:sz w:val="20"/>
                <w:szCs w:val="20"/>
                <w:color w:val="auto"/>
              </w:rPr>
            </w:pPr>
            <w:r>
              <w:rPr>
                <w:rFonts w:ascii="Arial" w:cs="Arial" w:eastAsia="Arial" w:hAnsi="Arial"/>
                <w:sz w:val="18"/>
                <w:szCs w:val="18"/>
                <w:b w:val="1"/>
                <w:bCs w:val="1"/>
                <w:color w:val="auto"/>
              </w:rPr>
              <w:t>ADMA BIOLOGICS, INC. AND SUBSIDIARIES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5"/>
          </w:tcPr>
          <w:p>
            <w:pPr>
              <w:jc w:val="center"/>
              <w:ind w:left="177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60" w:type="dxa"/>
            <w:vAlign w:val="bottom"/>
          </w:tcPr>
          <w:p>
            <w:pPr>
              <w:jc w:val="center"/>
              <w:ind w:left="413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7"/>
          </w:tcPr>
          <w:p>
            <w:pPr>
              <w:ind w:left="4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639"/>
              <w:spacing w:after="0"/>
              <w:rPr>
                <w:sz w:val="20"/>
                <w:szCs w:val="20"/>
                <w:color w:val="auto"/>
              </w:rPr>
            </w:pPr>
            <w:r>
              <w:rPr>
                <w:rFonts w:ascii="Arial" w:cs="Arial" w:eastAsia="Arial" w:hAnsi="Arial"/>
                <w:sz w:val="18"/>
                <w:szCs w:val="18"/>
                <w:b w:val="1"/>
                <w:bCs w:val="1"/>
                <w:color w:val="auto"/>
              </w:rPr>
              <w:t>2017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(32,569,973)</w:t>
            </w:r>
          </w:p>
        </w:tc>
        <w:tc>
          <w:tcPr>
            <w:tcW w:w="280" w:type="dxa"/>
            <w:vAlign w:val="bottom"/>
          </w:tcPr>
          <w:p>
            <w:pPr>
              <w:spacing w:after="0"/>
              <w:rPr>
                <w:sz w:val="18"/>
                <w:szCs w:val="18"/>
                <w:color w:val="auto"/>
              </w:rPr>
            </w:pPr>
          </w:p>
        </w:tc>
        <w:tc>
          <w:tcPr>
            <w:tcW w:w="420" w:type="dxa"/>
            <w:vAlign w:val="bottom"/>
            <w:gridSpan w:val="2"/>
          </w:tcPr>
          <w:p>
            <w:pPr>
              <w:jc w:val="right"/>
              <w:ind w:right="290"/>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(15,573,458)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1,675,439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19"/>
              <w:spacing w:after="0"/>
              <w:rPr>
                <w:sz w:val="20"/>
                <w:szCs w:val="20"/>
                <w:color w:val="auto"/>
              </w:rPr>
            </w:pPr>
            <w:r>
              <w:rPr>
                <w:rFonts w:ascii="Arial" w:cs="Arial" w:eastAsia="Arial" w:hAnsi="Arial"/>
                <w:sz w:val="18"/>
                <w:szCs w:val="18"/>
                <w:color w:val="auto"/>
              </w:rPr>
              <w:t>395,194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fixed assets</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4,155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1,050,175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19"/>
              <w:spacing w:after="0"/>
              <w:rPr>
                <w:sz w:val="20"/>
                <w:szCs w:val="20"/>
                <w:color w:val="auto"/>
              </w:rPr>
            </w:pPr>
            <w:r>
              <w:rPr>
                <w:rFonts w:ascii="Arial" w:cs="Arial" w:eastAsia="Arial" w:hAnsi="Arial"/>
                <w:sz w:val="18"/>
                <w:szCs w:val="18"/>
                <w:color w:val="auto"/>
              </w:rPr>
              <w:t>547,240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discount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525,135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374,389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Amortization of license revenue</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(71,417)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(71,417)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acquisition:</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82,960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(1,274,246)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381,213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66,766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(380,626)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(1,298,991)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(475,291)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(2,819,792)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19"/>
              <w:spacing w:after="0"/>
              <w:rPr>
                <w:sz w:val="20"/>
                <w:szCs w:val="20"/>
                <w:color w:val="auto"/>
              </w:rPr>
            </w:pPr>
            <w:r>
              <w:rPr>
                <w:rFonts w:ascii="Arial" w:cs="Arial" w:eastAsia="Arial" w:hAnsi="Arial"/>
                <w:sz w:val="18"/>
                <w:szCs w:val="18"/>
                <w:color w:val="auto"/>
              </w:rPr>
              <w:t>1,763,025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554,885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1,384,140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and non-current liabilities</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250,754</w:t>
            </w: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(15,280)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(31,342,153)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(14,173,774)</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Sales of short-term investments</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19"/>
              <w:spacing w:after="0"/>
              <w:rPr>
                <w:sz w:val="20"/>
                <w:szCs w:val="20"/>
                <w:color w:val="auto"/>
              </w:rPr>
            </w:pPr>
            <w:r>
              <w:rPr>
                <w:rFonts w:ascii="Arial" w:cs="Arial" w:eastAsia="Arial" w:hAnsi="Arial"/>
                <w:sz w:val="18"/>
                <w:szCs w:val="18"/>
                <w:color w:val="auto"/>
              </w:rPr>
              <w:t>5,390,184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and equipment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(1,046,375)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Cash acquired in acquisition transaction</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19"/>
              <w:spacing w:after="0"/>
              <w:rPr>
                <w:sz w:val="20"/>
                <w:szCs w:val="20"/>
                <w:color w:val="auto"/>
              </w:rPr>
            </w:pPr>
            <w:r>
              <w:rPr>
                <w:rFonts w:ascii="Arial" w:cs="Arial" w:eastAsia="Arial" w:hAnsi="Arial"/>
                <w:sz w:val="18"/>
                <w:szCs w:val="18"/>
                <w:color w:val="auto"/>
              </w:rPr>
              <w:t>12,500,000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(1,046,375)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17,793,627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Principal payments on notes payable</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(2,777,778)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common stock, net of offering expenses</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42,946,111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Proceeds from issuance of related party note payable</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19"/>
              <w:spacing w:after="0"/>
              <w:rPr>
                <w:sz w:val="20"/>
                <w:szCs w:val="20"/>
                <w:color w:val="auto"/>
              </w:rPr>
            </w:pPr>
            <w:r>
              <w:rPr>
                <w:rFonts w:ascii="Arial" w:cs="Arial" w:eastAsia="Arial" w:hAnsi="Arial"/>
                <w:sz w:val="18"/>
                <w:szCs w:val="18"/>
                <w:color w:val="auto"/>
              </w:rPr>
              <w:t>15,000,000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debt issuance costs</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Payments on capital lease obligations</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(2,329)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leasehold improvement loan</w:t>
            </w:r>
          </w:p>
        </w:tc>
        <w:tc>
          <w:tcPr>
            <w:tcW w:w="2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(8,853)</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(8,094)</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42,934,929</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12,039,289</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10,546,401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19"/>
              <w:spacing w:after="0"/>
              <w:rPr>
                <w:sz w:val="20"/>
                <w:szCs w:val="20"/>
                <w:color w:val="auto"/>
              </w:rPr>
            </w:pPr>
            <w:r>
              <w:rPr>
                <w:rFonts w:ascii="Arial" w:cs="Arial" w:eastAsia="Arial" w:hAnsi="Arial"/>
                <w:sz w:val="18"/>
                <w:szCs w:val="18"/>
                <w:color w:val="auto"/>
              </w:rPr>
              <w:t>15,659,142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including restricted cash - beginning of period</w:t>
            </w:r>
          </w:p>
        </w:tc>
        <w:tc>
          <w:tcPr>
            <w:tcW w:w="26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48,607,574</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9,914,867</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b w:val="1"/>
                <w:bCs w:val="1"/>
                <w:color w:val="auto"/>
              </w:rPr>
              <w:t>Cash and cash equivalents, including restricted cash - end of period</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59,153,975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25,574,009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8" w:name="page9"/>
    <w:bookmarkEnd w:id="8"/>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BUSINESS</w:t>
      </w:r>
    </w:p>
    <w:p>
      <w:pPr>
        <w:spacing w:after="0" w:line="229" w:lineRule="exact"/>
        <w:rPr>
          <w:rFonts w:ascii="Arial" w:cs="Arial" w:eastAsia="Arial" w:hAnsi="Arial"/>
          <w:sz w:val="18"/>
          <w:szCs w:val="18"/>
          <w:b w:val="1"/>
          <w:bCs w:val="1"/>
          <w:color w:val="auto"/>
        </w:rPr>
      </w:pPr>
    </w:p>
    <w:p>
      <w:pPr>
        <w:ind w:left="340"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ADMA Biologics, Inc. (“ADMA” or the “Company”) is a vertically integrated commercial biopharmaceutical company that manufactures, markets and develops specialty plasma-derived biologics for the treatment of Primary Immune Deficiency Disease (“PIDD”) and the prevention and treatment of certain infectious diseases. The Company’s targeted patient populations include immune-compromised individuals who suffer from an underlying immune deficiency disorder or who may be immune-suppressed for medical reasons. ADMA operates through its wholly-owned subsidiaries ADMA BioManufacturing, LLC (“ADMA BioManufacturing”) and ADMA Bio Centers Georgia Inc. (“ADMA BioCenters”). ADMA BioManufacturing was formed in January 2017 to facilitate the acquisition of the Biotest Therapy Business Unit (“BTBU”) of Biotest Pharmaceuticals Corporation (“BPC” and, together with Biotest AG, “Biotest”) as more fully described below. ADMA BioCenters is the Company’s source plasma collection business, with facilities located in Norcross, GA, Marietta, GA and Kennesaw, GA. Both the Norcross and Marietta, GA facilities have approved licenses with the U.S. Food and Drug Administration (the “FDA”) and certifications from the German Health Authority (the “GHA”) and the Korean Ministry of Food and Drug Safety.</w:t>
      </w:r>
    </w:p>
    <w:p>
      <w:pPr>
        <w:spacing w:after="0" w:line="194" w:lineRule="exact"/>
        <w:rPr>
          <w:rFonts w:ascii="Arial" w:cs="Arial" w:eastAsia="Arial" w:hAnsi="Arial"/>
          <w:sz w:val="18"/>
          <w:szCs w:val="18"/>
          <w:b w:val="1"/>
          <w:bCs w:val="1"/>
          <w:color w:val="auto"/>
        </w:rPr>
      </w:pPr>
    </w:p>
    <w:p>
      <w:pPr>
        <w:ind w:left="340" w:right="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As discussed in Note 3, on June 6, 2017, ADMA completed the acquisition of certain assets (the “Biotest Assets”) of BTBU, which include two FDA-licensed products, Nabi-HB (Hepatitis B Immune Globulin, Human) and BIVIGAM (Immune Globulin Intravenous, Human), and a plasma fractionation facility located in Boca Raton, FL (the “Boca Facility”) (the “Biotest Transaction”). In addition to Nabi-HB and BIVIGAM, BTBU also provides contract manufacturing services for certain clients, including the sale of intermediate by-products. The Boca Facility is FDA-licensed and certified by the GHA. Immediately following the closing of the Biotest Transaction, the Biotest Assets were contributed into ADMA BioManufacturing.</w:t>
      </w:r>
    </w:p>
    <w:p>
      <w:pPr>
        <w:spacing w:after="0" w:line="158" w:lineRule="exact"/>
        <w:rPr>
          <w:rFonts w:ascii="Arial" w:cs="Arial" w:eastAsia="Arial" w:hAnsi="Arial"/>
          <w:sz w:val="18"/>
          <w:szCs w:val="18"/>
          <w:b w:val="1"/>
          <w:bCs w:val="1"/>
          <w:color w:val="auto"/>
        </w:rPr>
      </w:pPr>
    </w:p>
    <w:p>
      <w:pPr>
        <w:ind w:left="340" w:right="1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Nabi-HB is a hyperimmune globulin that is rich in antibodies to the hepatitis B virus. Nabi-HB is indicated for the treatment of acute exposure to blood containing hepatitis B surface antigen (“HBsAg”), prenatal exposure to infants born to HBsAg-positive mothers, sexual exposure to HBsAg-positive persons and household exposure to persons with acute Hepatitis B virus infection. FDA approval for Nabi-HB was received on March 24, 1999. Under ADMA’s leadership, the production of Nabi-HB resumed during the third quarter of 2017, with subsequent commercial sales.</w:t>
      </w:r>
    </w:p>
    <w:p>
      <w:pPr>
        <w:spacing w:after="0" w:line="171" w:lineRule="exact"/>
        <w:rPr>
          <w:rFonts w:ascii="Arial" w:cs="Arial" w:eastAsia="Arial" w:hAnsi="Arial"/>
          <w:sz w:val="18"/>
          <w:szCs w:val="18"/>
          <w:b w:val="1"/>
          <w:bCs w:val="1"/>
          <w:color w:val="auto"/>
        </w:rPr>
      </w:pPr>
    </w:p>
    <w:p>
      <w:pPr>
        <w:ind w:left="3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BIVIGAM is indicated for the treatment of primary humoral immunodeficiency. FDA approval for BIVIGAM was received on December 19, 2012, and sales commenced in the first quarter of 2013. In December 2016, Biotest temporarily suspended the commercial production of BIVIGAM in order to focus on the completion of planned improvements to the manufacturing process. ADMA resumed production of BIVIGAM during the fourth quarter of 2017. The Company submitted a Prior Approval Supplement (the “PAS”) for BIVIGAM to amend the FDA-approved Biologics License Application (“BLA”) for BIVIGAM and once approved, ADMA intends to relaunch BIVIGAM in the United States. The target action date for the PAS is October 25, 2018 under the Prescription Drug User Fee Act. The BIVIGAM inventory produced in the fourth quarter of 2017 and the first quarter of 2018 has been used in connection with, and as the basis for, the prepared and submitted PAS, which was accepted for review by the FDA in July 2018. Upon approval of the PAS by the FDA, the Company intends to relaunch BIVIGAM. This relaunch is expected to take place prior to or during the first quarter of 2019. The anticipated relaunch of BIVIGAM is dependent upon the timing of certain FDA decisions, production slots available with the Company’s contract fill/finish provider as well as other commercial requirements and regulatory factors.</w:t>
      </w:r>
    </w:p>
    <w:p>
      <w:pPr>
        <w:spacing w:after="0" w:line="177" w:lineRule="exact"/>
        <w:rPr>
          <w:rFonts w:ascii="Arial" w:cs="Arial" w:eastAsia="Arial" w:hAnsi="Arial"/>
          <w:sz w:val="18"/>
          <w:szCs w:val="18"/>
          <w:b w:val="1"/>
          <w:bCs w:val="1"/>
          <w:color w:val="auto"/>
        </w:rPr>
      </w:pPr>
    </w:p>
    <w:p>
      <w:pPr>
        <w:ind w:left="3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Prior to the closing of the Biotest Transaction, BTBU was the Company’s third-party manufacturer for RI-002. In the third quarter of 2015, the FDA accepted for review the Company’s BLA for RI-002 (the “RI-002 BLA”) for the treatment of PIDD. In July 2016, the FDA issued a Complete Response Letter (the “CRL”) to the Company for the RI-002 BLA. Although the CRL did not cite any concerns with the clinical safety or efficacy data for RI-002 submitted in the RI-002 BLA, nor did the FDA request any additional clinical studies be completed prior to FDA approval of RI-002, the CRL reaffirmed the issues set forth in the November 2014 warning letter (the “Warning Letter”) that had been issued by the FDA to Biotest related to certain compliance issues identified at the Boca Facility, and also identified certain outstanding inspection issues and deficiencies at the Boca Facility and certain of the Company’s third-party vendors, and requested documentation of corrections for a number of these issues. The FDA indicated in the CRL that it cannot grant final approval of the BLA until, among other things, these deficiencies are resolved. Upon the completion of the Biotest Transaction, ADMA gained control over the regulatory, quality, general operations and drug substance manufacturing process at the Boca Facility, and the Company’s highest priority has been the remediation of the outstanding compliance issues that were identified at the Boca Facility in the Warning Letter. The Company has been working with a consulting firm consisting of quality management systems and biologics production subject matter experts in order to improve the FDA inspection classification relative to the Warning Letter compliance issues as indicated in the CRL. Based on communication received from the FDA in July 2018, the Company has determined that the April 2018 compliance inspection of the Boca Facility has been successfully closed out, and the Company anticipates that it will be in a position to refile the RI-002 BLA in the second half of 2018. Pending FDA approval, ADMA anticipates initial commercial sales of RI-002 to occur no earlier than the first half of 2019.</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9" w:name="page10"/>
    <w:bookmarkEnd w:id="9"/>
    <w:p>
      <w:pPr>
        <w:ind w:left="1004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5"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As of June 30, 2018, the Company had working capital of $66.7 million, including $55.2 million of cash and cash equivalents. Based upon the Company’s current projected revenue and expenditures, including capital expenditures and regulatory and consulting fees for the remediation of the Warning Letter and ongoing discussions with the FDA, as well as continuing implementation of the Company’s commercialization and expansion activities and certain other assumptions, the Company’s management currently believes that its cash, cash equivalents, projected revenue and accounts receivable, along with the additional $10.0 million it expects to be able to access under its senior credit facility, will be sufficient to fund ADMA’s operations, as currently conducted, into the second quarter of 2019. In order to have sufficient cash to fund its operations thereafter and to continue as a going concern, the Company will need to raise capital prior before the end of the second quarter of 2019. These estimates may change based upon how quickly the Company is able to execute on its quality management systems’ remediation plans for the ADMA BioManufacturing operations, timing of receipt of communications, determinations and feedback from the FDA regarding inspectional outcomes and remediation activities undertaken to date, commercial manufacturing ramp-up activities and the various financing options available to the Company. The Company currently has no firm commitments for additional financing, and there can be no assurances that the Company will be able to secure additional financing on terms that are acceptable to the Company, or at all. Furthermore, if the Company’s assumptions underlying its estimated expenses and revenues are incorrect, it may have to raise additional capital sooner than currently anticipated.</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Due to numerous risks and uncertainties associated with ongoing remediation efforts and the research and development and potential future commercialization of its products and product candidates, the Company is unable to estimate with certainty the amounts of increased capital outlays and operating expenditures associated with its development activities. The Company’s current estimates may be subject to change as circumstances regarding its business requirements evolve. The Company may decide to raise capital through public or private equity offerings or debt financings, or obtain a bank credit facility or corporate collaboration and licensing arrangements. The sale of additional equity or debt securities, if convertible, could result in dilution to the Company’s stockholders and, in such event, the value and potential future market price of its common stock may decline. The incurrence of additional indebtedness would result in increased fixed obligations and could also result in covenants that would restrict the Company’s operations or other financing alternatives. Failure to secure any necessary financing in a timely manner and on commercially reasonable terms could have a material adverse effect on the Company’s business plan and financial performance and it could be forced to delay or discontinue its product development, clinical trial or commercialization activities, delay or discontinue the approval efforts for any of the Company’s potential products or potentially cease operations. The Company has reported losses since inception in June 2004 through June 30, 2018 of $183.3 million. Management believes that the Company will continue to incur net losses and negative net cash flows from operating activities to fund its research and development and commercial programs and to meet its obligations on a timely basis through the foreseeable future. As such, these factors raise substantial doubt about the Company’s ability to continue as a going concern. The accompanying condensed consolidated financial statements do not include any adjustments related to the recoverability and classification of asset carrying amounts and the classification of liabilities that might be necessary if the Company is unable to continue as a going concern.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June 2018, the Company completed an underwritten public offering of its common stock and received net proceeds of $42.9 million (see Note 5).</w:t>
      </w:r>
    </w:p>
    <w:p>
      <w:pPr>
        <w:spacing w:after="0" w:line="24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There can be no assurance that the Company’s research and development will be successfully completed or that any product will be approved or commercially viable. The Company is subject to risks common to companies in the biotechnology industry including, but not limited to, dependence on collaborative arrangements, development by the Company or its competitors of new technological innovations, dependence on key personnel, protection of proprietary technology, and compliance with FDA and other governmental regulations and approval requirements.</w:t>
      </w:r>
    </w:p>
    <w:p>
      <w:pPr>
        <w:spacing w:after="0" w:line="28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580" w:top="229" w:right="259" w:bottom="1440" w:gutter="0" w:footer="0" w:header="0"/>
        </w:sectPr>
      </w:pPr>
    </w:p>
    <w:bookmarkStart w:id="10" w:name="page11"/>
    <w:bookmarkEnd w:id="10"/>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right="6380" w:hanging="332"/>
        <w:spacing w:after="0" w:line="503"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SUMMARY OF SIGNIFICANT ACCOUNTING POLICIES </w:t>
      </w:r>
      <w:r>
        <w:rPr>
          <w:rFonts w:ascii="Arial" w:cs="Arial" w:eastAsia="Arial" w:hAnsi="Arial"/>
          <w:sz w:val="18"/>
          <w:szCs w:val="18"/>
          <w:i w:val="1"/>
          <w:iCs w:val="1"/>
          <w:u w:val="single" w:color="auto"/>
          <w:color w:val="auto"/>
        </w:rPr>
        <w:t>Basis of presentation</w:t>
      </w:r>
    </w:p>
    <w:p>
      <w:pPr>
        <w:ind w:left="34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186" w:lineRule="exact"/>
        <w:rPr>
          <w:rFonts w:ascii="Arial" w:cs="Arial" w:eastAsia="Arial" w:hAnsi="Arial"/>
          <w:sz w:val="18"/>
          <w:szCs w:val="18"/>
          <w:b w:val="1"/>
          <w:bCs w:val="1"/>
          <w:color w:val="auto"/>
        </w:rPr>
      </w:pPr>
    </w:p>
    <w:p>
      <w:pPr>
        <w:ind w:left="3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accompanying unaudited condensed consolidated financial statements should be read in conjunction with the annual audited consolidated financial statements and notes thereto as of and for the year ended December 31, 2017 included in the Company’s Annual Report on Form 10-K filed with the U.S. Securities and Exchange Commission (the “SEC”) on March 29, 2018. These condensed consolidated interim financial statements have been prepared in accordance with the instructions to Form 10-Q and Article 8 of Regulation S-X, and therefore omit or condense certain footnotes and other information normally included in consolidated interim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considered necessary to present fairly the Company’s financial position as of June 30, 2018 and its results of operations for the three and six months ended June 30, 2018 and 2017 and cash flows for the six months ended June 30, 2018 and 2017.</w:t>
      </w:r>
    </w:p>
    <w:p>
      <w:pPr>
        <w:spacing w:after="0" w:line="166" w:lineRule="exact"/>
        <w:rPr>
          <w:rFonts w:ascii="Arial" w:cs="Arial" w:eastAsia="Arial" w:hAnsi="Arial"/>
          <w:sz w:val="18"/>
          <w:szCs w:val="18"/>
          <w:b w:val="1"/>
          <w:bCs w:val="1"/>
          <w:color w:val="auto"/>
        </w:rPr>
      </w:pPr>
    </w:p>
    <w:p>
      <w:pPr>
        <w:ind w:left="340" w:right="1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During the three and six months ended June 30, 2018 and 2017, comprehensive loss was equal to the net loss amounts presented for the respective periods in the accompanying condensed consolidated statements of operations. In addition, certain prior year balances have been reclassified to conform to the current presentation. Specifically, Other current liabilities at December 31, 2017 of approximately $58,000 have been reclassified into Accrued expenses and other current liabilities in the accompanying consolidated balance sheets. Operating results for the six months ended June 30, 2018 are not necessarily indicative of the results that may be expected for the full year ending December 31, 2018.</w:t>
      </w:r>
    </w:p>
    <w:p>
      <w:pPr>
        <w:spacing w:after="0" w:line="17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Use of estimates</w:t>
      </w:r>
    </w:p>
    <w:p>
      <w:pPr>
        <w:spacing w:after="0" w:line="225" w:lineRule="exact"/>
        <w:rPr>
          <w:rFonts w:ascii="Arial" w:cs="Arial" w:eastAsia="Arial" w:hAnsi="Arial"/>
          <w:sz w:val="18"/>
          <w:szCs w:val="18"/>
          <w:b w:val="1"/>
          <w:bCs w:val="1"/>
          <w:color w:val="auto"/>
        </w:rPr>
      </w:pPr>
    </w:p>
    <w:p>
      <w:pPr>
        <w:ind w:left="34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the fair value of assets acquired and liabilities assumed in a business combination, the valuation of inventory and assumptions used in the fair value determination of stock-based compensation and the allowance for the valuation of future tax benefits.</w:t>
      </w:r>
    </w:p>
    <w:p>
      <w:pPr>
        <w:spacing w:after="0" w:line="18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Business combinations</w:t>
      </w:r>
    </w:p>
    <w:p>
      <w:pPr>
        <w:spacing w:after="0" w:line="225" w:lineRule="exact"/>
        <w:rPr>
          <w:rFonts w:ascii="Arial" w:cs="Arial" w:eastAsia="Arial" w:hAnsi="Arial"/>
          <w:sz w:val="18"/>
          <w:szCs w:val="18"/>
          <w:b w:val="1"/>
          <w:bCs w:val="1"/>
          <w:color w:val="auto"/>
        </w:rPr>
      </w:pPr>
    </w:p>
    <w:p>
      <w:pPr>
        <w:ind w:left="3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accounts for business combinations using the acquisition method of accounting in accordance with FASB ASC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Identifiable assets acquired, liabilities assumed, and contingent consideration are recorded at their acquisition date fair values. Any change</w:t>
      </w:r>
      <w:r>
        <w:rPr>
          <w:rFonts w:ascii="Arial" w:cs="Arial" w:eastAsia="Arial" w:hAnsi="Arial"/>
          <w:sz w:val="17"/>
          <w:szCs w:val="17"/>
          <w:i w:val="1"/>
          <w:iCs w:val="1"/>
          <w:color w:val="auto"/>
        </w:rPr>
        <w:t xml:space="preserve"> </w:t>
      </w:r>
      <w:r>
        <w:rPr>
          <w:rFonts w:ascii="Arial" w:cs="Arial" w:eastAsia="Arial" w:hAnsi="Arial"/>
          <w:sz w:val="17"/>
          <w:szCs w:val="17"/>
          <w:color w:val="auto"/>
        </w:rPr>
        <w:t>in the fair value of the acquisition-related contingent consideration subsequent to the acquisition date, including changes from events after the acquisition date, is recognized in the period of the estimated fair value change. Goodwill represents the excess of the purchase price over the fair value of identifiable assets acquired and liabilities assumed as a result of the business combination. Identifiable assets with finite lives are amortized over their useful lives. Acquisition related costs are expensed as incurred.</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1" w:name="page12"/>
    <w:bookmarkEnd w:id="11"/>
    <w:p>
      <w:pPr>
        <w:ind w:left="1004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5"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financial instruments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carrying amounts of certain of the Company’s financial instruments, including cash and cash equivalents and accounts payable, are shown at cost which approximates fair value due to the short-term nature of these instruments. The debt outstanding under the Company’s senior secured term loan (see Note 4) approximates fair value due to the variable interest rate on this debt. With respect to the related party note payable in the amount of $15.0 million as of June 30, 2018 which is held by a principal stockholder of the Company and was issued concurrent with an acquisition transaction with an affiliate of such stockholder (see Note 4), the Company has concluded that an estimation of fair value for this note is not practicable.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Accounts receivable are reported at realizable value, net of allowances for contractual credits and doubtful accounts, which are recognized in the period the related revenue is recorded. At June 30, 2018, three customers accounted for an aggregate of 90% of the Company’s total accounts receivable, and at December 31, 2017, two customers accounted for approximately 79% of the Company’s total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Inventories, including plasma intended for resale and plasma intended for internal use in the Company's research and development and future anticipated commercialization activities, are carried at the lower of cost or net realizable value determined by the first-in, first-out method. Research and development plasma used in clinical trials is processed to a finished product and subsequently expensed to research and development.</w:t>
      </w:r>
    </w:p>
    <w:p>
      <w:pPr>
        <w:spacing w:after="0" w:line="14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Although the Company expects that the BIVIGAM inventory produced during 2017 and 2018 will ultimately be available for commercial sale, due to uncertainties at the time of production surrounding the timing and outcome of any FDA determinations concerning the Warning Letter and the PAS that must be filed with and approved by the FDA prior to this inventory being available for commercial sale, all costs related to the production of BIVIGAM during the six months ended June 30, 2018 in the amount of $1.1 million have been charged to cost of product revenue in the accompanying consolidated statement of operations. In addition, the costs related to the manufacture of conformance lots of RI-002 during the six months ended June 30, 2018 in the amount of $2.8 million were also charged to cost of product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Goodwill represents the excess of purchase price over the fair value of net assets acquired by the Company. Goodwill at June 30, 2018 and December 31, 2017 was $3.5 million. All of the Company’s goodwill is attributable to its ADMA BioManufacturing business segment.</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assesses the recoverability of its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value is recoverable. Any resulting impairment is recorded as a reduction in the carrying value of the related asset in excess of fair value and a charge to operating results. For the three and six months ended June 30, 2018 and 2017, the Company determined that there was no impairment of its long-lived assets.</w:t>
      </w:r>
    </w:p>
    <w:p>
      <w:pPr>
        <w:spacing w:after="0" w:line="266"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580" w:top="229" w:right="259" w:bottom="1440" w:gutter="0" w:footer="0" w:header="0"/>
        </w:sectPr>
      </w:pPr>
    </w:p>
    <w:bookmarkStart w:id="12" w:name="page13"/>
    <w:bookmarkEnd w:id="12"/>
    <w:p>
      <w:pPr>
        <w:ind w:left="1004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5"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Revenue from the sale of Nabi-HB is recognized when the product reaches the customer’s destination. Nabi-HB revenue is recorded net of estimated customer prompt pay discounts and contractual allowances in accordance with managed care agreements, including wholesaler chargebacks, rebates, customer returns and other wholesaler fees. For sales of intermediates, title typically transfers when the product is delivered to a third party warehouse. With all other contract manufacturing, the title transfers to the customer when they take possession of the product from the Boca Facility. As the Company maintains a significant risk of loss throughout the contract manufacturing process, contract manufacturing revenue is not recognized until the product is released and title transfers to the customer.</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Product revenues from the sale of human plasma collected at the Company’s plasma collection centers are recognized at the time of transfer of title and risk of loss to the customer, which generally occurs at the time of delivery.</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License and other revenues are primarily attributable to the out-licensing of RI-002 to Biotest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recognized over the term of the Biotest license. Deferred revenue is amortized into income for a period of approximately 20 years, the term of the Biotest license agreement.</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six months ended June 30, 2018, three customers represented an aggregate of 90% of the Company’s consolidated revenues, with BPC representing 55% of the Company’s consolidated revenues and the other two customers representing an aggregate of 35% of the Company’s consolidated revenues. For the six months ended June 30, 2017, sales to BPC represented 75% of the Company’s consolidated revenues, and another customer represented 15% of the Company’s consolidated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product revenue</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Expenses associated with remediating the issues identified in the Warning Letter for the three and six months ended June 30, 2018 were approximately $0.5 million and $1.3 million, respectively, and are reflected in cost of product revenue in the accompanying consolidated statements of operations. For the three and six months ended June 30, 2017, these expenses totaled $0.5 million. In addition, for the six months ended June 30, 2018, all operating expenses associated with the Boca Facility, other than the Nabi-HB production that was capitalized into inventory, have been expensed as incurred.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per common share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loss per common share is computed by dividing net loss attributable to common stockholders by the weighted average number of shares of common stock outstanding during the period. For purposes of computing basic and diluted loss per common share, the non-voting class of common stock (see Notes 3 and 5) is included in the common stock outstanding as the characteristics of the non-voting class are substantially the same as the voting class of common stock.</w:t>
      </w:r>
    </w:p>
    <w:p>
      <w:pPr>
        <w:spacing w:after="0" w:line="29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580" w:top="229" w:right="259" w:bottom="1440" w:gutter="0" w:footer="0" w:header="0"/>
        </w:sectPr>
      </w:pPr>
    </w:p>
    <w:bookmarkStart w:id="13" w:name="page14"/>
    <w:bookmarkEnd w:id="13"/>
    <w:p>
      <w:pPr>
        <w:ind w:left="1004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5"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Diluted loss per common share is calculated by dividing net 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using the treasury stock method. Potentially dilutive common stock is excluded from the diluted loss per common share computation to the extent that it would be anti-dilutive. As a result, no potentially dilutive securities are included in the computation of any of the accompanying diluted loss per share amounts as the Company reported a net loss for all periods presented. For the six months ended June 30, 2018 and 2017, the following securities were excluded from the calculation of diluted loss per common share because of their anti-dilutive effects: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38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For the Six Months Ended June 30,</w:t>
            </w:r>
          </w:p>
        </w:tc>
      </w:tr>
      <w:tr>
        <w:trPr>
          <w:trHeight w:val="223"/>
        </w:trPr>
        <w:tc>
          <w:tcPr>
            <w:tcW w:w="64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4,251,465</w:t>
            </w: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3,321,260</w:t>
            </w:r>
          </w:p>
        </w:tc>
      </w:tr>
      <w:tr>
        <w:trPr>
          <w:trHeight w:val="230"/>
        </w:trPr>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528,160</w:t>
            </w:r>
          </w:p>
        </w:tc>
        <w:tc>
          <w:tcPr>
            <w:tcW w:w="28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188,859</w:t>
            </w:r>
          </w:p>
        </w:tc>
      </w:tr>
      <w:tr>
        <w:trPr>
          <w:trHeight w:val="223"/>
        </w:trPr>
        <w:tc>
          <w:tcPr>
            <w:tcW w:w="64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4,779,625</w:t>
            </w:r>
          </w:p>
        </w:tc>
        <w:tc>
          <w:tcPr>
            <w:tcW w:w="28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3,510,119</w:t>
            </w:r>
          </w:p>
        </w:tc>
      </w:tr>
      <w:tr>
        <w:trPr>
          <w:trHeight w:val="20"/>
        </w:trPr>
        <w:tc>
          <w:tcPr>
            <w:tcW w:w="64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follows recognized accounting guidance which requires all equity-based payments, including grants of stock options, to be recognized in the statements of operations as compensation expense based on their fair values at the date of grant. The Company uses the Black-Scholes option pricing model to determine the fair value of options granted. Compensation expense related to awards to employees and directors with service-based vesting conditions is recognized on a straight-line basis based on the grant date fair value over the associated service period of the award, which is generally the vesting term (see Note 5).</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three and six months ended June 30, 2018, the Company granted options to purchase an aggregate of 134,200 and 982,900 shares of common stock, respectively, to its directors and employees, and during the six months ended June 30, 2018, the Company granted options to purchase 20,000 shares of common stock to a third party service provider. During the three and six months ended June 30, 2017, the Company granted options to purchase an aggregate of 1,674,595 and 1,856,595 shares of common stock, respectively, to its directors and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accounting and reporting requirements with respect to accounting for income taxes require an asset and liability approach.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income tax assets to the amount expected to be realized.</w:t>
      </w:r>
    </w:p>
    <w:p>
      <w:pPr>
        <w:spacing w:after="0" w:line="15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would reduce net assets. Based on its analysis, the Company has determined that it has not incurred any liability for unrecognized tax benefits as of June 30, 2018 and December 31, 2017. The Company is subject to income tax examinations by major taxing authorities for all tax years since 2013 and its tax returns may be subject to review and adjustment at a later date based on factors including, but not limited to, on-going analyses of and changes to tax laws, regulations and interpretations thereof. No interest expense or penalties have been recognized as of June 30, 2018 and December 31, 2017. During the three months and six months ended June 30, 2018 and 2017, the Company recognized no adjustments for uncertain tax positions.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Modification Accounting for Share-Based Payment Arrangements</w:t>
      </w:r>
      <w:r>
        <w:rPr>
          <w:rFonts w:ascii="Arial" w:cs="Arial" w:eastAsia="Arial" w:hAnsi="Arial"/>
          <w:sz w:val="18"/>
          <w:szCs w:val="18"/>
          <w:color w:val="auto"/>
        </w:rPr>
        <w:t xml:space="preserve">, which amends the scope of modification accounting for share-based payment arrangements. The ASU provides guidance on the types of changes to the terms or conditions of share-based payment awards to which an entity would be required to apply modification accounting under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Specifically, an entity would not apply modification accounting if the fair value, vesting conditions, and classification of the awards are the same immediately before and after the modification. Adoption of this new guidance in 2018 did not have a material impact on the Company’s condensed consolidated financial statements.</w:t>
      </w:r>
    </w:p>
    <w:p>
      <w:pPr>
        <w:spacing w:after="0" w:line="30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580" w:top="229" w:right="259" w:bottom="1440" w:gutter="0" w:footer="0" w:header="0"/>
        </w:sectPr>
      </w:pPr>
    </w:p>
    <w:bookmarkStart w:id="14" w:name="page15"/>
    <w:bookmarkEnd w:id="14"/>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right="20"/>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w:t>
      </w:r>
      <w:r>
        <w:rPr>
          <w:rFonts w:ascii="Arial" w:cs="Arial" w:eastAsia="Arial" w:hAnsi="Arial"/>
          <w:sz w:val="17"/>
          <w:szCs w:val="17"/>
          <w:i w:val="1"/>
          <w:iCs w:val="1"/>
          <w:color w:val="auto"/>
        </w:rPr>
        <w:t>,</w:t>
      </w:r>
      <w:r>
        <w:rPr>
          <w:rFonts w:ascii="Arial" w:cs="Arial" w:eastAsia="Arial" w:hAnsi="Arial"/>
          <w:sz w:val="17"/>
          <w:szCs w:val="17"/>
          <w:color w:val="auto"/>
        </w:rPr>
        <w:t xml:space="preserve"> which requires lessees to recognize assets and liabilities for the rights and obligations created by most leases on their balance sheet. The guidance is effective for fiscal years beginning after December 15, 2018, including interim periods within those fiscal years. Early application is permitted. ASU 2016-02 requires modified retrospective adoption for all leases existing at, or entered into after, the date of initial application, with an option to use certain transition relief. The Company is currently evaluating the impact the standard may have on its condensed consolidated financial statements and related disclosures.</w:t>
      </w:r>
    </w:p>
    <w:p>
      <w:pPr>
        <w:spacing w:after="0" w:line="173"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 xml:space="preserve">In May 2014, the FASB issued new guidance related to revenue recognition,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which outlines a comprehensive revenue recognition model and supersedes most current revenue recognition guidance. The new guidance requires a company to recognize revenue upon transfer of goods or services to a customer at an amount that reflects the expected consideration to be received in exchange for those goods or services. ASC 606 defines a five-step approach for recognizing revenue, which may require a company to use more judgment and make more estimates than under the current guidance. The new guidance became effective in calendar year 2018. Two methods of adoption are permitted: (a) full retrospective adoption, meaning the standard is applied to all periods presented; or (b) modified retrospective adoption, meaning the cumulative effect of applying the new guidance is recognized at the date of initial application as an adjustment to the opening retained earnings balance.</w:t>
      </w:r>
    </w:p>
    <w:p>
      <w:pPr>
        <w:spacing w:after="0" w:line="167"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 xml:space="preserve">In March 2016, April 2016 and December 2016, the FASB issued ASU No. 2016-08, </w:t>
      </w:r>
      <w:r>
        <w:rPr>
          <w:rFonts w:ascii="Arial" w:cs="Arial" w:eastAsia="Arial" w:hAnsi="Arial"/>
          <w:sz w:val="17"/>
          <w:szCs w:val="17"/>
          <w:i w:val="1"/>
          <w:iCs w:val="1"/>
          <w:color w:val="auto"/>
        </w:rPr>
        <w:t>Revenue From Contracts with Customers (ASC 606): Principal</w:t>
      </w:r>
      <w:r>
        <w:rPr>
          <w:rFonts w:ascii="Arial" w:cs="Arial" w:eastAsia="Arial" w:hAnsi="Arial"/>
          <w:sz w:val="17"/>
          <w:szCs w:val="17"/>
          <w:color w:val="auto"/>
        </w:rPr>
        <w:t xml:space="preserve"> </w:t>
      </w:r>
      <w:r>
        <w:rPr>
          <w:rFonts w:ascii="Arial" w:cs="Arial" w:eastAsia="Arial" w:hAnsi="Arial"/>
          <w:sz w:val="17"/>
          <w:szCs w:val="17"/>
          <w:i w:val="1"/>
          <w:iCs w:val="1"/>
          <w:color w:val="auto"/>
        </w:rPr>
        <w:t>Versus Agent Considerations</w:t>
      </w:r>
      <w:r>
        <w:rPr>
          <w:rFonts w:ascii="Arial" w:cs="Arial" w:eastAsia="Arial" w:hAnsi="Arial"/>
          <w:sz w:val="17"/>
          <w:szCs w:val="17"/>
          <w:color w:val="auto"/>
        </w:rPr>
        <w:t>, ASU No. 2016-10,</w:t>
      </w:r>
      <w:r>
        <w:rPr>
          <w:rFonts w:ascii="Arial" w:cs="Arial" w:eastAsia="Arial" w:hAnsi="Arial"/>
          <w:sz w:val="17"/>
          <w:szCs w:val="17"/>
          <w:i w:val="1"/>
          <w:iCs w:val="1"/>
          <w:color w:val="auto"/>
        </w:rPr>
        <w:t xml:space="preserve"> Revenue From Contracts with Customers (ASC 606): Identifying Performance Obligations and Licensing</w:t>
      </w:r>
      <w:r>
        <w:rPr>
          <w:rFonts w:ascii="Arial" w:cs="Arial" w:eastAsia="Arial" w:hAnsi="Arial"/>
          <w:sz w:val="17"/>
          <w:szCs w:val="17"/>
          <w:color w:val="auto"/>
        </w:rPr>
        <w:t>, and ASU No. 2016-20,</w:t>
      </w:r>
      <w:r>
        <w:rPr>
          <w:rFonts w:ascii="Arial" w:cs="Arial" w:eastAsia="Arial" w:hAnsi="Arial"/>
          <w:sz w:val="17"/>
          <w:szCs w:val="17"/>
          <w:i w:val="1"/>
          <w:iCs w:val="1"/>
          <w:color w:val="auto"/>
        </w:rPr>
        <w:t xml:space="preserve"> Technical Corrections and Improvements to Topic 606, Revenue From Contracts with Customers</w:t>
      </w:r>
      <w:r>
        <w:rPr>
          <w:rFonts w:ascii="Arial" w:cs="Arial" w:eastAsia="Arial" w:hAnsi="Arial"/>
          <w:sz w:val="17"/>
          <w:szCs w:val="17"/>
          <w:color w:val="auto"/>
        </w:rPr>
        <w:t>, respectively, which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further clarify the implementation guidance on principal versus agent considerations contained in ASU No. 2014-09. In May 2016, the FASB issued ASU 2016-12,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narrow-scope improvements and practical expedients which provides clarification on assessing the collectability criterion, presentation of sales taxes, measurement date for non-cash consideration and completed contracts at transition. These standards became effective for the Company beginning in the first quarter of 2018.</w:t>
      </w:r>
    </w:p>
    <w:p>
      <w:pPr>
        <w:spacing w:after="0" w:line="178" w:lineRule="exact"/>
        <w:rPr>
          <w:sz w:val="20"/>
          <w:szCs w:val="20"/>
          <w:color w:val="auto"/>
        </w:rPr>
      </w:pPr>
    </w:p>
    <w:p>
      <w:pPr>
        <w:jc w:val="both"/>
        <w:ind w:left="340" w:right="620"/>
        <w:spacing w:after="0" w:line="342" w:lineRule="auto"/>
        <w:rPr>
          <w:sz w:val="20"/>
          <w:szCs w:val="20"/>
          <w:color w:val="auto"/>
        </w:rPr>
      </w:pPr>
      <w:r>
        <w:rPr>
          <w:rFonts w:ascii="Arial" w:cs="Arial" w:eastAsia="Arial" w:hAnsi="Arial"/>
          <w:sz w:val="16"/>
          <w:szCs w:val="16"/>
          <w:color w:val="auto"/>
        </w:rPr>
        <w:t>ADMA adopted the new revenue recognition standard and related updates effective January 1, 2018, using the modified retrospective method of adoption. Adoption of the new revenue recognition guidance did not have a material impact on the Company’s consolidated financial statements.</w:t>
      </w:r>
    </w:p>
    <w:p>
      <w:pPr>
        <w:spacing w:after="0" w:line="12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w:t>
      </w:r>
    </w:p>
    <w:p>
      <w:pPr>
        <w:spacing w:after="0" w:line="229" w:lineRule="exact"/>
        <w:rPr>
          <w:rFonts w:ascii="Arial" w:cs="Arial" w:eastAsia="Arial" w:hAnsi="Arial"/>
          <w:sz w:val="18"/>
          <w:szCs w:val="18"/>
          <w:b w:val="1"/>
          <w:bCs w:val="1"/>
          <w:color w:val="auto"/>
        </w:rPr>
      </w:pPr>
    </w:p>
    <w:p>
      <w:pPr>
        <w:ind w:left="34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June 6, 2017, ADMA completed the acquisition of the Biotest Assets from BPC. As a result of this transaction, the Company acquired Nabi-HB, BIVIGAM, the Boca Facility and certain other assets of BTBU. The acquisition of the Biotest Assets expanded the Company’s product offering with two FDA-approved products while providing direct control over the manufacturing and regulatory processes impacting the Company’s RI-002 product candidate, including remediation of the Warning Letter as well as certain other remediation items affecting the Boca Facility. Pursuant to the acquisition, the Company issued to Biotest 4,295,580 voting shares of its common stock and 8,591,160 shares of non-voting common stock (the “NV Biotest Shares”). The Company will also transfer ownership of two of its plasma centers to Biotest on January 1, 2019 as additional consideration, which are reflected as non-current assets in the accompanying consolidated balance sheets at June 30, 2018 and December 31, 2017 in the amount of $1.3 million and $1.5 million, respectively.</w:t>
      </w:r>
    </w:p>
    <w:p>
      <w:pPr>
        <w:spacing w:after="0" w:line="192" w:lineRule="exact"/>
        <w:rPr>
          <w:rFonts w:ascii="Arial" w:cs="Arial" w:eastAsia="Arial" w:hAnsi="Arial"/>
          <w:sz w:val="18"/>
          <w:szCs w:val="18"/>
          <w:b w:val="1"/>
          <w:bCs w:val="1"/>
          <w:color w:val="auto"/>
        </w:rPr>
      </w:pPr>
    </w:p>
    <w:p>
      <w:pPr>
        <w:ind w:left="340" w:right="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 a result of the foregoing transaction, BPC became a principal stockholder and Biotest became a related party of the Company (see Note 9). Therefore, all transactions with Biotest subsequent to June 6, 2017, including product and license revenues attributable to Biotest (see Note 2), are related party transactions. The results from BTBU’s operations are included in the Company’s consolidated financial statements from the date of acquisition.</w:t>
      </w: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5" w:name="page16"/>
    <w:bookmarkEnd w:id="15"/>
    <w:p>
      <w:pPr>
        <w:ind w:left="1004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4"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following unaudited pro forma summary presents consolidated information of the Company as if the business combination had occurred on January 1, 2017. The pro forma information is presented for informational purposes only and is not necessarily indicative of the results of operations that would have been achieved had the acquisition been consummated as of that time or that may result in the future.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Three Months Ended</w:t>
            </w:r>
          </w:p>
        </w:tc>
        <w:tc>
          <w:tcPr>
            <w:tcW w:w="28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b w:val="1"/>
                <w:bCs w:val="1"/>
                <w:color w:val="auto"/>
                <w:w w:val="89"/>
              </w:rPr>
              <w:t>Six Months Ended June</w:t>
            </w:r>
          </w:p>
        </w:tc>
      </w:tr>
      <w:tr>
        <w:trPr>
          <w:trHeight w:val="234"/>
        </w:trPr>
        <w:tc>
          <w:tcPr>
            <w:tcW w:w="59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June 30, 2017</w:t>
            </w:r>
          </w:p>
        </w:tc>
        <w:tc>
          <w:tcPr>
            <w:tcW w:w="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30, 2017</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5980" w:type="dxa"/>
            <w:vAlign w:val="bottom"/>
          </w:tcPr>
          <w:p>
            <w:pPr>
              <w:ind w:left="300"/>
              <w:spacing w:after="0"/>
              <w:rPr>
                <w:sz w:val="20"/>
                <w:szCs w:val="20"/>
                <w:color w:val="auto"/>
              </w:rPr>
            </w:pPr>
            <w:r>
              <w:rPr>
                <w:rFonts w:ascii="Arial" w:cs="Arial" w:eastAsia="Arial" w:hAnsi="Arial"/>
                <w:sz w:val="18"/>
                <w:szCs w:val="18"/>
                <w:color w:val="auto"/>
              </w:rPr>
              <w:t>As reported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3,399,401</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6,028,272</w:t>
            </w:r>
          </w:p>
        </w:tc>
      </w:tr>
      <w:tr>
        <w:trPr>
          <w:trHeight w:val="216"/>
        </w:trPr>
        <w:tc>
          <w:tcPr>
            <w:tcW w:w="5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 forma</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10,569,393</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24,292,042</w:t>
            </w: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5980" w:type="dxa"/>
            <w:vAlign w:val="bottom"/>
          </w:tcPr>
          <w:p>
            <w:pPr>
              <w:ind w:left="300"/>
              <w:spacing w:after="0"/>
              <w:rPr>
                <w:sz w:val="20"/>
                <w:szCs w:val="20"/>
                <w:color w:val="auto"/>
              </w:rPr>
            </w:pPr>
            <w:r>
              <w:rPr>
                <w:rFonts w:ascii="Arial" w:cs="Arial" w:eastAsia="Arial" w:hAnsi="Arial"/>
                <w:sz w:val="18"/>
                <w:szCs w:val="18"/>
                <w:color w:val="auto"/>
              </w:rPr>
              <w:t>As reported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(9,036,495)</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(15,573,458)</w:t>
            </w:r>
          </w:p>
        </w:tc>
      </w:tr>
      <w:tr>
        <w:trPr>
          <w:trHeight w:val="216"/>
        </w:trPr>
        <w:tc>
          <w:tcPr>
            <w:tcW w:w="5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 forma</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(12,751,262)</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(24,826,749)</w:t>
            </w: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5980" w:type="dxa"/>
            <w:vAlign w:val="bottom"/>
          </w:tcPr>
          <w:p>
            <w:pPr>
              <w:ind w:left="300"/>
              <w:spacing w:after="0"/>
              <w:rPr>
                <w:sz w:val="20"/>
                <w:szCs w:val="20"/>
                <w:color w:val="auto"/>
              </w:rPr>
            </w:pPr>
            <w:r>
              <w:rPr>
                <w:rFonts w:ascii="Arial" w:cs="Arial" w:eastAsia="Arial" w:hAnsi="Arial"/>
                <w:sz w:val="18"/>
                <w:szCs w:val="18"/>
                <w:color w:val="auto"/>
              </w:rPr>
              <w:t>As reported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(0.55)</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5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 forma</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(0.49)</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r>
    </w:tbl>
    <w:p>
      <w:pPr>
        <w:spacing w:after="0" w:line="20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May 14, 2018, the Company, ADMA BioManufacturing and ADMA BioCenters entered into a Share Transfer, Amendment and Release Agreement with BPC, Biotest AG, Biotest US Corporation and The Biotest Divestiture Trust (the “Biotest Trust”) (the “Biotest Transfer Agreement”) whereby BPC transferred to the Company, for no cash consideration, the NV Biotest Shares. Immediately upon transfer of the NV Biotest Shares to the Company, the shares were retired and are no longer available for issuance. The retired NV Biotest Shares comprised approximately 19% of the total outstanding common stock of the Company as of May 14, 2018. In exchange for the transfer and retirement of the NV Biotest Shares, the Company (i) granted Biotest and its successors and assigns a release from all potential past, present and future indemnity claims arising under the Master Purchase and Sale Agreement, dated as of January 21, 2017, and (ii) relinquished its rights to, under certain circumstances, repurchase the two FDA-approved plasma collection centers required to be transferred to BPC on January 1, 2019. In addition, pursuant to the Biotest Transfer Agreement, BPC waived and terminated its rights to name a director and an observer to the Company’s Board of Directors (the “Board”). As BPC has made public statements regarding the U.S. Government required divestiture of all of BPC’s U.S. assets in connection with the sale of Biotest AG to CREAT Group Corporation, pursuant to the Biotest Transfer Agreement BPC transferred its remaining 10,109,534 shares of the Company’s common stock to the Biotest Trust on July 24, 2018, and the Biotest Trust has agreed to be bound by all obligations of and will have all of the remaining rights of BPC under that certain (i) Stockholders Agreement dated as of June 6, 2017, by and between the Company and BPC, as amended by the Biotest Transfer Agreement, and (ii) Registration Rights Agreement, dated as of June 6, 2017, by and between the Company and BPC, as amended by the Biotest Transfer Agreement. Furthermore, subject to the terms contained in the Biotest Transfer Agreement, for a 90-day period following BPC’s transfer of the remaining shares of ADMA common stock to the Biotest Trust, the Biotest Trust granted the Company a right of first negotiation for the purchase of the remaining shares of common stock held by the Biotest Trust.</w:t>
      </w:r>
    </w:p>
    <w:p>
      <w:pPr>
        <w:spacing w:after="0" w:line="30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sectPr>
      </w:pPr>
    </w:p>
    <w:bookmarkStart w:id="16" w:name="page17"/>
    <w:bookmarkEnd w:id="16"/>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Senior Notes Payable</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summary of outstanding senior notes payable is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2018</w:t>
            </w:r>
          </w:p>
        </w:tc>
        <w:tc>
          <w:tcPr>
            <w:tcW w:w="140" w:type="dxa"/>
            <w:vAlign w:val="bottom"/>
          </w:tcPr>
          <w:p>
            <w:pPr>
              <w:spacing w:after="0"/>
              <w:rPr>
                <w:sz w:val="20"/>
                <w:szCs w:val="20"/>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December 31, 2017</w:t>
            </w:r>
          </w:p>
        </w:tc>
      </w:tr>
      <w:tr>
        <w:trPr>
          <w:trHeight w:val="210"/>
        </w:trPr>
        <w:tc>
          <w:tcPr>
            <w:tcW w:w="6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30,000,000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discount</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(4,121,919)</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(4,631,542)</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Senior notes payable</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25,878,081</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25,368,458</w:t>
            </w:r>
          </w:p>
        </w:tc>
      </w:tr>
      <w:tr>
        <w:trPr>
          <w:trHeight w:val="20"/>
        </w:trPr>
        <w:tc>
          <w:tcPr>
            <w:tcW w:w="6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60"/>
        <w:spacing w:after="0" w:line="253" w:lineRule="auto"/>
        <w:rPr>
          <w:sz w:val="20"/>
          <w:szCs w:val="20"/>
          <w:color w:val="auto"/>
        </w:rPr>
      </w:pPr>
      <w:r>
        <w:rPr>
          <w:rFonts w:ascii="Arial" w:cs="Arial" w:eastAsia="Arial" w:hAnsi="Arial"/>
          <w:sz w:val="18"/>
          <w:szCs w:val="18"/>
          <w:color w:val="auto"/>
        </w:rPr>
        <w:t>On October 10, 2017 (the “Marathon Closing Date”), the Company entered into a Credit Agreement (the “Credit Agreement”) with Marathon Healthcare Finance Fund, L.P. (“Marathon” or the “Lender”) and Wilmington Trust, National Association, as the administrative agent for the Lender (the “Administrative Agent”). The Credit Agreement provides for a senior secured term loan facility in an aggregate amount of up to $40.0 million (collectively, the “Credit Facility”), comprised of (i) a term loan made on the Marathon Closing Date in the principal amount of $30.0 million evidenced by a secured promissory note (the “Tranche One Note”), and (ii) an additional term loan evidenced by a secured promissory note to be made in the maximum principal amount not to exceed $10.0 million (the “Tranche Two Note” and, together with the Tranche One Note, the “Notes”), which Tranche Two Note availability is subject to the satisfaction of certain conditions, including, but not limited to, those described below. The Notes each have a maturity date of April 10, 2022 (the “Maturity Date”), subject to acceleration pursuant to the Credit Agreement, including upon an Event of Default (as defined in the Credit Agreement).</w:t>
      </w:r>
    </w:p>
    <w:p>
      <w:pPr>
        <w:spacing w:after="0" w:line="197" w:lineRule="exact"/>
        <w:rPr>
          <w:sz w:val="20"/>
          <w:szCs w:val="20"/>
          <w:color w:val="auto"/>
        </w:rPr>
      </w:pPr>
    </w:p>
    <w:p>
      <w:pPr>
        <w:ind w:left="340" w:right="20"/>
        <w:spacing w:after="0" w:line="272" w:lineRule="auto"/>
        <w:rPr>
          <w:sz w:val="20"/>
          <w:szCs w:val="20"/>
          <w:color w:val="auto"/>
        </w:rPr>
      </w:pPr>
      <w:r>
        <w:rPr>
          <w:rFonts w:ascii="Arial" w:cs="Arial" w:eastAsia="Arial" w:hAnsi="Arial"/>
          <w:sz w:val="17"/>
          <w:szCs w:val="17"/>
          <w:color w:val="auto"/>
        </w:rPr>
        <w:t>Borrowings under the Credit Agreement bear interest at a rate per annum equal to LIBOR plus 9.50% with a 1% LIBOR floor; provided, however, that in the event that the Company achieves sales of not less than $61.7 million for the 2018 calendar year and the Tranche Two Loan has been funded, then the interest rate on the borrowings under the Credit Agreement will decrease to LIBOR plus 7.75% with a 1% LIBOR floor. During an Event of Default under the Credit Agreement, the outstanding amount of indebtedness under the Credit Agreement will bear interest at a rate per annum equal to the interest rate then applicable to the borrowings under the Credit Agreement plus 5% per annum. Quarterly cash interest payments are due the first business day of each March, June, September and December, beginning on December 1, 2017. During the six months ended June 30, 2018, the interest rate on the Tranche One Note ranged from 10.99% to 11.81%.</w:t>
      </w:r>
    </w:p>
    <w:p>
      <w:pPr>
        <w:spacing w:after="0" w:line="178"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The Company will pay Marathon a facility fee in an amount equal to 9.20% of the amount of the Tranche One Note, payment of which is deferred until the Maturity Date pursuant to the terms of the Credit Agreement. Commencing on October 10, 2020, and on the first business day of each month, the Company is required to make principal payments on the Tranche One Note (and Tranche Two Note in the event it shall have been funded) in equal monthly installments over 18 months, subject to certain conditions in the Credit Agreement. The outstanding principal amount of the Notes, together with all accrued interest thereon, is due on the Maturity Date.</w:t>
      </w:r>
    </w:p>
    <w:p>
      <w:pPr>
        <w:spacing w:after="0" w:line="188" w:lineRule="exact"/>
        <w:rPr>
          <w:sz w:val="20"/>
          <w:szCs w:val="20"/>
          <w:color w:val="auto"/>
        </w:rPr>
      </w:pPr>
    </w:p>
    <w:p>
      <w:pPr>
        <w:ind w:left="340" w:right="140"/>
        <w:spacing w:after="0" w:line="255" w:lineRule="auto"/>
        <w:rPr>
          <w:sz w:val="20"/>
          <w:szCs w:val="20"/>
          <w:color w:val="auto"/>
        </w:rPr>
      </w:pPr>
      <w:r>
        <w:rPr>
          <w:rFonts w:ascii="Arial" w:cs="Arial" w:eastAsia="Arial" w:hAnsi="Arial"/>
          <w:sz w:val="18"/>
          <w:szCs w:val="18"/>
          <w:color w:val="auto"/>
        </w:rPr>
        <w:t>The Credit Agreement contains market representations and warranties, affirmative covenants, negative covenants, financial covenants, and conditions that are customarily required for similar financings. The affirmative covenants, among other things, require the Company to undertake various reporting requirements. The negative covenants restrict or limit the ability of the Company and its subsidiaries to, among other things, incur new indebtedness; create liens on assets; engage in certain fundamental corporate changes or changes to the Company’s business activities; sell or otherwise dispose of assets; repurchase stock, pay dividends; repay certain other indebtedness; engage in certain affiliate transactions; or enter into any other agreements that restrict the Company’s ability to make loan repayments.</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 w:name="page18"/>
    <w:bookmarkEnd w:id="17"/>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right="40"/>
        <w:spacing w:after="0" w:line="271" w:lineRule="auto"/>
        <w:rPr>
          <w:sz w:val="20"/>
          <w:szCs w:val="20"/>
          <w:color w:val="auto"/>
        </w:rPr>
      </w:pPr>
      <w:r>
        <w:rPr>
          <w:rFonts w:ascii="Arial" w:cs="Arial" w:eastAsia="Arial" w:hAnsi="Arial"/>
          <w:sz w:val="17"/>
          <w:szCs w:val="17"/>
          <w:color w:val="auto"/>
        </w:rPr>
        <w:t>The Credit Agreement also required the establishment of a debt service reserve account, and the Company is required to maintain a certain minimum level of liquidity at all times. Liquidity is defined in the Credit Agreement as cash held in the debt service reserve account and any other deposit account subject to a control agreement with the Administrative Agent, and the required liquidity amount is reflected as restricted cash in the accompanying consolidated balance sheets as of June 30, 2018 and December 31, 2017. The minimum liquidity requirement was $4.0 million and $5.5 million as of June 30, 2018 and December 31, 2017, respectively. On May 31, 2018, the Credit Agreement was amended to reduce the minimum liquidity requirement to $5.25 million, and $250,000 was released from the debt service reserve account to the Company on June 25, 2018. On June 26, 2018, the Lender and the Administrative Agent acknowledged that the Company had met the requirements regarding its leased properties as set forth in Credit Agreement, and an additional $1.25 million was released from the debt service reserve account to the Company.</w:t>
      </w:r>
    </w:p>
    <w:p>
      <w:pPr>
        <w:spacing w:after="0" w:line="179" w:lineRule="exact"/>
        <w:rPr>
          <w:sz w:val="20"/>
          <w:szCs w:val="20"/>
          <w:color w:val="auto"/>
        </w:rPr>
      </w:pPr>
    </w:p>
    <w:p>
      <w:pPr>
        <w:ind w:left="340" w:right="20"/>
        <w:spacing w:after="0" w:line="276" w:lineRule="auto"/>
        <w:rPr>
          <w:sz w:val="20"/>
          <w:szCs w:val="20"/>
          <w:color w:val="auto"/>
        </w:rPr>
      </w:pPr>
      <w:r>
        <w:rPr>
          <w:rFonts w:ascii="Arial" w:cs="Arial" w:eastAsia="Arial" w:hAnsi="Arial"/>
          <w:sz w:val="17"/>
          <w:szCs w:val="17"/>
          <w:color w:val="auto"/>
        </w:rPr>
        <w:t>The Credit Agreement also contains customary Events of Default which include, among others, non-payment of principal, interest or fees, violation of covenants, inaccuracy of representations and warranties, bankruptcy and insolvency events, material judgments, cross-defaults to material contracts and events constituting a change of control. The occurrence of an Event of Default could result in, among other things, the termination of commitments under the Credit Facility and the declaration that all outstanding Loans are immediately due and payable in whole or in part. At June 30, 2018 and December 31, 2017, the Company was in compliance with all of the covenants contained in its senior lending agreements.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360" w:type="dxa"/>
            <w:vAlign w:val="bottom"/>
            <w:gridSpan w:val="2"/>
          </w:tcPr>
          <w:p>
            <w:pPr>
              <w:spacing w:after="0"/>
              <w:rPr>
                <w:sz w:val="20"/>
                <w:szCs w:val="20"/>
                <w:color w:val="auto"/>
              </w:rPr>
            </w:pPr>
            <w:r>
              <w:rPr>
                <w:rFonts w:ascii="Arial" w:cs="Arial" w:eastAsia="Arial" w:hAnsi="Arial"/>
                <w:sz w:val="18"/>
                <w:szCs w:val="18"/>
                <w:i w:val="1"/>
                <w:iCs w:val="1"/>
                <w:color w:val="auto"/>
              </w:rPr>
              <w:t>Related Party Note Payable</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53"/>
        </w:trPr>
        <w:tc>
          <w:tcPr>
            <w:tcW w:w="6360" w:type="dxa"/>
            <w:vAlign w:val="bottom"/>
            <w:gridSpan w:val="2"/>
          </w:tcPr>
          <w:p>
            <w:pPr>
              <w:spacing w:after="0"/>
              <w:rPr>
                <w:sz w:val="20"/>
                <w:szCs w:val="20"/>
                <w:color w:val="auto"/>
              </w:rPr>
            </w:pPr>
            <w:r>
              <w:rPr>
                <w:rFonts w:ascii="Arial" w:cs="Arial" w:eastAsia="Arial" w:hAnsi="Arial"/>
                <w:sz w:val="18"/>
                <w:szCs w:val="18"/>
                <w:color w:val="auto"/>
              </w:rPr>
              <w:t>A summary of the outstanding related party note payable is as follows: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46"/>
        </w:trPr>
        <w:tc>
          <w:tcPr>
            <w:tcW w:w="2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2018</w:t>
            </w:r>
          </w:p>
        </w:tc>
        <w:tc>
          <w:tcPr>
            <w:tcW w:w="140" w:type="dxa"/>
            <w:vAlign w:val="bottom"/>
          </w:tcPr>
          <w:p>
            <w:pPr>
              <w:spacing w:after="0"/>
              <w:rPr>
                <w:sz w:val="24"/>
                <w:szCs w:val="24"/>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December 31, 2017</w:t>
            </w:r>
          </w:p>
        </w:tc>
      </w:tr>
      <w:tr>
        <w:trPr>
          <w:trHeight w:val="210"/>
        </w:trPr>
        <w:tc>
          <w:tcPr>
            <w:tcW w:w="6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Biotest - Gross proceeds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15,000,000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15,000,000</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6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 discount</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(142,092)</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(157,304)</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Note payable - related party</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14,857,908</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14,842,696</w:t>
            </w:r>
          </w:p>
        </w:tc>
      </w:tr>
      <w:tr>
        <w:trPr>
          <w:trHeight w:val="20"/>
        </w:trPr>
        <w:tc>
          <w:tcPr>
            <w:tcW w:w="20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120"/>
        <w:spacing w:after="0" w:line="276" w:lineRule="auto"/>
        <w:rPr>
          <w:sz w:val="20"/>
          <w:szCs w:val="20"/>
          <w:color w:val="auto"/>
        </w:rPr>
      </w:pPr>
      <w:r>
        <w:rPr>
          <w:rFonts w:ascii="Arial" w:cs="Arial" w:eastAsia="Arial" w:hAnsi="Arial"/>
          <w:sz w:val="17"/>
          <w:szCs w:val="17"/>
          <w:color w:val="auto"/>
        </w:rPr>
        <w:t>In connection with the acquisition of the Biotest Assets (see Note 3), ADMA BioManufacturing issued a subordinated note payable to Biotest and in connection therewith received cash proceeds of $15.0 million. The note bears interest at a rate of 6.0% per annum and matures on June 6, 2022. The Company is obligated to make semi-annual interest payments, with all principal and unpaid interest due at maturity. The note is subordinate to all amounts outstanding under the Credit Agreement. In the event of default, all principal and unpaid interest is due on demand. The subordinated note also contains several non-financial covenants with which the Company was in compliance as of June 30, 2018.</w:t>
      </w:r>
    </w:p>
    <w:p>
      <w:pPr>
        <w:spacing w:after="0" w:line="169" w:lineRule="exact"/>
        <w:rPr>
          <w:sz w:val="20"/>
          <w:szCs w:val="20"/>
          <w:color w:val="auto"/>
        </w:rPr>
      </w:pPr>
    </w:p>
    <w:p>
      <w:pPr>
        <w:ind w:left="340" w:right="8740" w:hanging="332"/>
        <w:spacing w:after="0" w:line="503" w:lineRule="auto"/>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STOCKHOLDERS’ EQUITY </w:t>
      </w:r>
      <w:r>
        <w:rPr>
          <w:rFonts w:ascii="Arial" w:cs="Arial" w:eastAsia="Arial" w:hAnsi="Arial"/>
          <w:sz w:val="18"/>
          <w:szCs w:val="18"/>
          <w:i w:val="1"/>
          <w:iCs w:val="1"/>
          <w:u w:val="single" w:color="auto"/>
          <w:color w:val="auto"/>
        </w:rPr>
        <w:t>Preferred Stock</w:t>
      </w:r>
    </w:p>
    <w:p>
      <w:pPr>
        <w:ind w:left="34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currently authorized to issue up to 10 million shares of preferred stock, $0.0001, par value per share. There were no shares of preferred stock outstanding at June 30, 2018 and December 31, 2017.</w:t>
      </w:r>
    </w:p>
    <w:p>
      <w:pPr>
        <w:spacing w:after="0" w:line="17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Common Stock</w:t>
      </w:r>
    </w:p>
    <w:p>
      <w:pPr>
        <w:spacing w:after="0" w:line="225" w:lineRule="exact"/>
        <w:rPr>
          <w:rFonts w:ascii="Arial" w:cs="Arial" w:eastAsia="Arial" w:hAnsi="Arial"/>
          <w:sz w:val="18"/>
          <w:szCs w:val="18"/>
          <w:b w:val="1"/>
          <w:bCs w:val="1"/>
          <w:color w:val="auto"/>
        </w:rPr>
      </w:pPr>
    </w:p>
    <w:p>
      <w:pPr>
        <w:ind w:left="34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June 30, 2018 and December 31, 2017, the Company was authorized to issue 75,000,000 shares of its common stock, and 46,349,514 and 36,725,499 shares of common stock, respectively, were outstanding. After giving effect to shares reserved for the issuance of warrants and stock options, as of June 30, 2018, 23,870,861 shares of common stock were available for issuance.</w:t>
      </w:r>
    </w:p>
    <w:p>
      <w:pPr>
        <w:spacing w:after="0" w:line="181" w:lineRule="exact"/>
        <w:rPr>
          <w:rFonts w:ascii="Arial" w:cs="Arial" w:eastAsia="Arial" w:hAnsi="Arial"/>
          <w:sz w:val="18"/>
          <w:szCs w:val="18"/>
          <w:b w:val="1"/>
          <w:bCs w:val="1"/>
          <w:color w:val="auto"/>
        </w:rPr>
      </w:pPr>
    </w:p>
    <w:p>
      <w:pPr>
        <w:ind w:left="340" w:right="5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On May 14, 2018, pursuant to the Biotest Transfer Agreement, all 8,591,160 shares of the Company’s non-voting common stock (see Note 3) were transferred from Biotest to the Company and the shares were immediately retired and are no longer available for issuance.</w:t>
      </w:r>
    </w:p>
    <w:p>
      <w:pPr>
        <w:spacing w:after="0" w:line="146" w:lineRule="exact"/>
        <w:rPr>
          <w:rFonts w:ascii="Arial" w:cs="Arial" w:eastAsia="Arial" w:hAnsi="Arial"/>
          <w:sz w:val="18"/>
          <w:szCs w:val="18"/>
          <w:b w:val="1"/>
          <w:bCs w:val="1"/>
          <w:color w:val="auto"/>
        </w:rPr>
      </w:pPr>
    </w:p>
    <w:p>
      <w:pPr>
        <w:ind w:left="3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In June 2018, the Company completed an underwritten public offering of 9,623,430 shares of common stock for gross proceeds of $46.0 million. The Company received net proceeds from this offering, after underwriters’ commissions and other offering expenses, of $42.9 million. The net proceeds will be used for (i) for continued remediation and ongoing improvement and enhancements at the Boca Facility, (ii) to submit the PAS for, and relaunch of, BIVIGAM, (iii) to resubmit the RI-002 BLA, (iv) expenses associated with obtaining with FDA approval of ADMA’s third plasma collection facility, and</w:t>
      </w:r>
    </w:p>
    <w:p>
      <w:pPr>
        <w:spacing w:after="0" w:line="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(v) for general corporate purposes and other capital expenditures.</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8" w:name="page19"/>
    <w:bookmarkEnd w:id="18"/>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Equity Incentive Plan</w:t>
      </w:r>
    </w:p>
    <w:p>
      <w:pPr>
        <w:spacing w:after="0" w:line="225"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The fair value of stock options granted under the Company’s 2007 Employee Stock Option Plan (the “2007 Plan”) and the ADMA Biologics, Inc. 2014 Omnibus Incentive Compensation Plan, as amended and restated (the “2014 Plan”),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six months ended June 30, 2018 and 2017:</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402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6240" w:type="dxa"/>
            <w:vAlign w:val="bottom"/>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4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r>
      <w:tr>
        <w:trPr>
          <w:trHeight w:val="210"/>
        </w:trPr>
        <w:tc>
          <w:tcPr>
            <w:tcW w:w="6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2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5.8 - 6.3 years</w:t>
            </w:r>
          </w:p>
        </w:tc>
        <w:tc>
          <w:tcPr>
            <w:tcW w:w="1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5.8 - 6.3 years</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Volatility</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54-57%</w:t>
            </w:r>
          </w:p>
        </w:tc>
        <w:tc>
          <w:tcPr>
            <w:tcW w:w="2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51-64%</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24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2.40-2.59%</w:t>
            </w:r>
          </w:p>
        </w:tc>
        <w:tc>
          <w:tcPr>
            <w:tcW w:w="24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1.77-2.29%</w:t>
            </w:r>
          </w:p>
        </w:tc>
      </w:tr>
    </w:tbl>
    <w:p>
      <w:pPr>
        <w:spacing w:after="0" w:line="187"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color w:val="auto"/>
        </w:rPr>
        <w:t>The weighted average remaining contractual life of stock options outstanding and expected to vest at June 30, 2018 is 7.9 years. The weighted average remaining contractual life of stock options exercisable at June 30, 2018 is 6.2 years.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option activity under the 2007 Plan and 2014 Plan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3980" w:type="dxa"/>
            <w:vAlign w:val="bottom"/>
            <w:gridSpan w:val="5"/>
          </w:tcPr>
          <w:p>
            <w:pPr>
              <w:jc w:val="right"/>
              <w:ind w:right="11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3980" w:type="dxa"/>
            <w:vAlign w:val="bottom"/>
            <w:tcBorders>
              <w:bottom w:val="single" w:sz="8" w:color="auto"/>
            </w:tcBorders>
            <w:gridSpan w:val="5"/>
          </w:tcPr>
          <w:p>
            <w:pPr>
              <w:jc w:val="right"/>
              <w:ind w:right="1370"/>
              <w:spacing w:after="0"/>
              <w:rPr>
                <w:sz w:val="20"/>
                <w:szCs w:val="20"/>
                <w:color w:val="auto"/>
              </w:rPr>
            </w:pPr>
            <w:r>
              <w:rPr>
                <w:rFonts w:ascii="Arial" w:cs="Arial" w:eastAsia="Arial" w:hAnsi="Arial"/>
                <w:sz w:val="18"/>
                <w:szCs w:val="18"/>
                <w:b w:val="1"/>
                <w:bCs w:val="1"/>
                <w:color w:val="auto"/>
              </w:rPr>
              <w:t>June 30, 2018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1"/>
              </w:rPr>
              <w:t>Weighted 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120" w:type="dxa"/>
            <w:vAlign w:val="bottom"/>
            <w:gridSpan w:val="2"/>
          </w:tcPr>
          <w:p>
            <w:pPr>
              <w:ind w:left="66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right"/>
              <w:ind w:right="29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3,276,043</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Forfeited</w:t>
            </w:r>
          </w:p>
        </w:tc>
        <w:tc>
          <w:tcPr>
            <w:tcW w:w="1840" w:type="dxa"/>
            <w:vAlign w:val="bottom"/>
          </w:tcPr>
          <w:p>
            <w:pPr>
              <w:jc w:val="right"/>
              <w:spacing w:after="0"/>
              <w:rPr>
                <w:sz w:val="20"/>
                <w:szCs w:val="20"/>
                <w:color w:val="auto"/>
              </w:rPr>
            </w:pPr>
            <w:r>
              <w:rPr>
                <w:rFonts w:ascii="Arial" w:cs="Arial" w:eastAsia="Arial" w:hAnsi="Arial"/>
                <w:sz w:val="18"/>
                <w:szCs w:val="18"/>
                <w:color w:val="auto"/>
              </w:rPr>
              <w:t>(23,185)</w:t>
            </w:r>
          </w:p>
        </w:tc>
        <w:tc>
          <w:tcPr>
            <w:tcW w:w="280" w:type="dxa"/>
            <w:vAlign w:val="bottom"/>
          </w:tcPr>
          <w:p>
            <w:pPr>
              <w:spacing w:after="0"/>
              <w:rPr>
                <w:sz w:val="18"/>
                <w:szCs w:val="18"/>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1,002,900</w:t>
            </w:r>
          </w:p>
        </w:tc>
        <w:tc>
          <w:tcPr>
            <w:tcW w:w="280" w:type="dxa"/>
            <w:vAlign w:val="bottom"/>
          </w:tcPr>
          <w:p>
            <w:pPr>
              <w:spacing w:after="0"/>
              <w:rPr>
                <w:sz w:val="18"/>
                <w:szCs w:val="18"/>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ind w:right="5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2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end of period and expected to vest</w:t>
            </w:r>
          </w:p>
        </w:tc>
        <w:tc>
          <w:tcPr>
            <w:tcW w:w="1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4,251,465</w:t>
            </w:r>
          </w:p>
        </w:tc>
        <w:tc>
          <w:tcPr>
            <w:tcW w:w="2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Options exercisable</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1,842,738</w:t>
            </w:r>
          </w:p>
        </w:tc>
        <w:tc>
          <w:tcPr>
            <w:tcW w:w="280" w:type="dxa"/>
            <w:vAlign w:val="bottom"/>
          </w:tcPr>
          <w:p>
            <w:pPr>
              <w:spacing w:after="0"/>
              <w:rPr>
                <w:sz w:val="21"/>
                <w:szCs w:val="21"/>
                <w:color w:val="auto"/>
              </w:rPr>
            </w:pPr>
          </w:p>
        </w:tc>
        <w:tc>
          <w:tcPr>
            <w:tcW w:w="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During the six months ended June 30, 2018, an aggregate of 1,959 option shares were exercised in cashless exercise transactions resulting in the issuance of an aggregate of 585 shares of common stock. Stock-based compensation expense for the three and six months ended June 30, 2018 and 2017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83,339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68,434</w:t>
            </w:r>
          </w:p>
        </w:tc>
        <w:tc>
          <w:tcPr>
            <w:tcW w:w="5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161,644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Plasma centers</w:t>
            </w:r>
          </w:p>
        </w:tc>
        <w:tc>
          <w:tcPr>
            <w:tcW w:w="3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7,760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13,196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14,846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406,193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223,973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801,050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 revenue</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38,099</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5,760</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72,635</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535,391</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311,363</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1,050,175</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547,240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19" w:name="page20"/>
    <w:bookmarkEnd w:id="19"/>
    <w:p>
      <w:pPr>
        <w:jc w:val="right"/>
        <w:ind w:right="40"/>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right="520"/>
        <w:spacing w:after="0" w:line="277" w:lineRule="auto"/>
        <w:rPr>
          <w:sz w:val="20"/>
          <w:szCs w:val="20"/>
          <w:color w:val="auto"/>
        </w:rPr>
      </w:pPr>
      <w:r>
        <w:rPr>
          <w:rFonts w:ascii="Arial" w:cs="Arial" w:eastAsia="Arial" w:hAnsi="Arial"/>
          <w:sz w:val="18"/>
          <w:szCs w:val="18"/>
          <w:color w:val="auto"/>
        </w:rPr>
        <w:t>As of June 30, 2018, the Company had $5.1 million of unrecognized compensation expense related to options granted under the Company’s equity incentive plans, which is expected to be recognized over a weighted-average period of 2.8 years.</w:t>
      </w:r>
    </w:p>
    <w:p>
      <w:pPr>
        <w:sectPr>
          <w:pgSz w:w="11900" w:h="16838" w:orient="portrait"/>
          <w:cols w:equalWidth="0" w:num="1">
            <w:col w:w="11420"/>
          </w:cols>
          <w:pgMar w:left="240" w:top="229" w:right="239" w:bottom="1440" w:gutter="0" w:footer="0" w:header="0"/>
        </w:sectPr>
      </w:pPr>
    </w:p>
    <w:p>
      <w:pPr>
        <w:spacing w:after="0" w:line="16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provides the components of inventories: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9" w:lineRule="exact"/>
        <w:rPr>
          <w:rFonts w:ascii="Arial" w:cs="Arial" w:eastAsia="Arial" w:hAnsi="Arial"/>
          <w:sz w:val="18"/>
          <w:szCs w:val="18"/>
          <w:b w:val="1"/>
          <w:bCs w:val="1"/>
          <w:color w:val="auto"/>
        </w:rPr>
      </w:pPr>
    </w:p>
    <w:p>
      <w:pPr>
        <w:ind w:left="340" w:right="4700"/>
        <w:spacing w:after="0" w:line="307" w:lineRule="auto"/>
        <w:rPr>
          <w:rFonts w:ascii="Arial" w:cs="Arial" w:eastAsia="Arial" w:hAnsi="Arial"/>
          <w:sz w:val="18"/>
          <w:szCs w:val="18"/>
          <w:b w:val="1"/>
          <w:bCs w:val="1"/>
          <w:color w:val="auto"/>
        </w:rPr>
      </w:pPr>
      <w:r>
        <w:rPr>
          <w:rFonts w:ascii="Arial" w:cs="Arial" w:eastAsia="Arial" w:hAnsi="Arial"/>
          <w:sz w:val="16"/>
          <w:szCs w:val="16"/>
          <w:color w:val="auto"/>
        </w:rPr>
        <w:t>Raw materials Work-in-progress Finished goods Total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-588010</wp:posOffset>
            </wp:positionV>
            <wp:extent cx="65176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-313690</wp:posOffset>
            </wp:positionV>
            <wp:extent cx="651764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46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411"/>
        </w:trPr>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8,529,351</w:t>
            </w:r>
          </w:p>
        </w:tc>
        <w:tc>
          <w:tcPr>
            <w:tcW w:w="260" w:type="dxa"/>
            <w:vAlign w:val="bottom"/>
          </w:tcPr>
          <w:p>
            <w:pPr>
              <w:spacing w:after="0"/>
              <w:rPr>
                <w:sz w:val="24"/>
                <w:szCs w:val="24"/>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10,395,433</w:t>
            </w: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1,112,184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1,265,339</w:t>
            </w:r>
          </w:p>
        </w:tc>
      </w:tr>
      <w:tr>
        <w:trPr>
          <w:trHeight w:val="230"/>
        </w:trPr>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2,605,433</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967,409</w:t>
            </w:r>
          </w:p>
        </w:tc>
      </w:tr>
      <w:tr>
        <w:trPr>
          <w:trHeight w:val="223"/>
        </w:trPr>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12,246,968</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12,628,181</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720"/>
            <w:col w:w="4400"/>
          </w:cols>
          <w:pgMar w:left="240" w:top="229" w:right="239" w:bottom="1440" w:gutter="0" w:footer="0" w:header="0"/>
          <w:type w:val="continuous"/>
        </w:sectPr>
      </w:pPr>
    </w:p>
    <w:p>
      <w:pPr>
        <w:spacing w:after="0" w:line="2" w:lineRule="exact"/>
        <w:rPr>
          <w:sz w:val="20"/>
          <w:szCs w:val="20"/>
          <w:color w:val="auto"/>
        </w:rPr>
      </w:pPr>
    </w:p>
    <w:p>
      <w:pPr>
        <w:ind w:left="340" w:right="180"/>
        <w:spacing w:after="0" w:line="279" w:lineRule="auto"/>
        <w:rPr>
          <w:sz w:val="20"/>
          <w:szCs w:val="20"/>
          <w:color w:val="auto"/>
        </w:rPr>
      </w:pPr>
      <w:r>
        <w:rPr>
          <w:rFonts w:ascii="Arial" w:cs="Arial" w:eastAsia="Arial" w:hAnsi="Arial"/>
          <w:sz w:val="17"/>
          <w:szCs w:val="17"/>
          <w:color w:val="auto"/>
        </w:rPr>
        <w:t>Inventories are stated at the lower of cost or net realizable value with cost being determined on the first-in, first-out method. Finished goods inventories as of June 30, 2018 is comprised of Nabi-HB, a portion of which is recorded at fair value as part of the purchase price allocation of the Biotest Assets acquired. Raw materials includes materials expected to be used in the production of Nabi-HB, BIVIGAM and RI-002. All other activities and materials associated with the production of inventories used in research and development activities are expensed as incurred.</w:t>
      </w:r>
    </w:p>
    <w:p>
      <w:pPr>
        <w:spacing w:after="0" w:line="16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Intangible assets at June 30, 2018 and December 31, 2017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June 30, 2018</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2017</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05"/>
        </w:trPr>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4"/>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Net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Amortization</w:t>
            </w:r>
          </w:p>
        </w:tc>
        <w:tc>
          <w:tcPr>
            <w:tcW w:w="2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Net</w:t>
            </w:r>
          </w:p>
        </w:tc>
      </w:tr>
      <w:tr>
        <w:trPr>
          <w:trHeight w:val="182"/>
        </w:trPr>
        <w:tc>
          <w:tcPr>
            <w:tcW w:w="2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Trademark and other intangible</w:t>
            </w: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3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rights related to Nabi-HB</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4,100,046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634,531</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3,465,515</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4,100,046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341,670</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3,758,376</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Rights to intermediates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907,421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140,434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766,987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907,421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75,618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831,803</w:t>
            </w:r>
          </w:p>
        </w:tc>
      </w:tr>
      <w:tr>
        <w:trPr>
          <w:trHeight w:val="23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1,076,557</w:t>
            </w:r>
          </w:p>
        </w:tc>
        <w:tc>
          <w:tcPr>
            <w:tcW w:w="2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882,178</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194,379</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1,076,557</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817,386</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259,171</w:t>
            </w:r>
          </w:p>
        </w:tc>
      </w:tr>
      <w:tr>
        <w:trPr>
          <w:trHeight w:val="223"/>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6,084,024</w:t>
            </w: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1,657,143</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4,426,881</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6,084,024</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1,234,674</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4,849,350</w:t>
            </w:r>
          </w:p>
        </w:tc>
      </w:tr>
      <w:tr>
        <w:trPr>
          <w:trHeight w:val="20"/>
        </w:trPr>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right="80"/>
        <w:spacing w:after="0" w:line="312" w:lineRule="auto"/>
        <w:rPr>
          <w:sz w:val="20"/>
          <w:szCs w:val="20"/>
          <w:color w:val="auto"/>
        </w:rPr>
      </w:pPr>
      <w:r>
        <w:rPr>
          <w:rFonts w:ascii="Arial" w:cs="Arial" w:eastAsia="Arial" w:hAnsi="Arial"/>
          <w:sz w:val="16"/>
          <w:szCs w:val="16"/>
          <w:color w:val="auto"/>
        </w:rPr>
        <w:t>All of the Company’s intangible assets were acquired in the Biotest Transaction. Amortization expense related to these intangible assets for the three and six months ended June 30, 2018 was $0.2 million and $0.4 million, respectively. Amortization expense for the three and six months ended June 30, 2017 was $0.1 million. Estimated aggregate future aggregate amortization expense for the next five years is expected to be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57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422,469</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2019</w:t>
            </w:r>
          </w:p>
        </w:tc>
        <w:tc>
          <w:tcPr>
            <w:tcW w:w="57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844,938</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7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715,352</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2021</w:t>
            </w:r>
          </w:p>
        </w:tc>
        <w:tc>
          <w:tcPr>
            <w:tcW w:w="57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715,352</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7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715,352</w:t>
            </w:r>
          </w:p>
        </w:tc>
        <w:tc>
          <w:tcPr>
            <w:tcW w:w="820" w:type="dxa"/>
            <w:vAlign w:val="bottom"/>
          </w:tcPr>
          <w:p>
            <w:pPr>
              <w:spacing w:after="0"/>
              <w:rPr>
                <w:sz w:val="18"/>
                <w:szCs w:val="18"/>
                <w:color w:val="auto"/>
              </w:rPr>
            </w:pPr>
          </w:p>
        </w:tc>
      </w:tr>
      <w:tr>
        <w:trPr>
          <w:trHeight w:val="547"/>
        </w:trPr>
        <w:tc>
          <w:tcPr>
            <w:tcW w:w="3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jc w:val="right"/>
              <w:ind w:right="3530"/>
              <w:spacing w:after="0"/>
              <w:rPr>
                <w:sz w:val="20"/>
                <w:szCs w:val="20"/>
                <w:color w:val="auto"/>
              </w:rPr>
            </w:pPr>
            <w:r>
              <w:rPr>
                <w:rFonts w:ascii="Arial" w:cs="Arial" w:eastAsia="Arial" w:hAnsi="Arial"/>
                <w:sz w:val="18"/>
                <w:szCs w:val="18"/>
                <w:color w:val="auto"/>
              </w:rPr>
              <w:t>16</w:t>
            </w:r>
          </w:p>
        </w:tc>
        <w:tc>
          <w:tcPr>
            <w:tcW w:w="1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type w:val="continuous"/>
        </w:sectPr>
      </w:pPr>
    </w:p>
    <w:bookmarkStart w:id="20" w:name="page21"/>
    <w:bookmarkEnd w:id="2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PROPERTY, PLANT AND EQUIPMENT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and related accumulated depreciation are summarized as follows: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2018</w:t>
            </w:r>
          </w:p>
        </w:tc>
        <w:tc>
          <w:tcPr>
            <w:tcW w:w="140" w:type="dxa"/>
            <w:vAlign w:val="bottom"/>
          </w:tcPr>
          <w:p>
            <w:pPr>
              <w:spacing w:after="0"/>
              <w:rPr>
                <w:sz w:val="20"/>
                <w:szCs w:val="20"/>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 2017</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1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7,258,395</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7,148,405</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Office equipment and computer software</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1,557,723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1,086,756</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1,136,623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1,136,623</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1,072,099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738,093</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1,650,029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1,642,903</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Land</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4,339,441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4,339,441</w:t>
            </w: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8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15,660,559</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15,660,559</w:t>
            </w:r>
          </w:p>
        </w:tc>
      </w:tr>
      <w:tr>
        <w:trPr>
          <w:trHeight w:val="210"/>
        </w:trPr>
        <w:tc>
          <w:tcPr>
            <w:tcW w:w="4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32,674,869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31,752,780</w:t>
            </w: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8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(2,337,584)</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(1,285,922)</w:t>
            </w:r>
          </w:p>
        </w:tc>
      </w:tr>
      <w:tr>
        <w:trPr>
          <w:trHeight w:val="223"/>
        </w:trPr>
        <w:tc>
          <w:tcPr>
            <w:tcW w:w="4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30,337,285</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30,466,858</w:t>
            </w:r>
          </w:p>
        </w:tc>
      </w:tr>
      <w:tr>
        <w:trPr>
          <w:trHeight w:val="20"/>
        </w:trPr>
        <w:tc>
          <w:tcPr>
            <w:tcW w:w="4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00"/>
        <w:spacing w:after="0" w:line="312" w:lineRule="auto"/>
        <w:rPr>
          <w:sz w:val="20"/>
          <w:szCs w:val="20"/>
          <w:color w:val="auto"/>
        </w:rPr>
      </w:pPr>
      <w:r>
        <w:rPr>
          <w:rFonts w:ascii="Arial" w:cs="Arial" w:eastAsia="Arial" w:hAnsi="Arial"/>
          <w:sz w:val="16"/>
          <w:szCs w:val="16"/>
          <w:color w:val="auto"/>
        </w:rPr>
        <w:t>Fixed assets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3 to 10 years. Leasehold improvements are amortized over the lesser of the lease term or their estimated useful lives.</w:t>
      </w:r>
    </w:p>
    <w:p>
      <w:pPr>
        <w:spacing w:after="0" w:line="147" w:lineRule="exact"/>
        <w:rPr>
          <w:sz w:val="20"/>
          <w:szCs w:val="20"/>
          <w:color w:val="auto"/>
        </w:rPr>
      </w:pPr>
    </w:p>
    <w:p>
      <w:pPr>
        <w:ind w:left="340" w:right="40"/>
        <w:spacing w:after="0" w:line="286" w:lineRule="auto"/>
        <w:rPr>
          <w:sz w:val="20"/>
          <w:szCs w:val="20"/>
          <w:color w:val="auto"/>
        </w:rPr>
      </w:pPr>
      <w:r>
        <w:rPr>
          <w:rFonts w:ascii="Arial" w:cs="Arial" w:eastAsia="Arial" w:hAnsi="Arial"/>
          <w:sz w:val="17"/>
          <w:szCs w:val="17"/>
          <w:color w:val="auto"/>
        </w:rPr>
        <w:t>The Company recorded depreciation expense on property and equipment for the three and six months ended June 30, 2018 of $0.6 million and $1.3 million, respectively, which includes $0.1 million and $0.2 million, respectively, of depreciation expense on the plasma assets to be transferred (see Note 3). Depreciation expense for the three and six months ended June 30, 2017 was $0.1 million and $0.3 million, respectively.</w:t>
      </w:r>
    </w:p>
    <w:p>
      <w:pPr>
        <w:spacing w:after="0" w:line="16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rFonts w:ascii="Arial" w:cs="Arial" w:eastAsia="Arial" w:hAnsi="Arial"/>
          <w:sz w:val="18"/>
          <w:szCs w:val="18"/>
          <w:b w:val="1"/>
          <w:bCs w:val="1"/>
          <w:color w:val="auto"/>
        </w:rPr>
      </w:pPr>
    </w:p>
    <w:p>
      <w:pPr>
        <w:ind w:left="34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leases an office building and equipment from Areth, LLC (“Areth”) pursuant to a shared services agreement on a month-to-month basis. Monthly rent on this facility is $10,000. Rent expense under this agreement for the three and six months ended June 30, 2018 was $30,000 and $60,000, respectively. Rent expense for the three and six months ended June 30, 2017 was $48,000 and $96,000, respectively. Areth is a company controlled by Dr. Jerrold B. Grossman, the Company’s Vice Chairman of the Board, and Adam Grossman, the Company’s President and Chief Executive Officer.</w:t>
      </w:r>
    </w:p>
    <w:p>
      <w:pPr>
        <w:spacing w:after="0" w:line="188" w:lineRule="exact"/>
        <w:rPr>
          <w:rFonts w:ascii="Arial" w:cs="Arial" w:eastAsia="Arial" w:hAnsi="Arial"/>
          <w:sz w:val="18"/>
          <w:szCs w:val="18"/>
          <w:b w:val="1"/>
          <w:bCs w:val="1"/>
          <w:color w:val="auto"/>
        </w:rPr>
      </w:pPr>
    </w:p>
    <w:p>
      <w:pPr>
        <w:ind w:left="34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part of the Biotest Transaction, the Company issued a $15.0 million subordinated note payable to Biotest (see Note 4), and recognized interest expense on this note for the three and six months ended June 30, 2018 in the amount of $0.2 and $0.5 million, respectively. Interest expense on this note for the three and six months ended June 30, 2017 was $0.1 million.</w:t>
      </w:r>
    </w:p>
    <w:p>
      <w:pPr>
        <w:spacing w:after="0" w:line="181" w:lineRule="exact"/>
        <w:rPr>
          <w:rFonts w:ascii="Arial" w:cs="Arial" w:eastAsia="Arial" w:hAnsi="Arial"/>
          <w:sz w:val="18"/>
          <w:szCs w:val="18"/>
          <w:b w:val="1"/>
          <w:bCs w:val="1"/>
          <w:color w:val="auto"/>
        </w:rPr>
      </w:pPr>
    </w:p>
    <w:p>
      <w:pPr>
        <w:ind w:left="3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three and six months ended June 30, 2018, and for the three and six months ended June 30, 2017, the Company recognized revenues under its out-licensing agreements with Biotest of approximately $36,000 and $71,000, respectively. Deferred revenue of $2.6 million and $2.7 million as of June 30, 2018 and December 31, 2017, respectively, is related to these agreements.</w:t>
      </w:r>
    </w:p>
    <w:p>
      <w:pPr>
        <w:spacing w:after="0" w:line="181" w:lineRule="exact"/>
        <w:rPr>
          <w:rFonts w:ascii="Arial" w:cs="Arial" w:eastAsia="Arial" w:hAnsi="Arial"/>
          <w:sz w:val="18"/>
          <w:szCs w:val="18"/>
          <w:b w:val="1"/>
          <w:bCs w:val="1"/>
          <w:color w:val="auto"/>
        </w:rPr>
      </w:pPr>
    </w:p>
    <w:p>
      <w:pPr>
        <w:ind w:left="340" w:right="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Biotest is the Company’s largest customer for the sale of normal source plasma. Plasma sales to Biotest for the three and six months ended June 30, 2018 and 2017 were $2.5 million and $4.8 million, respectively. For the three and six months ended June 30, 2017, plasma sales to Biotest were $2.4 million and $4.5 million, respectively. Accounts receivable includes $1.0 million and $1.2 million due from Biotest as of June 30, 2018 and December 31, 2017, respectively. Additionally, Biotest is a supplier of plasma to ADMA. For the three and six months ended June 30, 2018, the Company purchased $0.6 million and $0.8 million, respectively, of plasma from Biotest. Plasma purchases from Biotest for the three and six months ended June 30, 2017 were $0.1 million and $0.3 million, respectively. Included in accounts payable is $0.3 million and $0.1 million due to Biotest as of June 30, 2018 and December 31, 2017, respectively. The following table summarizes the related party balances with Biotest: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spacing w:after="0"/>
              <w:rPr>
                <w:rFonts w:ascii="Arial" w:cs="Arial" w:eastAsia="Arial" w:hAnsi="Arial"/>
                <w:sz w:val="14"/>
                <w:szCs w:val="14"/>
                <w:i w:val="1"/>
                <w:iCs w:val="1"/>
                <w:color w:val="0000EE"/>
                <w:w w:val="92"/>
              </w:rPr>
            </w:pPr>
            <w:hyperlink w:anchor="page2">
              <w:r>
                <w:rPr>
                  <w:rFonts w:ascii="Arial" w:cs="Arial" w:eastAsia="Arial" w:hAnsi="Arial"/>
                  <w:sz w:val="14"/>
                  <w:szCs w:val="14"/>
                  <w:i w:val="1"/>
                  <w:iCs w:val="1"/>
                  <w:color w:val="0000EE"/>
                  <w:w w:val="92"/>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040" w:type="dxa"/>
            <w:vAlign w:val="bottom"/>
            <w:gridSpan w:val="6"/>
          </w:tcPr>
          <w:p>
            <w:pPr>
              <w:jc w:val="right"/>
              <w:ind w:right="310"/>
              <w:spacing w:after="0"/>
              <w:rPr>
                <w:sz w:val="20"/>
                <w:szCs w:val="20"/>
                <w:color w:val="auto"/>
              </w:rPr>
            </w:pPr>
            <w:r>
              <w:rPr>
                <w:rFonts w:ascii="Arial" w:cs="Arial" w:eastAsia="Arial" w:hAnsi="Arial"/>
                <w:sz w:val="18"/>
                <w:szCs w:val="18"/>
                <w:b w:val="1"/>
                <w:bCs w:val="1"/>
                <w:color w:val="auto"/>
              </w:rPr>
              <w:t>ADMA BIOLOGICS, INC. AND SUBSIDIARIES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940" w:type="dxa"/>
            <w:vAlign w:val="bottom"/>
            <w:gridSpan w:val="11"/>
          </w:tcPr>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b w:val="1"/>
                <w:bCs w:val="1"/>
                <w:color w:val="auto"/>
              </w:rPr>
              <w:t>2017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 and purchase of plasma</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Product revenue</w:t>
            </w:r>
          </w:p>
        </w:tc>
        <w:tc>
          <w:tcPr>
            <w:tcW w:w="20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2,473,777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2,362,059</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4,802,068</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4,454,274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639,771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141,754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834,789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License revenue</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35,709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71,417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December 31,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1,045,388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1,245,677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Accounts payable</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297,490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139,939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225,286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314,820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Note payable, net of discount</w:t>
            </w: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14,857,908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14,842,396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62,500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65,000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Deferred revenue</w:t>
            </w: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2,618,616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2,690,033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-840105</wp:posOffset>
            </wp:positionV>
            <wp:extent cx="214376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760" cy="146050"/>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-557530</wp:posOffset>
            </wp:positionV>
            <wp:extent cx="21437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3760" cy="137160"/>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-282575</wp:posOffset>
            </wp:positionV>
            <wp:extent cx="21437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3760" cy="137160"/>
                    </a:xfrm>
                    <a:prstGeom prst="rect">
                      <a:avLst/>
                    </a:prstGeom>
                    <a:noFill/>
                  </pic:spPr>
                </pic:pic>
              </a:graphicData>
            </a:graphic>
          </wp:anchor>
        </w:drawing>
      </w:r>
    </w:p>
    <w:p>
      <w:pPr>
        <w:spacing w:after="0" w:line="167" w:lineRule="exact"/>
        <w:rPr>
          <w:sz w:val="20"/>
          <w:szCs w:val="20"/>
          <w:color w:val="auto"/>
        </w:rPr>
      </w:pPr>
    </w:p>
    <w:p>
      <w:pPr>
        <w:ind w:left="340" w:right="20"/>
        <w:spacing w:after="0" w:line="271" w:lineRule="auto"/>
        <w:rPr>
          <w:sz w:val="20"/>
          <w:szCs w:val="20"/>
          <w:color w:val="auto"/>
        </w:rPr>
      </w:pPr>
      <w:r>
        <w:rPr>
          <w:rFonts w:ascii="Arial" w:cs="Arial" w:eastAsia="Arial" w:hAnsi="Arial"/>
          <w:sz w:val="17"/>
          <w:szCs w:val="17"/>
          <w:color w:val="auto"/>
        </w:rPr>
        <w:t>In connection with the acquisition of the Biotest Assets, the Company entered into a Transition Services Agreement with BPC pursuant to which each of the Company and BPC agreed to provide transition services to the other party, including services related to finance, human resources, information technologies, leasing of equipment and clinical and regulatory services for a period of up to 24 months after the June 6, 2017 closing date, as well as agreements to lease certain laboratory space within the Boca Facility to BPC for a period of up to 24 months after the closing date of the acquisition transaction. As of June 30, 2018 and December 31, 2017, $0.2 million and $0.3 million, respectively, was payable by the Company to BPC for services rendered and expenses incurred on behalf of the Company related to these agreements. This amount is reflected in accrued expenses in the accompanying consolidated balance sheets. The services component of amounts billed to the Company by BPC for the three months and six months ended June 30, 2018 was not material to the Company’s consolidated financial statements.</w:t>
      </w:r>
    </w:p>
    <w:p>
      <w:pPr>
        <w:spacing w:after="0" w:line="179" w:lineRule="exact"/>
        <w:rPr>
          <w:sz w:val="20"/>
          <w:szCs w:val="20"/>
          <w:color w:val="auto"/>
        </w:rPr>
      </w:pPr>
    </w:p>
    <w:p>
      <w:pPr>
        <w:ind w:left="340" w:right="300"/>
        <w:spacing w:after="0" w:line="286" w:lineRule="auto"/>
        <w:rPr>
          <w:sz w:val="20"/>
          <w:szCs w:val="20"/>
          <w:color w:val="auto"/>
        </w:rPr>
      </w:pPr>
      <w:r>
        <w:rPr>
          <w:rFonts w:ascii="Arial" w:cs="Arial" w:eastAsia="Arial" w:hAnsi="Arial"/>
          <w:sz w:val="17"/>
          <w:szCs w:val="17"/>
          <w:color w:val="auto"/>
        </w:rPr>
        <w:t>Under the terms of the acquisition of the Biotest Assets, the Company will transfer ownership of two plasma collection centers to BPC on January 1, 2019. The Company has estimated the fair value of these assets to be $12.6 million, and the obligation to transfer these assets to Biotest is reflected in non-current liabilities in the accompanying consolidated balance sheet as of June 30, 2018 and December 31, 2017.</w:t>
      </w:r>
    </w:p>
    <w:p>
      <w:pPr>
        <w:spacing w:after="0" w:line="162" w:lineRule="exact"/>
        <w:rPr>
          <w:sz w:val="20"/>
          <w:szCs w:val="20"/>
          <w:color w:val="auto"/>
        </w:rPr>
      </w:pPr>
    </w:p>
    <w:p>
      <w:pPr>
        <w:ind w:left="340" w:right="7640" w:hanging="332"/>
        <w:spacing w:after="0" w:line="503" w:lineRule="auto"/>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COMMITMENTS AND CONTINGENCIES </w:t>
      </w:r>
      <w:r>
        <w:rPr>
          <w:rFonts w:ascii="Arial" w:cs="Arial" w:eastAsia="Arial" w:hAnsi="Arial"/>
          <w:sz w:val="18"/>
          <w:szCs w:val="18"/>
          <w:i w:val="1"/>
          <w:iCs w:val="1"/>
          <w:u w:val="single" w:color="auto"/>
          <w:color w:val="auto"/>
        </w:rPr>
        <w:t>General Legal Matters</w:t>
      </w:r>
    </w:p>
    <w:p>
      <w:pPr>
        <w:ind w:left="34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8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Contract manufacturing agreement</w:t>
      </w:r>
    </w:p>
    <w:p>
      <w:pPr>
        <w:spacing w:after="0" w:line="225" w:lineRule="exact"/>
        <w:rPr>
          <w:rFonts w:ascii="Arial" w:cs="Arial" w:eastAsia="Arial" w:hAnsi="Arial"/>
          <w:sz w:val="18"/>
          <w:szCs w:val="18"/>
          <w:b w:val="1"/>
          <w:bCs w:val="1"/>
          <w:color w:val="auto"/>
        </w:rPr>
      </w:pPr>
    </w:p>
    <w:p>
      <w:pPr>
        <w:ind w:left="340"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acquisition of the Biotest Assets, the Company acquired all of the rights and assumed all of the obligations under an existing agreement with a third party related to the fractionation of plasma provided by the third party. This contract, as amended from time to time, maintains minimum production requirements as well as a payment due to the counterparty to the contract of $1.5 million per year if the minimum volume is not manufactured in that year and no other breach or default under the contract has occurred.</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22" w:name="page23"/>
    <w:bookmarkEnd w:id="22"/>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Post-marketing commitments</w:t>
      </w:r>
    </w:p>
    <w:p>
      <w:pPr>
        <w:spacing w:after="0" w:line="225"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are still pending completion, ADMA has assumed the remaining obligations, and the costs of the studies will be expensed as incurred as research and development expenses. The Company currently expects both studies to be completed by the end of 2021. However, the timing of the completion of these studies is dependent upon the availability of BIVIGAM and the completion of the planned manufacturing process improvements.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Other commitments</w:t>
      </w:r>
    </w:p>
    <w:p>
      <w:pPr>
        <w:spacing w:after="0" w:line="225" w:lineRule="exact"/>
        <w:rPr>
          <w:sz w:val="20"/>
          <w:szCs w:val="20"/>
          <w:color w:val="auto"/>
        </w:rPr>
      </w:pPr>
    </w:p>
    <w:p>
      <w:pPr>
        <w:jc w:val="both"/>
        <w:ind w:left="340" w:right="20"/>
        <w:spacing w:after="0" w:line="25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June 30, 2018. The Company does not anticipate recognizing any significant losses relating to these arrangements.</w:t>
      </w:r>
    </w:p>
    <w:p>
      <w:pPr>
        <w:spacing w:after="0" w:line="18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SEGMENTS</w:t>
      </w:r>
    </w:p>
    <w:p>
      <w:pPr>
        <w:spacing w:after="0" w:line="229" w:lineRule="exact"/>
        <w:rPr>
          <w:rFonts w:ascii="Arial" w:cs="Arial" w:eastAsia="Arial" w:hAnsi="Arial"/>
          <w:sz w:val="18"/>
          <w:szCs w:val="18"/>
          <w:b w:val="1"/>
          <w:bCs w:val="1"/>
          <w:color w:val="auto"/>
        </w:rPr>
      </w:pPr>
    </w:p>
    <w:p>
      <w:pPr>
        <w:ind w:left="3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Company is engaged in the manufacture, marketing and development of specialty plasma-derived biologics. The Company’s operating segments reflect the consummation of the Biotest Transaction on June 6, 2017 (see Notes 1 and 3), and the nature of its operations subsequent to the close of the transaction. The Company’s ADMA BioManufacturing segment reflects the Company’s immune globulin manufacturing and development operations in Boca Raton, FL, acquired on June 6, 2017 (see Note 3). The Plasma Collection Centers segment consists of two FDA-licensed source plasma collection facilities located in Georgia, as well as a third collection center which opened in December 2017 and for which an FDA license is pending.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8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center"/>
              <w:ind w:right="520"/>
              <w:spacing w:after="0" w:line="191" w:lineRule="exact"/>
              <w:rPr>
                <w:sz w:val="20"/>
                <w:szCs w:val="20"/>
                <w:color w:val="auto"/>
              </w:rPr>
            </w:pPr>
            <w:r>
              <w:rPr>
                <w:rFonts w:ascii="Arial" w:cs="Arial" w:eastAsia="Arial" w:hAnsi="Arial"/>
                <w:sz w:val="18"/>
                <w:szCs w:val="18"/>
                <w:b w:val="1"/>
                <w:bCs w:val="1"/>
                <w:color w:val="auto"/>
              </w:rPr>
              <w:t>ADMA</w:t>
            </w:r>
          </w:p>
        </w:tc>
        <w:tc>
          <w:tcPr>
            <w:tcW w:w="15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1"/>
              </w:rPr>
              <w:t>Plasma Collection</w:t>
            </w: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BioManufacturing</w:t>
            </w:r>
          </w:p>
        </w:tc>
        <w:tc>
          <w:tcPr>
            <w:tcW w:w="28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Centers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2,144,724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2,476,117</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4,656,550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7,965,681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1,679,981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9,645,662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(9,918,243)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(2,557,145)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(13,417,381)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(237,161)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(1,330,450)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(10,155,404)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(3,649,998)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(14,747,831)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54,297,915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5,438,645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58,015,432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117,751,992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639,300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200,598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845,899</w:t>
            </w: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spacing w:after="0"/>
              <w:rPr>
                <w:rFonts w:ascii="Arial" w:cs="Arial" w:eastAsia="Arial" w:hAnsi="Arial"/>
                <w:sz w:val="14"/>
                <w:szCs w:val="14"/>
                <w:i w:val="1"/>
                <w:iCs w:val="1"/>
                <w:color w:val="0000EE"/>
                <w:w w:val="92"/>
              </w:rPr>
            </w:pPr>
            <w:hyperlink w:anchor="page2">
              <w:r>
                <w:rPr>
                  <w:rFonts w:ascii="Arial" w:cs="Arial" w:eastAsia="Arial" w:hAnsi="Arial"/>
                  <w:sz w:val="14"/>
                  <w:szCs w:val="14"/>
                  <w:i w:val="1"/>
                  <w:iCs w:val="1"/>
                  <w:color w:val="0000EE"/>
                  <w:w w:val="92"/>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740" w:type="dxa"/>
            <w:vAlign w:val="bottom"/>
            <w:gridSpan w:val="6"/>
          </w:tcPr>
          <w:p>
            <w:pPr>
              <w:jc w:val="center"/>
              <w:spacing w:after="0"/>
              <w:rPr>
                <w:sz w:val="20"/>
                <w:szCs w:val="20"/>
                <w:color w:val="auto"/>
              </w:rPr>
            </w:pPr>
            <w:r>
              <w:rPr>
                <w:rFonts w:ascii="Arial" w:cs="Arial" w:eastAsia="Arial" w:hAnsi="Arial"/>
                <w:sz w:val="18"/>
                <w:szCs w:val="18"/>
                <w:b w:val="1"/>
                <w:bCs w:val="1"/>
                <w:color w:val="auto"/>
              </w:rPr>
              <w:t>ADMA BIOLOGICS, INC. AND SUBSIDIARIES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940" w:type="dxa"/>
            <w:vAlign w:val="bottom"/>
            <w:gridSpan w:val="11"/>
          </w:tcPr>
          <w:p>
            <w:pPr>
              <w:jc w:val="center"/>
              <w:ind w:left="135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5"/>
          </w:tcPr>
          <w:p>
            <w:pPr>
              <w:jc w:val="center"/>
              <w:ind w:left="1050"/>
              <w:spacing w:after="0"/>
              <w:rPr>
                <w:sz w:val="20"/>
                <w:szCs w:val="20"/>
                <w:color w:val="auto"/>
              </w:rPr>
            </w:pPr>
            <w:r>
              <w:rPr>
                <w:rFonts w:ascii="Arial" w:cs="Arial" w:eastAsia="Arial" w:hAnsi="Arial"/>
                <w:sz w:val="18"/>
                <w:szCs w:val="18"/>
                <w:b w:val="1"/>
                <w:bCs w:val="1"/>
                <w:color w:val="auto"/>
                <w:w w:val="89"/>
              </w:rPr>
              <w:t>Six Months Ended June 30, 2018</w:t>
            </w: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520"/>
              <w:spacing w:after="0" w:line="191" w:lineRule="exact"/>
              <w:rPr>
                <w:sz w:val="20"/>
                <w:szCs w:val="20"/>
                <w:color w:val="auto"/>
              </w:rPr>
            </w:pPr>
            <w:r>
              <w:rPr>
                <w:rFonts w:ascii="Arial" w:cs="Arial" w:eastAsia="Arial" w:hAnsi="Arial"/>
                <w:sz w:val="18"/>
                <w:szCs w:val="18"/>
                <w:b w:val="1"/>
                <w:bCs w:val="1"/>
                <w:color w:val="auto"/>
              </w:rPr>
              <w:t>ADMA</w:t>
            </w:r>
          </w:p>
        </w:tc>
        <w:tc>
          <w:tcPr>
            <w:tcW w:w="15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Plasma Collection</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BioManufacturing</w:t>
            </w:r>
          </w:p>
        </w:tc>
        <w:tc>
          <w:tcPr>
            <w:tcW w:w="440" w:type="dxa"/>
            <w:vAlign w:val="bottom"/>
          </w:tcPr>
          <w:p>
            <w:pPr>
              <w:spacing w:after="0"/>
              <w:rPr>
                <w:sz w:val="20"/>
                <w:szCs w:val="20"/>
                <w:color w:val="auto"/>
              </w:rPr>
            </w:pPr>
          </w:p>
        </w:tc>
        <w:tc>
          <w:tcPr>
            <w:tcW w:w="106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Centers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3,810,967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4,816,172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71,417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8,698,556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18,663,323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3,225,087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21,888,410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(22,642,709)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(1,980,817)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(5,326,358)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(29,949,884)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(477,214)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(2,142,004)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(2,620,089)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(23,119,923)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(1,981,688)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(7,468,362)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(32,569,973)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591,665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454,710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1,046,375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1,271,131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389,512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1,675,439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8"/>
                <w:szCs w:val="18"/>
                <w:b w:val="1"/>
                <w:bCs w:val="1"/>
                <w:color w:val="auto"/>
                <w:w w:val="90"/>
              </w:rPr>
              <w:t>Three Months Ended June 30, 2017</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520"/>
              <w:spacing w:after="0" w:line="191" w:lineRule="exact"/>
              <w:rPr>
                <w:sz w:val="20"/>
                <w:szCs w:val="20"/>
                <w:color w:val="auto"/>
              </w:rPr>
            </w:pPr>
            <w:r>
              <w:rPr>
                <w:rFonts w:ascii="Arial" w:cs="Arial" w:eastAsia="Arial" w:hAnsi="Arial"/>
                <w:sz w:val="18"/>
                <w:szCs w:val="18"/>
                <w:b w:val="1"/>
                <w:bCs w:val="1"/>
                <w:color w:val="auto"/>
              </w:rPr>
              <w:t>ADMA</w:t>
            </w:r>
          </w:p>
        </w:tc>
        <w:tc>
          <w:tcPr>
            <w:tcW w:w="15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Plasma Collection</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BioManufacturing</w:t>
            </w:r>
          </w:p>
        </w:tc>
        <w:tc>
          <w:tcPr>
            <w:tcW w:w="440" w:type="dxa"/>
            <w:vAlign w:val="bottom"/>
          </w:tcPr>
          <w:p>
            <w:pPr>
              <w:spacing w:after="0"/>
              <w:rPr>
                <w:sz w:val="20"/>
                <w:szCs w:val="20"/>
                <w:color w:val="auto"/>
              </w:rPr>
            </w:pPr>
          </w:p>
        </w:tc>
        <w:tc>
          <w:tcPr>
            <w:tcW w:w="106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Centers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539,223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2,824,469</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3,399,401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2,498,856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1,835,163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4,334,019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(3,118,300)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(4,672,704)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(8,401,868)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(634,627)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(3,180,287)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(5,245,344)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(9,036,495)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65,913,839</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2,101,977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16,623,437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84,639,253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158,398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103,703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277,132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w:t>
            </w: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2"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spacing w:after="0"/>
              <w:rPr>
                <w:rFonts w:ascii="Arial" w:cs="Arial" w:eastAsia="Arial" w:hAnsi="Arial"/>
                <w:sz w:val="14"/>
                <w:szCs w:val="14"/>
                <w:i w:val="1"/>
                <w:iCs w:val="1"/>
                <w:color w:val="0000EE"/>
                <w:w w:val="92"/>
              </w:rPr>
            </w:pPr>
            <w:hyperlink w:anchor="page2">
              <w:r>
                <w:rPr>
                  <w:rFonts w:ascii="Arial" w:cs="Arial" w:eastAsia="Arial" w:hAnsi="Arial"/>
                  <w:sz w:val="14"/>
                  <w:szCs w:val="14"/>
                  <w:i w:val="1"/>
                  <w:iCs w:val="1"/>
                  <w:color w:val="0000EE"/>
                  <w:w w:val="92"/>
                </w:rPr>
                <w:t>Table of Contents</w:t>
              </w:r>
            </w:hyperlink>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740" w:type="dxa"/>
            <w:vAlign w:val="bottom"/>
            <w:gridSpan w:val="6"/>
          </w:tcPr>
          <w:p>
            <w:pPr>
              <w:jc w:val="center"/>
              <w:spacing w:after="0"/>
              <w:rPr>
                <w:sz w:val="20"/>
                <w:szCs w:val="20"/>
                <w:color w:val="auto"/>
              </w:rPr>
            </w:pPr>
            <w:r>
              <w:rPr>
                <w:rFonts w:ascii="Arial" w:cs="Arial" w:eastAsia="Arial" w:hAnsi="Arial"/>
                <w:sz w:val="18"/>
                <w:szCs w:val="18"/>
                <w:b w:val="1"/>
                <w:bCs w:val="1"/>
                <w:color w:val="auto"/>
              </w:rPr>
              <w:t>ADMA BIOLOGICS, INC. AND SUBSIDIARIES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940" w:type="dxa"/>
            <w:vAlign w:val="bottom"/>
            <w:gridSpan w:val="11"/>
          </w:tcPr>
          <w:p>
            <w:pPr>
              <w:jc w:val="center"/>
              <w:ind w:left="135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5"/>
          </w:tcPr>
          <w:p>
            <w:pPr>
              <w:jc w:val="center"/>
              <w:ind w:left="1050"/>
              <w:spacing w:after="0"/>
              <w:rPr>
                <w:sz w:val="20"/>
                <w:szCs w:val="20"/>
                <w:color w:val="auto"/>
              </w:rPr>
            </w:pPr>
            <w:r>
              <w:rPr>
                <w:rFonts w:ascii="Arial" w:cs="Arial" w:eastAsia="Arial" w:hAnsi="Arial"/>
                <w:sz w:val="18"/>
                <w:szCs w:val="18"/>
                <w:b w:val="1"/>
                <w:bCs w:val="1"/>
                <w:color w:val="auto"/>
                <w:w w:val="89"/>
              </w:rPr>
              <w:t>Six Months Ended June 30, 2017</w:t>
            </w: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right="520"/>
              <w:spacing w:after="0" w:line="191" w:lineRule="exact"/>
              <w:rPr>
                <w:sz w:val="20"/>
                <w:szCs w:val="20"/>
                <w:color w:val="auto"/>
              </w:rPr>
            </w:pPr>
            <w:r>
              <w:rPr>
                <w:rFonts w:ascii="Arial" w:cs="Arial" w:eastAsia="Arial" w:hAnsi="Arial"/>
                <w:sz w:val="18"/>
                <w:szCs w:val="18"/>
                <w:b w:val="1"/>
                <w:bCs w:val="1"/>
                <w:color w:val="auto"/>
              </w:rPr>
              <w:t>ADMA</w:t>
            </w:r>
          </w:p>
        </w:tc>
        <w:tc>
          <w:tcPr>
            <w:tcW w:w="15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1"/>
              </w:rPr>
              <w:t>Plasma Collection</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BioManufacturing</w:t>
            </w:r>
          </w:p>
        </w:tc>
        <w:tc>
          <w:tcPr>
            <w:tcW w:w="44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Centers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539,223</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5,417,632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71,417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6,028,272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2,498,856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3,451,450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5,950,306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(3,118,300)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(1,113,464)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(10,107,107)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(14,338,871)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(1,172,600)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(1,234,587)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(3,180,287)</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(1,113,464)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(11,279,707)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(15,573,458)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158,398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207,343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395,194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81,294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DISCLOSURE OF CASH FLOW INFORMATION</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Supplemental cash flow information for the six months ended June 30, 2018 and 2017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paid for interest</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2,145,005</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833,515</w:t>
            </w:r>
          </w:p>
        </w:tc>
        <w:tc>
          <w:tcPr>
            <w:tcW w:w="0" w:type="dxa"/>
            <w:vAlign w:val="bottom"/>
          </w:tcPr>
          <w:p>
            <w:pPr>
              <w:spacing w:after="0"/>
              <w:rPr>
                <w:sz w:val="1"/>
                <w:szCs w:val="1"/>
                <w:color w:val="auto"/>
              </w:rPr>
            </w:pPr>
          </w:p>
        </w:tc>
      </w:tr>
      <w:tr>
        <w:trPr>
          <w:trHeight w:val="197"/>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Noncash Financing and Investing Activities: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Equipment acquired reflected in accounts payable and accrued liabilities</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183,233</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Equipment acquired through capital lease</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165,644</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180"/>
              <w:spacing w:after="0"/>
              <w:rPr>
                <w:sz w:val="20"/>
                <w:szCs w:val="20"/>
                <w:color w:val="auto"/>
              </w:rPr>
            </w:pPr>
            <w:r>
              <w:rPr>
                <w:rFonts w:ascii="Arial" w:cs="Arial" w:eastAsia="Arial" w:hAnsi="Arial"/>
                <w:sz w:val="18"/>
                <w:szCs w:val="18"/>
                <w:color w:val="auto"/>
              </w:rPr>
              <w:t>Equipment acquired through related party payable</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344,610</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Assets acquired through the issuance of common stock and liabilities assumed</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60,161,629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rFonts w:ascii="Arial" w:cs="Arial" w:eastAsia="Arial" w:hAnsi="Arial"/>
          <w:sz w:val="18"/>
          <w:szCs w:val="18"/>
          <w:b w:val="1"/>
          <w:bCs w:val="1"/>
          <w:color w:val="auto"/>
        </w:rPr>
      </w:pPr>
    </w:p>
    <w:p>
      <w:pPr>
        <w:ind w:left="340" w:right="2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July 20, 2018, in connection with the U.S. Government required divestiture of all of BPC’s U.S. assets in connection with the sale of Biotest AG to CREAT Group Corporation, Biotest AG, BPC, ADMA BioManufacturing and the Company entered into an Assignment and Assumption Agreement whereby BPC transferred to Biotest AG all of its obligations, rights, title and interest in the subordinated loan agreement, dated as of June 6, 2017, between BPC and the Company, under which the Company borrowed $15.0 million from BPC (see Note 4).</w:t>
      </w:r>
    </w:p>
    <w:p>
      <w:pPr>
        <w:spacing w:after="0" w:line="171" w:lineRule="exact"/>
        <w:rPr>
          <w:rFonts w:ascii="Arial" w:cs="Arial" w:eastAsia="Arial" w:hAnsi="Arial"/>
          <w:sz w:val="18"/>
          <w:szCs w:val="18"/>
          <w:b w:val="1"/>
          <w:bCs w:val="1"/>
          <w:color w:val="auto"/>
        </w:rPr>
      </w:pPr>
    </w:p>
    <w:p>
      <w:pPr>
        <w:ind w:left="3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On July 24, 2018, pursuant to the Biotest Transfer Agreement (see Note 3) and an Assignment and Assumption Agreement, by and among Biotest AG, BPC and the Biotest Trust, BPC transferred its remaining 10,109,534 shares of the Company’s common stock to the Biotest Trust. In connection with this transfer, the Biotest Trust agreed to be bound by all obligations of, and will have all of the remaining rights of BPC under, that certain: (i) Stockholders Agreement, dated as of June 6, 2017, by and between the Company and BPC, as amended by the Biotest Transfer Agreement; and (ii) Registration Rights Agreement, dated as of June 6, 2017, by and between the Company and BPC, as amended by the Biotest Transfer Agreement. Like BPC, the Biotest Trust will be subject to compliance with U.S. securities laws by virtue of ownership of the Company’s common stock.</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25" w:name="page26"/>
    <w:bookmarkEnd w:id="25"/>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The following discussion,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2017, filed on March 29, 2018 (the “2017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ADMA Biologics, Inc. (the “Company”, “ADMA”, “we”, “us” or “our”) is a vertically integrated commercial biopharmaceutical company that manufactures, markets and develops specialty plasma-derived biologics for the treatment of Primary Immune Deficiency Disease (“PIDD”), and the prevention and treatment of certain infectious diseases. Our targeted patient populations include immune-compromised individuals who suffer from an underlying immune deficiency disorder or who may be immune-suppressed for medical reasons. We currently have two marketed products: Nabi-HB, indicated for the treatment of acute exposure to blood containing Hepatitis B surface antigen (“HBsAg”); and BIVIGAM, indicated for the treatment of primary humoral immunodeficiency. We are also developing a pipeline of plasma-derived therapeutics, including our lead pipeline product candidate, RI-002, for the treatment of PIDD. Our products and product candidates are intended to be used by physician specialists focused on caring for immune-compromised patients with or at risk for certain infectious diseases. Through our wholly-owned subsidiary, ADMA Bio Centers Georgia, Inc. (“ADMA BioCenters”), we operate two U.S. Food and Drug Administration (the “FDA”)-licensed, German Health Authority (“GHA”) and Korean Ministry of Food and Drug Safety (“KMFDS”) certified source plasma collection facilities located in the United States.</w:t>
      </w:r>
    </w:p>
    <w:p>
      <w:pPr>
        <w:spacing w:after="0" w:line="17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On June 6, 2017, we completed the acquisition of certain assets (the “Biotest Assets”) of the Therapy Business Unit (“BTBU”) of Biotest Pharmaceuticals Corporation (“BPC” and, together with Biotest AG, “Biotest”), which include two FDA-licensed products, Nabi-HB (Hepatitis B Immune Globulin, Human) and BIVIGAM (Immune Globulin Intravenous, Human), and a plasma fractionation facility located in Boca Raton, FL (the “Boca Facility”) (the “Biotest Transaction”). The Boca Facility is FDA-licensed and certified by the GHA. In addition to the manufacture and sale of Nabi-HB and BIVIGAM, we also provide contract manufacturing services for certain historical clients, including the sale of intermediate by-products. Immediately following the acquisition, the Biotest Assets were contributed into our subsidiary, ADMA BioManufacturing, LLC (“ADMA BioManufacturing”).</w:t>
      </w:r>
    </w:p>
    <w:p>
      <w:pPr>
        <w:spacing w:after="0" w:line="16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May 14, 2018, we, ADMA BioManufacturing and ADMA BioCenters entered into a Share Transfer, Amendment and Release Agreement with BPC, Biotest AG, Biotest US Corporation and The Biotest Divestiture Trust (the “Biotest Trust”) (the “Biotest Transfer Agreement”) whereby BPC transferred to us, for no cash consideration, 8,591,160 shares of our non-voting common stock previously issued to BPC in connection with the Biotest Transaction and representing 100% of our issued and outstanding non-voting common stock (the “NV Biotest Shares”). Immediately upon transfer of the NV Biotest Shares to us, the shares were retired and are no longer available for issuance. The retired NV Biotest Shares comprised approximately 19% of our total outstanding common stock as of May 14, 2018. In exchange for the transfer and retirement of the NV Biotest Shares, we have (i) granted Biotest and its successors and assigns a release from all potential past, present and future indemnity claims arising under that certain Master Purchase and Sale Agreement, dated as of January 21, 2017 (as amended, restated, supplemented or otherwise modified from time to time, the “Purchase Agreement”), with BPC, and for certain limited purposes set forth in the Purchase Agreement, Biotest AG and Biotest US (together with Biotest AG, the “Biotest Guarantors”), and (ii) relinquished our rights to repurchase our two FDA-approved plasma collection centers required to be transferred to BPC on January 1, 2019. In addition, pursuant to the Biotest Transfer Agreement, BPC waived and terminated its rights to name a director and an observer to our Board of Directors (the “Board”). As BPC has made public statements regarding the U.S. Government required divestiture of all of BPC’s U.S. assets in connection with the sale of Biotest AG to CREAT Group Corporation, pursuant to the Biotest Transfer Agreement BPC, on July 24, 2018 BPC transferred its remaining 10,109,534 shares of the Company’s common stock, $0.0001 par value per share (the “Common Stock”), to the Biotest Trust, and the Biotest Trust has agreed to be bound by all obligations of and will have all of the remaining rights of BPC under that certain (i) Stockholders Agreement dated as of June 6, 2017, by and between us and BPC, as amended by the Biotest Transfer Agreement, and (ii) Registration Rights Agreement, dated as of June 6, 2017, by and between us and BPC, as amended by the Biotest Transfer Agreement. Furthermore, subject to the terms contained in the Biotest Transfer Agreement, for a 90-day period following the date of the transfer of the remaining ADMA shares to the Biotest Trust, the Biotest Trust has granted us a right of first negotiation for the purchase of the remaining shares of Common Stock held by the Biotest Trust.</w:t>
      </w: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6" w:name="page27"/>
    <w:bookmarkEnd w:id="26"/>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Marketed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to infants born to HBsAg-positive mothers, sexual exposure to HBsAg-positive persons and household exposure to persons with acute Hepatitis B virus infection.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FDA approval for Nabi-HB was received on March 24, 1999. Biotest acquired Nabi-HB from Nabi Biopharmaceuticals in 2007. Under our leadership, production of Nabi-HB at the Boca Facility resumed during the third quarter of 2017. Subsequent to the end of 2017, we received authorization from the FDA for the release of our first commercial lot of Nabi-HB and also resumed commercial sales in the United States during the first quarter of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BIVIGAM is an intravenous immune globulin indicated for the treatment of primary humoral immunodeficiency. This includes, but is not limited to, agammaglobulinemia, common variable immunodeficiency, Wiskott-Aldrich syndrome and severe combined immunodeficiency. These primary immunodeficiencies (“PIs”) are a group of genetic disorders. Initially thought to be very rare, it is now believed that as many as one in every 1,200-2,000 people has some form of PI. BIVIGAM contains a broad range of antibodies similar to those found in normal human plasma. These antibodies are directed against bacteria and viruses, and help to protect PI patients against serious infections. BIVIGAM is a purified, sterile, ready-to-use preparation of concentrated Immunoglobulin G (“IgG”) antibodies. Antibodies are proteins in the human immune system that work to defend against disease. FDA approval for BIVIGAM was received on December 19, 2012, and sales commenced in the first quarter of 2013. In December 2016, BPC temporarily suspended the commercial production of BIVIGAM in order to focus on the completion of planned improvements to the manufacturing process. We resumed production of BIVIGAM utilizing our optimized intravenous immunoglobulin (“IVIG”) manufacturing process with two conformance lots in the fourth quarter of 2017 and a third conformance lot in the first quarter of 2018. We filed a Prior Approval Supplement (the “PAS”) with the FDA during the first half of 2018 to include the ADMA optimization improvements for BIVIGAM, and the PAS was acknowledged for receipt by the FDA in July 2018, with a target action date of October 25, 2018 under the Prescription Drug User Fee Act. The BIVIGAM inventory produced in the fourth quarter of 2017 and the first quarter of 2018 has been used in connection with, and as the basis for, the prepared and submitted PAS, which was accepted for review by the FDA in July 2018. Upon FDA approval of the PAS, we anticipate being in a position to relaunch BIVIGAM prior to or during the first quarter of 2019, at which time we believe the conformance lots currently in inventory can be labeled and will be available for commercial sale. The anticipated relaunch of BIVIGAM is dependent upon the timing of certain FDA decisions, production slots available with our contract fill/finish provider as well as other commercial requirements and regulatory factors.</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27" w:name="page28"/>
    <w:bookmarkEnd w:id="27"/>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Pipeline Product Candidate – RI-002</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are currently developing our lead pipeline product candidate, RI-002, for the treatment of PIDD, and have completed a pivotal Phase III clinical trial, which met the primary endpoint of no Serious Bacterial Infections reported. Secondary efficacy endpoints further demonstrated the benefits of RI-002 in the low incidence of infection, therapeutic antibiotic use, days missed from work/school/daycare, and unscheduled medical visits and hospitalizations. RI-002 is derived from human plasma blended from normal donors and from donors tested to have high levels of neutralizing titers to Respiratory Syncytial Virus (“RSV”). RI-002 is manufactured using a process known as fractionation, which purifies IgG from this blended plasma pool resulting in a final IVIG product enriched with naturally occurring polyclonal anti-pathogen antibodies, such as streptococcus pneumonia, H. influenza type B, Cytomegalovirus, measles and tetanus. We use our proprietary RSV microneutralization assay to test for standardized levels of neutralizing antibodies to RSV in the final drug product.</w:t>
      </w:r>
    </w:p>
    <w:p>
      <w:pPr>
        <w:spacing w:after="0" w:line="16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Prior to the closing of the Biotest Transaction, BTBU was our third-party manufacturer for RI-002. In the third quarter of 2015, the FDA accepted for review our Biologics License Application (“BLA”) for RI-002 (the “RI-002 BLA”) for the treatment of PIDD. In July 2016, the FDA issued a Complete Response Letter (the “CRL”), which reaffirmed the issues set forth in the November 2014 Warning Letter that had been issued by the FDA to Biotest related to certain issues identified at the Boca Facility (the “Warning Letter”), but did not cite any concerns with the clinical safety or efficacy data for RI-002 submitted in our RI-002 BLA, nor did the FDA request any additional clinical studies be completed prior to FDA approval of RI-002. The FDA identified in the CRL, among other things, certain outstanding inspection issues and deficiencies related to Chemistry, Manufacturing and Controls and Good Manufacturing Practices at the Boca Facility and at certain of our third-party vendors, and requested documentation of corrections for a number of these issues. The FDA indicated in the CRL that it cannot grant final approval of our RI-002 BLA until, among other things, these deficiencies are resolved. Upon the completion of the Biotest Transaction, we gained control over the regulatory, quality, general operations and drug substance manufacturing process and our highest priority has been to remediate the outstanding compliance issues that were identified at the Boca Facility in the Warning Letter. We have been working with a consulting firm consisting of quality management systems and biologics production subject matter experts in order to improve the FDA inspection classification relative to the Warning Letter compliance issues as indicated in the CRL. Based on official communication received in an Establishment Inspection Report from the FDA in July 2018, we have determined that the April 2018 compliance inspection of the Boca Facility has been successfully closed out, and we anticipate that we will be in a position to respond to the CRL and resubmit the RI-002 BLA in the second half of 2018. During the first quarter of 2018, we produced three RI-002 conformance lots using the optimized IVIG manufacturing process. Upon FDA approval of the RI-002 BLA, we anticipate that the RI-002 conformance batches currently in inventory will be available for commercial sale no earlier than the first half of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Plasma Collection Facilities</w:t>
      </w:r>
    </w:p>
    <w:p>
      <w:pPr>
        <w:spacing w:after="0" w:line="229"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ADMA BioCenters, our wholly-owned subsidiary, currently operates three source plasma collection facilities located in the United States, two of which are FDA-licensed, GHA and KMFDS-certified. Our third collection center is currently under development and we submitted a BLA seeking FDA licensure in December 2017. We anticipate receiving FDA licensure of our third collection center in the fourth quarter of 2018.</w:t>
      </w:r>
    </w:p>
    <w:p>
      <w:pPr>
        <w:spacing w:after="0" w:line="166"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ADMA BioCenters provides us with a portion of our blood plasma for the manufacture of our products and product candidates.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is sold to third-party customers in the United States, and other locations where we are approved globally under supply agreements or in the open “spot” market.</w:t>
      </w:r>
    </w:p>
    <w:p>
      <w:pPr>
        <w:spacing w:after="0" w:line="17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As part of the purchase price to acquire the Biotest Assets, we agreed to transfer ownership of two of our plasma collection facilities to BPC on January 1, 2019. We completed the construction of our third plasma collection facility, filed our BLA with the FDA and initiated collections for this facility in December 2017. We anticipate FDA approval of our third plasma collection facility to occur during the second half of 2018.</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8" w:name="page29"/>
    <w:bookmarkEnd w:id="28"/>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This Management’s Discussion and Analysis of Financial Condition and Results of Operations is based on our condensed consolidated financial statements, which have been prepared in accordance with Accounting Principles Generally Accepted in the United States of America (“U.S. GAAP”). The preparation of these condensed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summarized accounting policies and their application are considered to be critical to understanding our business operations, financial condition and results of operations.</w:t>
      </w:r>
    </w:p>
    <w:p>
      <w:pPr>
        <w:ind w:right="260"/>
        <w:spacing w:after="0" w:line="261" w:lineRule="auto"/>
        <w:rPr>
          <w:sz w:val="20"/>
          <w:szCs w:val="20"/>
          <w:color w:val="auto"/>
        </w:rPr>
      </w:pPr>
      <w:r>
        <w:rPr>
          <w:rFonts w:ascii="Arial" w:cs="Arial" w:eastAsia="Arial" w:hAnsi="Arial"/>
          <w:sz w:val="18"/>
          <w:szCs w:val="18"/>
          <w:color w:val="auto"/>
        </w:rPr>
        <w:t>For a detailed discussion on the application of these and our other accounting policies, see Note 2 to the Consolidated Financial Statements included in the 2017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Revenues for the three and six months ended June 30, 2018 are comprised of (i) revenues from Nabi-HB, (ii) product revenues from the sale of human plasma collected from our plasma collection centers segment; and (iii) license and other revenues primarily attributable to the out-licensing of RI-002 to Biotest to market and sell this product in Europe and selected countries in North Africa and the Middle East. Biotest has provided us with certain services and financial payments in accordance with the related Biotest license agreement and is obligated to pay us certain amounts in the future if certain milestones are achieved. Deferred revenue is amortized into income for a period of approximately 22 years, the term of the Biotest license agreement.</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Revenue from the sale of Nabi-HB is recognized when the product reaches the customer’s destination. Nabi-HB revenue is recorded net of estimated customer prompt pay discounts and contractual allowances in accordance with managed care agreements, including wholesaler chargebacks, rebates, customer returns and other wholesaler fees.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Product revenues from the sale of human plasma collected at our plasma collection centers are recognized at the time of transfer of title and risk of loss to the customer, which generally occurs at the time of delivery.</w:t>
      </w:r>
    </w:p>
    <w:p>
      <w:pPr>
        <w:spacing w:after="0" w:line="170"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For the six months ended June 30, 2018, three customers represented an aggregate of 90% of the Company’s consolidated revenues, with BPC representing 55% of the Company’s consolidated revenues, Amerisource Bergen representing 21% of the Company’s consolidated revenues and McKesson Corporation representing 14% of the Company’s consolidated revenues. For the six months ended June 30, 2017, sales to BPC represented 75% of the Company’s consolidated revenues, and sales to SK Plasma Co., Ltd. represented 15% of the Company’s consolidated revenues.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Accounts receivable are reported at realizable value, net of allowances for contractual credits and doubtful accounts, which are recognized in the period the related revenue is recorded. At June 30, 2018, four customers represented an aggregate of 90% of our total accounts receivable, with Amerisource Bergen, BPC, Sanofi Pasteur S.A. (“Sanofi”), and McKesson Corporation representing approximately 30%, 25%, 24% and 11%, respectively, of our consolidated accounts receivable. At December 31, 2017, Sanofi and BPC represented 48% and 30%, respectively, of our total accounts receivable.</w:t>
      </w: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29" w:name="page30"/>
    <w:bookmarkEnd w:id="29"/>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 Expenses associated with remediating the issues identified in the Warning Letter for the three and six months ended June 30, 2018 of approximately $0.5 million and $1.3 million, respectively, are expensed as incurred and are reflected in cost of product revenue. In addition, for the six months June 30, 2018, all operating expenses associated with the Boca Facility, other than the limited Nabi-HB production that was capitalized into inventory, have been expensed as incurred since the date of the Biotest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Stock-based compensation cost is measured at the grant date, based on the estimated fair value of the award, and is recognized as expense over the grantee’s requisite vesting period on a straight-line basis. For the purpose of valuing stock options granted to our employees, directors and officers, we use the Black-Scholes option pricing model. During the three and six months ended June 30, 2018, we granted options to purchase an aggregate of 134,200 and 982,900 shares of Common Stock, respectively, to our directors and employees, and during the six months ended June 30, 2018, we granted options to purchase 20,000 shares of Common Stock to a third party service provider. During the three and six months ended June 30, 2017, we granted options to purchase an aggregate of 1,674,595 and 1,856,595 shares of Common Stock, respectively, to our directors and employees.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research and development (“R&amp;D”) costs are expensed as incurred, including costs associated with (i) planning and conducting clinical trials;</w:t>
      </w:r>
    </w:p>
    <w:p>
      <w:pPr>
        <w:spacing w:after="0" w:line="46" w:lineRule="exact"/>
        <w:rPr>
          <w:sz w:val="20"/>
          <w:szCs w:val="20"/>
          <w:color w:val="auto"/>
        </w:rPr>
      </w:pPr>
    </w:p>
    <w:p>
      <w:pPr>
        <w:ind w:right="180" w:firstLine="8"/>
        <w:spacing w:after="0" w:line="261" w:lineRule="auto"/>
        <w:tabs>
          <w:tab w:leader="none" w:pos="2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drug product manufacturing for RI-002, including the cost of plasma, plasma storage and transportation costs; (iii) quality testing, validation, regulatory consulting and filing fees; and (iv) employees’ compensation expenses directly related to R&amp;D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value is recoverable. Any resulting impairment is recorded as a reduction in the carrying value of the related asset in excess of fair value and a charge to operating results. For the three and six months ended June 30, 2018 and 2017, we determined that there was no impairment of our long-lived assets.</w:t>
      </w:r>
    </w:p>
    <w:p>
      <w:pPr>
        <w:spacing w:after="0" w:line="17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Goodwill is not amortized, but is assessed for impairment on an annual basis or more frequently if impairment indicators exist. We have the option to perform a qualitative assessment of goodwill to determine whether it is more likely than not that the fair value of its reporting unit is less than its carrying amount, including goodwill and other intangible assets. If we were to conclude that this is the case, then we must perform a goodwill impairment test by comparing the fair value of the reporting unit to its carrying value. An impairment charge is recorded to the extent the reporting unit’s carrying value exceeds its fair value, with the impairment loss recognized not to exceed the total amount of goodwill allocated to that reporting unit. We did not recognize any impairment charges related to goodwill for the six months ended June 30,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On April 5, 2012, the Jumpstart Our Business Startups Act (the “JOBS Act”) was signed into law. The JOBS Act contains provisions that, among other things, reduce certain reporting requirements for qualifying public companies. We could be an emerging growth company until December 31, 2018, which is the last day of the fiscal year following the fifth anniversary of the first sale of our common equity securities pursuant to an effective registration statement under the Securities Act of 1933, as amended (the “Securities Act”). However, if certain events occur prior to the end of such five-year period, including if we become a “large accelerated filer,” our total annual gross revenues exceed $1.07 billion or we issue more than $1.0 billion of non-convertible debt in any three-year period, we would cease to be an emerging growth company prior to the end of such five-year period. As an “emerging growth company,” we may, under Section 7(a)(2)(B) of the Securities Act, delay adoption of new or revised accounting standards applicable to public companies until such standards would otherwise apply to private companies. We may take advantage of this extended transition period until the first to occur of the date that we (i) are no longer an “emerging growth company” or (ii) affirmatively and irrevocably opt out of this extended transition period. We have elected to take advantage of the benefits of this extended transition period. Our consolidated financial statements may therefore not be comparable to those of companies that comply with such new or revised accounting standards. Until the date that we are no longer an “emerging growth company” or affirmatively and irrevocably opt out of the exemption provided by Securities Act Section 7(a)(2)(B), upon issuance of a new or revised accounting standard that applies to our consolidated financial statements and that has a different effective date for public and private companies, we will disclose the date on which adoption is required for non-emerging growth companies and the date on which we will adopt the recently issued accounting standard. As an emerging growth company, we are also exempt from the requirement to have our independent auditors provide an attestation report on our internal control over financial reporting.</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30" w:name="page31"/>
    <w:bookmarkEnd w:id="30"/>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In May 2017, the Financial Accounting Standards Board (the “FASB”) issued Accounting Standards Update (“ASU”) No. 2017-09, </w:t>
      </w:r>
      <w:r>
        <w:rPr>
          <w:rFonts w:ascii="Arial" w:cs="Arial" w:eastAsia="Arial" w:hAnsi="Arial"/>
          <w:sz w:val="17"/>
          <w:szCs w:val="17"/>
          <w:i w:val="1"/>
          <w:iCs w:val="1"/>
          <w:color w:val="auto"/>
        </w:rPr>
        <w:t>Modification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Share-Based Payment Arrangements</w:t>
      </w:r>
      <w:r>
        <w:rPr>
          <w:rFonts w:ascii="Arial" w:cs="Arial" w:eastAsia="Arial" w:hAnsi="Arial"/>
          <w:sz w:val="17"/>
          <w:szCs w:val="17"/>
          <w:color w:val="auto"/>
        </w:rPr>
        <w:t>, which amends the scope of modification accounting for share-based payment arrangements. The ASU</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provides guidance on the types of changes to the terms or conditions of share-based payment awards to which an entity would be required to apply modification accounting under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Specifically, an entity would not apply modification accounting if the fair value, vesting conditions, and classification of the awards are the same immediately before and after the modification. Adoption of this new guidance in 2018 did not have a material impact on our condensed consolidated financial statements.</w:t>
      </w:r>
    </w:p>
    <w:p>
      <w:pPr>
        <w:spacing w:after="0" w:line="17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which requires lessees to recognize assets and liabilities for the rights and obligations created by most leases on their balance sheet. The guidance is effective for fiscal years beginning after December 15, 2018, including interim periods within those fiscal years. Early application is permitted. ASU 2016-02 requires modified retrospective adoption for all leases existing at, or entered into after, the date of initial application, with an option to use certain transition relief. We are currently evaluating the impact that the standard may have on our consolidated financial statements and related disclosures.</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In May 2014, the FASB issued new guidance related to revenue recognition,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which outlines a comprehensive revenue recognition model and supersedes most current revenue recognition guidance. The new guidance requires a company to recognize revenue upon transfer of goods or services to a customer at an amount that reflects the expected consideration to be received in exchange for those goods or services. ASC 606 defines a five-step approach for recognizing revenue, which may require a company to use more judgment and make more estimates than under the current guidance. The new guidance became effective in calendar year 2018. Two methods of adoption are permitted: (a) full retrospective adoption, meaning the standard is applied to all periods presented; or (b) modified retrospective adoption, meaning the cumulative effect of applying the new guidance is recognized at the date of initial application as an adjustment to the opening retained earnings balance.</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In March 2016, April 2016 and December 2016, the FASB issued ASU No. 2016-08, </w:t>
      </w:r>
      <w:r>
        <w:rPr>
          <w:rFonts w:ascii="Arial" w:cs="Arial" w:eastAsia="Arial" w:hAnsi="Arial"/>
          <w:sz w:val="18"/>
          <w:szCs w:val="18"/>
          <w:i w:val="1"/>
          <w:iCs w:val="1"/>
          <w:color w:val="auto"/>
        </w:rPr>
        <w:t>Revenue From Contracts with Customers (ASC 606): 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Versus Agent Considerations</w:t>
      </w:r>
      <w:r>
        <w:rPr>
          <w:rFonts w:ascii="Arial" w:cs="Arial" w:eastAsia="Arial" w:hAnsi="Arial"/>
          <w:sz w:val="18"/>
          <w:szCs w:val="18"/>
          <w:color w:val="auto"/>
        </w:rPr>
        <w:t>, ASU No. 2016-10,</w:t>
      </w:r>
      <w:r>
        <w:rPr>
          <w:rFonts w:ascii="Arial" w:cs="Arial" w:eastAsia="Arial" w:hAnsi="Arial"/>
          <w:sz w:val="18"/>
          <w:szCs w:val="18"/>
          <w:i w:val="1"/>
          <w:iCs w:val="1"/>
          <w:color w:val="auto"/>
        </w:rPr>
        <w:t xml:space="preserve"> Revenue From Contracts with Customers (ASC 606</w:t>
      </w:r>
      <w:r>
        <w:rPr>
          <w:rFonts w:ascii="Arial" w:cs="Arial" w:eastAsia="Arial" w:hAnsi="Arial"/>
          <w:sz w:val="18"/>
          <w:szCs w:val="18"/>
          <w:color w:val="auto"/>
        </w:rPr>
        <w:t>)</w:t>
      </w:r>
      <w:r>
        <w:rPr>
          <w:rFonts w:ascii="Arial" w:cs="Arial" w:eastAsia="Arial" w:hAnsi="Arial"/>
          <w:sz w:val="18"/>
          <w:szCs w:val="18"/>
          <w:i w:val="1"/>
          <w:iCs w:val="1"/>
          <w:color w:val="auto"/>
        </w:rPr>
        <w:t>: Identifying Performance Obligations and Licensing</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ASU No. 2016-20, </w:t>
      </w:r>
      <w:r>
        <w:rPr>
          <w:rFonts w:ascii="Arial" w:cs="Arial" w:eastAsia="Arial" w:hAnsi="Arial"/>
          <w:sz w:val="18"/>
          <w:szCs w:val="18"/>
          <w:i w:val="1"/>
          <w:iCs w:val="1"/>
          <w:color w:val="auto"/>
        </w:rPr>
        <w:t>Technical Corrections and Improvements to Topic 606, Revenue From Contracts with Customers</w:t>
      </w:r>
      <w:r>
        <w:rPr>
          <w:rFonts w:ascii="Arial" w:cs="Arial" w:eastAsia="Arial" w:hAnsi="Arial"/>
          <w:sz w:val="18"/>
          <w:szCs w:val="18"/>
          <w:color w:val="auto"/>
        </w:rPr>
        <w:t xml:space="preserve">, respectively, which further clarify the implementation guidance on principal versus agent considerations contained in ASU No. 2014-09. In May 2016, the FASB issued ASU 2016-12,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narrow-scope improvements and practical expedients that provide clarification on assessing the collectability criterion,</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of sales taxes, measurement date for non-cash consideration and completed contracts at transition. These standards became effective for the Company in the first quarter of 2018.</w:t>
      </w:r>
    </w:p>
    <w:p>
      <w:pPr>
        <w:spacing w:after="0" w:line="18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adopted the new standard and related updates effective January 1, 2018, using the modified retrospective method of adoption. Adoption of the new revenue recognition guidance did not have a material impact on our condensed consolidated financial statements.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1" w:name="page32"/>
    <w:bookmarkEnd w:id="31"/>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2018 Compared to Three Months Ended June 30, 2017</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the Biotest Transaction, our operating results include the results of BTBU effective as of June 6, 2017. Therefore, our results of operations for the three and six months ended June 30, 2018 are not comparable to the results of operations for the three and six months ended June 30, 2017. The following table presents a summary of the changes in our results of operations for the three months ended June 30, 2018 compared to the three months ended June 30, 2017:</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Increase/</w:t>
            </w:r>
          </w:p>
        </w:tc>
      </w:tr>
      <w:tr>
        <w:trPr>
          <w:trHeight w:val="223"/>
        </w:trPr>
        <w:tc>
          <w:tcPr>
            <w:tcW w:w="65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(Decrease)</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4,656,550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3,399,401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1,257,149</w:t>
            </w:r>
          </w:p>
        </w:tc>
      </w:tr>
      <w:tr>
        <w:trPr>
          <w:trHeight w:val="23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9,645,662</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4,334,019</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5,311,643</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(4,989,112)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(4,054,494)</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1,472,100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1,358,409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113,691</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1,738,128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1,600,170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137,958</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211,234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73,021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138,213</w:t>
            </w:r>
          </w:p>
        </w:tc>
      </w:tr>
      <w:tr>
        <w:trPr>
          <w:trHeight w:val="23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5,006,807</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4,435,650</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571,157</w:t>
            </w: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(13,417,381)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(8,401,868)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(5,015,513)</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(1,359,188)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(716,703)</w:t>
            </w:r>
          </w:p>
        </w:tc>
      </w:tr>
      <w:tr>
        <w:trPr>
          <w:trHeight w:val="23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28,738</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7,858</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20,880</w:t>
            </w:r>
          </w:p>
        </w:tc>
      </w:tr>
      <w:tr>
        <w:trPr>
          <w:trHeight w:val="223"/>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(14,747,831)</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(9,036,495)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(5,711,336)</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We recorded total revenues of $4.7 million during the three months ended June 30, 2018, as compared to $3.4 million during the three months ended June 30, 2017, an increase of $1.3 million, or approximately 37%. The increase is due to revenue attributable to the assets acquired in the Biotest Transaction of $2.1 million for the three months ended June 30, 2018, as compared to $0.5 million for the three months ended June 30, 2017, partially offset by a decrease in product revenue attributable to our plasma collection centers. The $0.3 million decrease in revenues from this segment is due to increased competition from other plasma centers resulting in a decrease in donor collections.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Cost of product revenue was $9.6 million for the three months ended June 30, 2018, as compared to $4.3 million for the three months ended June 30, 2017, an increase of $5.3 million. The increase is mainly due to a $4.4 million increase in unabsorbed manufacturing costs related to the Boca Facility, which includes $0.5 million of third-party consultant fees pertaining to the remediation efforts in response to the Warning Letter and reflects a full fiscal quarter of activity in 2018 related to the Boca Facility. In addition, cost of product revenue related to the sales and production Nabi-HB increased by $0.9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R&amp;D expenses totaled $1.5 million for the three months ended June 30, 2018, as compared to $1.4 million for the three months ended June 30, 2017. The increase is mainly due to $0.2 million of increased testing expense related to the RI-002 conformance lots produced earlier in 2018, partially offset by a $0.1 million decrease in clinical trial expenses. We expect our R&amp;D costs to increase further over the second half of 2018 as we seek to refile the RI-002 BLA.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Expenses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Plasma center expenses were $1.7 million for the three months ended June 30, 2018, as compared to $1.6 million for the three months ended June 30, 2017. Plasma center operating expenses consist of: general and administrative plasma center costs; overhead comprised of rent, maintenance, utilities, wages, stock-based compensation and benefits for center staff; plasma collection supplies, plasma transportation and storage (off-site); advertising and promotion expenses; and computer software fees related to donor collections. The increase in plasma center expenses is mainly attributable to the opening of our third plasma center in Kennesaw, GA in December 2017.</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2" w:name="page33"/>
    <w:bookmarkEnd w:id="32"/>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Amortization expense pertains to the amortization of intangible assets acquired in the Biotest Transaction (see Note 3 to the consolidated financial statements). Amortization expense reflects three months of expense in 2018 and one month of expense in 2017 as the Biotest Assets were acquired in June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Selling, general and administrative (“SG&amp;A”) expenses were $5.0 million for the three months ended June 30, 2018, an increase of $0.6 million from the three months ended June 30, 2017. The increase was primarily due to increased salaries, benefits and other employee related costs of approximately $1.5 million, primarily due to increased headcount resulting from the Biotest Transaction, and an increase in insurance expense of approximately $0.4 million, partially offset by $1.2 million in non-recurring Biotest Transaction costs in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Our operating loss was $13.4 million for the three months ended June 30, 2018, as compared to $8.4 million for the three months ended June 30, 2017. The increase in operating loss was mainly due to the $5.6 million increase in cost of product revenue and the increases in R&amp;D expenses, plasma center expenses, SG&amp;A expenses and amortization expense on intangible assets, partially offset by the $1.3 million increase in total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Interest expense was $1.4 million for the three months ended June 30, 2018, as compared to $0.6 million for the three months ended June 30, 2017. The increase is due to higher outstanding debt in 2018 resulting from the refinancing of our senior debt in the fourth quarter of 2017 (see “Liquidity and Capital Resources”) and the $15.0 million note issued to BPC in June 2017, as well as the increase in the interest rate on our senior debt.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Our net loss was $14.7 million for the three months ended June 30, 2018, as compared to $9.0 million for the three months ended June 30, 2017, an increase of $5.7 million, mainly due to the increase in operating loss and, to a lesser extent, the increase in interest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2018 Compared to Six Months Ended June 30, 2017</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six months ended June 30, 2018 compared to the six months ended June 30,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4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 June 30,</w:t>
            </w:r>
          </w:p>
        </w:tc>
        <w:tc>
          <w:tcPr>
            <w:tcW w:w="20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(Decrease)</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8,698,556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6,028,272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2,670,284</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2"/>
              </w:rPr>
              <w:t>Cost of product revenue (exclusive of amortization expense shown below)</w:t>
            </w:r>
          </w:p>
        </w:tc>
        <w:tc>
          <w:tcPr>
            <w:tcW w:w="1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21,888,410</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5,950,306</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15,938,104</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Gross (loss) profit</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(13,189,854)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77,966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(13,267,820)</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2,753,806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2,551,136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202,670</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3,571,902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3,079,646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492,256</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422,469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73,021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349,448</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10,011,853</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8,713,034</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1,298,819</w:t>
            </w: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8"/>
                <w:szCs w:val="18"/>
                <w:color w:val="auto"/>
              </w:rPr>
              <w:t>Loss from operations</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(29,949,884)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(14,338,871)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(15,611,013)</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(2,682,340)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(1,261,013)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(1,421,327)</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1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62,251</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26,426</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35,825</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(32,569,973)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(15,573,458)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(16,996,515)</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40" w:type="dxa"/>
            <w:vAlign w:val="bottom"/>
            <w:vMerge w:val="restart"/>
          </w:tcPr>
          <w:p>
            <w:pPr>
              <w:jc w:val="right"/>
              <w:ind w:right="650"/>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4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33" w:name="page34"/>
    <w:bookmarkEnd w:id="33"/>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Revenues for the six months ended June 30, 2018 were $8.7 million, as compared to $6.0 million during the six months ended June 30, 2017, an increase of $2.7 million, or approximately 44%. The increase is due to revenue attributable to the assets acquired in the Biotest Transaction of $3.8 million for the six months ended June 30, 2018, as compared to $0.5 million for the six months ended June 30, 2017, partially offset by a decrease in product revenue attributable to our plasma collection centers. The $0.6 decrease in revenues from this segment is due to increased competition from other plasma centers resulting in a decrease in donor collections.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Cost of product revenue was $21.9 million for the six months ended June 30, 2018, as compared to $6.0 million for the six months ended June 30, 2017. The increase is mainly attributable to a $10.3 million increase in unabsorbed manufacturing costs related to the Boca Facility in 2018 as compared to 2017, approximately $2.9 million of costs related to the production of RI-002, $1.1 million of costs related to the production of BIVIGAM and a $1.3 million increase in cost of product revenue related to the sales and production Nabi-HB. Unabsorbed manufacturing costs includes approximately $1.3 million of third-party consultant fees pertaining to the remediation efforts in response to the Warning Letter.</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Although we expect that the BIVIGAM and RI-002 conformance lots produced in 2018 will ultimately be available for commercial sale, due to uncertainties at the time this inventory was produced surrounding the Warning Letter, the PAS related to improvements in the manufacturing process and the RI-002 BLA that must be filed with and approved by the FDA prior to this inventory being available for commercial sale, we have not capitalized these costs into inventory.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R&amp;D expenses totaled $2.8 million for the six months ended June 30, 2018, as compared to $2.6 million for the six months ended June 30, 2017. The increase is primarily due to ongoing clinical trial expenses that we were required to assume as part of the Biotest Transaction (see Note 10 to the consolidated financial statements). We expect our R&amp;D costs to increase over the second half of 2018 as we seek to refile the RI-002 BLA.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Expenses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Plasma center expenses were $3.6 million for the six months ended June 30, 2018, as compared to $3.1 million for the six months ended June 30, 2017. The increase is mainly attributable to the opening of our third plasma center in Kennesaw, GA in December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SG&amp;A expenses were $10.0 million for the six months ended June 30, 2018, an increase of $1.3 million from the six months ended June 30, 2017. The increase was primarily due to increased salaries, benefits and other employee related costs of approximately $3.2 million, primarily due to increased headcount resulting from the Biotest Transaction, and increases in legal and professional fees of $0.7 million, repairs and maintenance expense at the Boca Facility of $0.6 million, insurance expense of approximately $0.5 million and marketing expenses of $0.2 million, partially offset by $3.8 million in non-recurring transaction costs associated with the Biotest Transaction in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Amortization expense was $0.4 million for the six months ended June 30, 2018, as compared to $0.1 million for the six months ended June 30, 2017, and reflects six months of expense in 2018 and one month of expense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operating loss was $29.9 million for the six months ended June 30, 2018, as compared to $14.3 million for the six months ended June 30, 2017. The increase in operating loss was mainly due to the $15.6 million increase in cost of product revenue associated with the Boca Facility and, to a lesser extent, the increases in other operating expenses, partially offset by the $2.7 million increase in total revenues.</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34" w:name="page35"/>
    <w:bookmarkEnd w:id="34"/>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Interest expense was $2.7 million for the six months ended June 30, 2018, as compared to $1.3 million for the six months ended June 30, 2017. The increase is due to higher outstanding debt in 2018 resulting from the refinancing of our senior debt in the fourth quarter of 2017 and the $15.0 million note issued to BPC in June 2017, as well as the increase in the interest rate on our senior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Our net loss was $32.6 million for the six months ended June 30, 2018, as compared to $15.6 million for the six months ended June 30, 2017, an increase of $17.0 million, which is mainly due to the increase in operating loss and, to a lesser extent, the increase in interest expense.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As of June 30, 2018, we had working capital of $66.7 million, including cash and cash equivalents of $55.2 million, and stockholders’ equity of $51.8 million, as compared to working capital of $53.7 million, including cash and cash equivalents of $43.1 million, and stockholders’ equity of $40.3 million as of December 31, 2017. We have had limited revenue from operations and have incurred an accumulated deficit of $183.3 million since inception. For the six months ended June 30, 2018 and 2017, we had negative cash flows from operations of $31.3 million and $14.2 million, respectively, and for the years ended December 31, 2017 and 2016 we had negative cash flows from operations of $37.3 million and $18.3 million, respectively. We have funded our operations to date primarily from the sale of our equity and debt securities, acquisition proceeds from the Biotest Transaction and loans from our principal stockholders.</w:t>
      </w:r>
    </w:p>
    <w:p>
      <w:pPr>
        <w:spacing w:after="0" w:line="18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expect to continue to spend substantial amounts on product development, quality assurance, regulatory affairs, procurement of raw material plasma, manufacturing, marketing, sales and conducting clinical trials for our product candidates and purchasing clinical trial materials from our suppliers, some of which may be required by the FDA. We currently anticipate, based upon our projected revenue and expenditures, that our cash, cash equivalents, projected revenue and accounts receivable, along with the $10.0 million we expect to be able to access under the Credit Agreement (as defined below), will be sufficient to fund our operations, as currently conducted, into the second quarter of 2019. In order to have sufficient cash to fund our operations thereafter and to continue as a going concern, we will need to raise additional equity prior to the end of the second quarter of 2019. This time frame may change based upon how quickly we are able to execute on our quality management systems’ enhancement plans for the ADMA BioManufacturing operations, commercial manufacturing ramp-up activities and the various financing options available to us. We currently have no firm commitments for additional financing, and we cannot provide any assurance that we will be able to secure additional financing on terms that are acceptable to us, or at all. Failure to secure any necessary financing in a timely manner and on commercially reasonable terms could have a material adverse effect on our business plan and financial performance and we could be forced to delay or discontinue our product development, clinical trial or commercialization activities, delay or discontinue the approval efforts for any of our potential products, or potentially cease operations. In addition, we could also be forced to reduce or forgo sales and marketing efforts and forgo attractive business opportunities.</w:t>
      </w:r>
    </w:p>
    <w:p>
      <w:pPr>
        <w:spacing w:after="0" w:line="18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Furthermore, if the assumptions underlying our estimated expenses are incorrect, we may have to raise additional capital sooner than anticipated. Because of numerous risks and uncertainties associated with the research and development and potential future commercialization of our product candidates, we are unable to estimate with certainty the amounts of increased capital outlays and operating expenditures associated with our anticipated clinical trials and development activities. Our current estimates may be subject to change as circumstances regarding our business requirements evolve. We may decide to raise capital through public or private equity offerings and such financings may only be available on unattractive terms, resulting in significant dilution of stockholders’ interests and, in such event, the value and potential future market price of our Common Stock may decline. We may also decide to obtain additional debt financing or a bank credit facility, subject to the restrictions contained in the Credit Agreement, or to enter into corporate collaboration and licensing arrangements. The sale of additional equity or debt securities, if convertible, could result in dilution to our current stockholders. The incurrence of additional indebtedness would result in increased fixed obligations and could also result in covenants that would restrict our operations or other future financing alternatives.</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5" w:name="page36"/>
    <w:bookmarkEnd w:id="35"/>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8" w:lineRule="exact"/>
        <w:rPr>
          <w:sz w:val="20"/>
          <w:szCs w:val="20"/>
          <w:color w:val="auto"/>
        </w:rPr>
      </w:pPr>
    </w:p>
    <w:p>
      <w:pPr>
        <w:ind w:right="420" w:firstLine="648"/>
        <w:spacing w:after="0" w:line="279" w:lineRule="auto"/>
        <w:rPr>
          <w:sz w:val="20"/>
          <w:szCs w:val="20"/>
          <w:color w:val="auto"/>
        </w:rPr>
      </w:pPr>
      <w:r>
        <w:rPr>
          <w:rFonts w:ascii="Arial" w:cs="Arial" w:eastAsia="Arial" w:hAnsi="Arial"/>
          <w:sz w:val="17"/>
          <w:szCs w:val="17"/>
          <w:color w:val="auto"/>
        </w:rPr>
        <w:t>Our long-term liquidity depends upon our ability to raise additional capital, fund our research and development and commercial programs and achieve commercial status for our products and product candidates in order to generate sufficient revenues to cover our operating expenses and meet our obligations on a timely basis. We believe that we will continue to incur losses and negative cash flows from operating activities through the foreseeable future. As such, these conditions raise substantial doubt about our ability to continue as a going concern.</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June 18, 2018, we completed an underwritten public offering of 9,623,430 shares of our Common Stock for gross proceeds of $46.0 million. We received net proceeds from this offering, after underwriters’ commissions and other offering expenses, of $42.9 million. The net proceeds have been or will be used for (i) for continued remediation and ongoing improvement and enhancements at the Boca Facility, (ii) to submit the PAS for, and relaunch of, BIVIGAM, (iii) to resubmit the RI-002 BLA, (iv) expenses associated with obtaining with FDA approval of ADMA’s third plasma collection facility, and (v) for general corporate purposes and other capital expenditures.</w:t>
      </w:r>
    </w:p>
    <w:p>
      <w:pPr>
        <w:spacing w:after="0" w:line="18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On November 13, 2017, we completed an underwritten public offering of 19,523,255 shares of Common Stock for gross proceeds of $42.0 million. Net proceeds from this offering, after payment of underwriting discounts and offering expenses of $2.8 million, were $39.2 million. The proceeds from this offering were used for (i) the purchase of raw material inventory and the ramp-up of our manufacturing capabilities, (ii) continued remediation of the issues identified in the CRL and the Warning Letter and completion of our internal quality management systems overhaul, (iii) capital expenditures for the Boca Facility, (iv) product launch and medical education campaigns, (v) the build-out of our third plasma collection facility, (vi) research and development activities for our plasma collection programs and specialty plasma products, and (vii) working capital needs and general corporate purposes, including expenses associated with improving the FDA inspection classification relative to the Warning Letter, filing the PAS and obtaining marketing clearance for the relaunch of BIVIGAM and refiling the RI-002 BLA.</w:t>
      </w:r>
    </w:p>
    <w:p>
      <w:pPr>
        <w:spacing w:after="0" w:line="17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October 10, 2017 (the “Marathon Closing Date”), we entered into a Credit Agreement (the “Credit Agreement”) with Marathon Healthcare Finance Fund, L.P. (“Marathon” or the “Lender”) and Wilmington Trust, National Association, as the administrative agent for the Lender (the “Administrative Agent”). The Credit Agreement provides for a senior secured term loan facility in an aggregate amount of up to $40.0 million (collectively, the “Credit Facility”), comprised of (i) a term loan made on the Marathon Closing Date in the principal amount of $30.0 million (the “Tranche One Loan”), and (ii) an additional term loan to be made in the maximum principal amount not to exceed $10.0 million (the “Tranche Two Loan” and, together with the Tranche One Loan, the “Loans”), which Tranche Two Loan availability is subject to the satisfaction of certain conditions, including, but not limited to, those described below. The Loans each have a maturity date of April 10, 2022 (the “Maturity Date”), subject to acceleration pursuant to the Credit Agreement, including upon an Event of Default (as defined in the Credit Agreement).</w:t>
      </w:r>
    </w:p>
    <w:p>
      <w:pPr>
        <w:spacing w:after="0" w:line="17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the Marathon Closing Date, we used approximately $17.0 million of the Tranche One Loan to retire and pay in full our previously existing credit facility, as amended, with Oxford Finance, LLC (“Oxford”) and all of the obligations thereunder, including the end-of-term liability of $1.8 million and prepayment penalties of $0.2 million. We also (i) used $5.5 million of the Tranche One Loan to pre-fund a debt service reserve account in accordance with the terms of the Credit Agreement, and (ii) paid diligence fees, legal and other expenses associated with the Credit Facility in the amount of approximately $1.5 million, which fees exclude a deferred facility fee to Marathon equal to 9.20% of the Tranche One Loan payable at maturity. The remaining $6.0 million of proceeds was used for the continued remediation of the issues identified in the CRL and the Warning Letter and for general corporate purposes.</w:t>
      </w:r>
    </w:p>
    <w:p>
      <w:pPr>
        <w:spacing w:after="0" w:line="165"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The obligation of Marathon to make the Tranche Two Loan is subject to the satisfaction of certain conditions related to FDA approval for specified products and our financial condition, including, without limitation, the following: (a) (i) the FDA must validate the improved manufacturing process of BIVIGAM and (ii) not less than $0.5 million in net revenue must be generated in calendar year 2018 from the sale in the United States of BIVIGAM; or (b)</w:t>
      </w:r>
    </w:p>
    <w:p>
      <w:pPr>
        <w:ind w:right="40" w:firstLine="8"/>
        <w:spacing w:after="0" w:line="261" w:lineRule="auto"/>
        <w:tabs>
          <w:tab w:leader="none" w:pos="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must approve the commercialization of RI-002 and (ii) not less than $0.5 million in net revenue must be generated in calendar year 2019 from the sale in the United States of RI-002.</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6" w:name="page37"/>
    <w:bookmarkEnd w:id="36"/>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On the Marathon Closing Date, we issued a promissory note in favor of the Administrative Agent in the principal amount of $30.0 million (the “Tranche One Note”), evidencing our indebtedness resulting from the Tranche One Loan. Borrowings under the Credit Agreement bear interest at a rate per annum equal to LIBOR plus 9.50% with a 1% LIBOR floor; provided, however, that in the event that we achieve sales of not less than $61.7 million for the 2018 calendar year and the Tranche Two Loan has been funded, then the interest rate on the borrowings under the Credit Agreement will decrease to LIBOR plus 7.75% with a 1% LIBOR floor. During an Event of Default under the Credit Agreement, the outstanding amount of indebtedness under the Credit Agreement will bear interest at a rate per annum equal to the interest rate then applicable to the borrowings under the Credit Agreement plus 5% per annum. Quarterly cash interest payments are due the first business day of each March, June, September and December, beginning on December 1, 2017. During the six months ended June 30, 2018, the interest rate on the Tranche One Note ranged from 10.99% to 11.81%.</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will pay Marathon a facility fee in an amount equal to 9.20% of the amount funded, payment of which is deferred until the Maturity Date pursuant to the terms of the Credit Agreement. Commencing on October 10, 2020, and on the first business day of each month, we are required to make principal payments on the Tranche One Loan (and Tranche Two Loan in the event it shall have been funded) in equal monthly installments over 18 months, subject to certain conditions in the Credit Agreement. The outstanding principal amount of the Loans, together with all accrued interest thereon, is due on the Maturity Date.</w:t>
      </w:r>
    </w:p>
    <w:p>
      <w:pPr>
        <w:spacing w:after="0" w:line="18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Our obligations under the Credit Agreement are secured by a first-priority lien and security interest in substantially all of our assets, including a mortgage on the Boca Facility, and those of our subsidiaries as well as all of the equity interests in each subsidiary.</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Credit Agreement contains market representations and warranties, affirmative covenants, negative covenants, financial covenants, and conditions that are customarily required for similar financings. The affirmative covenants, among other things, require us to undertake various reporting requirements. The negative covenants restrict or limit our and our subsidiaries’ ability to, among other things, incur new indebtedness; create liens on assets; engage in certain fundamental corporate changes or changes to our business activities; sell or otherwise dispose of assets; repurchase stock, pay dividends; repay certain other indebtedness; engage in certain affiliate transactions; or enter into any other agreements that restrict our ability to make loan repayments. In addition, the terms of the Credit Agreement required the establishment of a debt service reserve account, and we are required to maintain a certain minimum level of liquidity at all times. Liquidity is defined in the Credit Agreement as cash held in the debt service reserve account and any other deposit account subject to a control agreement with the Administrative Agent, and the required liquidity amount is reflected as restricted cash in the accompanying consolidated balance sheets as of June 30, 2018 and December 31, 2017. The minimum liquidity requirement was $4.0 million and $5.5 million as of June 30, 2018 and December 31, 2017, respectively. On the Marathon Closing Date, $5.5 million of the Tranche One Note proceeds was deposited into the debt service reserve account. On May 31, 2018, the Credit Agreement was amended to reduce the minimum liquidity requirement to $5.25 million, and $250,000 was released from the debt service reserve account to us on June 25, 2018. On June 26, 2018, the Lender and the Administrative Agent acknowledged that the Company had met the requirements regarding our leased properties as set forth in the Credit Agreement, and an additional $1.25 million was released from the debt service reserve account to us.</w:t>
      </w:r>
    </w:p>
    <w:p>
      <w:pPr>
        <w:spacing w:after="0" w:line="18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Credit Agreement also contains customary Events of Default which include, among others, non-payment of principal, interest or fees, violation of covenants, inaccuracy of representations and warranties, bankruptcy and insolvency events, material judgments, cross-defaults to material contracts and events constituting a change of control. The occurrence of an Event of Default could result in, among other things, the termination of commitments under the Credit Facility and the declaration that all outstanding Loans are immediately due and payable in whole or in part.</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June 2017, we received $27.5 million in connection with the Biotest Transaction, comprised of $12.5 million in cash from BPC and an unsecured subordinated 6% note payable to Biotest in the amount of $15.0 million. Also in June 2017, BPC provided us with a firm equity commitment to invest up to an additional $12.5 million in future equity financings of the Company, and this equity commitment was satisfied in its entirety in the foregoing November 2017 public offering of Common Stock. In July 2018, BPC transferred to Biotest AG all of its obligations, rights, title and interest in the unsecured subordinated $15.0 million note.</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spacing w:after="0"/>
              <w:rPr>
                <w:rFonts w:ascii="Arial" w:cs="Arial" w:eastAsia="Arial" w:hAnsi="Arial"/>
                <w:sz w:val="14"/>
                <w:szCs w:val="14"/>
                <w:i w:val="1"/>
                <w:iCs w:val="1"/>
                <w:color w:val="0000EE"/>
                <w:w w:val="92"/>
              </w:rPr>
            </w:pPr>
            <w:hyperlink w:anchor="page2">
              <w:r>
                <w:rPr>
                  <w:rFonts w:ascii="Arial" w:cs="Arial" w:eastAsia="Arial" w:hAnsi="Arial"/>
                  <w:sz w:val="14"/>
                  <w:szCs w:val="14"/>
                  <w:i w:val="1"/>
                  <w:iCs w:val="1"/>
                  <w:color w:val="0000EE"/>
                  <w:w w:val="92"/>
                </w:rPr>
                <w:t>Table of Contents</w:t>
              </w:r>
            </w:hyperlink>
          </w:p>
        </w:tc>
        <w:tc>
          <w:tcPr>
            <w:tcW w:w="0" w:type="dxa"/>
            <w:vAlign w:val="bottom"/>
          </w:tcPr>
          <w:p>
            <w:pPr>
              <w:spacing w:after="0"/>
              <w:rPr>
                <w:sz w:val="1"/>
                <w:szCs w:val="1"/>
                <w:color w:val="auto"/>
              </w:rPr>
            </w:pPr>
          </w:p>
        </w:tc>
      </w:tr>
      <w:tr>
        <w:trPr>
          <w:trHeight w:val="534"/>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20" w:type="dxa"/>
            <w:vAlign w:val="bottom"/>
          </w:tcPr>
          <w:p>
            <w:pPr>
              <w:ind w:left="640"/>
              <w:spacing w:after="0"/>
              <w:rPr>
                <w:sz w:val="20"/>
                <w:szCs w:val="20"/>
                <w:color w:val="auto"/>
              </w:rPr>
            </w:pPr>
            <w:r>
              <w:rPr>
                <w:rFonts w:ascii="Arial" w:cs="Arial" w:eastAsia="Arial" w:hAnsi="Arial"/>
                <w:sz w:val="18"/>
                <w:szCs w:val="18"/>
                <w:color w:val="auto"/>
              </w:rPr>
              <w:t>The following table sets forth a summary of our cash flows for the periods indicated:</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5"/>
          </w:tcPr>
          <w:p>
            <w:pPr>
              <w:ind w:left="5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(31,342,153)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(14,173,774)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(1,046,375)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17,793,627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42,934,929</w:t>
            </w:r>
          </w:p>
        </w:tc>
        <w:tc>
          <w:tcPr>
            <w:tcW w:w="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12,039,289</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10,546,401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15,659,142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including restricted cash - beginning of period</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48,607,574</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9,914,867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including restricted cash - end of period</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59,153,975</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25,574,009</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Cash used in operations for the six months ended June 30, 2018 was $31.3 million, an increase of $17.2 million from the same period of a year ago, mainly due to the higher net loss in 2018. The following table illustrates the primary components of our cash flows from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(32,569,973)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(15,573,458)</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Non-cash expenses, gains and losses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3,181,791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1,249,561</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82,960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(1,274,246)</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Changes in inventories</w:t>
            </w:r>
          </w:p>
        </w:tc>
        <w:tc>
          <w:tcPr>
            <w:tcW w:w="30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381,213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66,766</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 prepaid 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(380,626)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(1,298,991)</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Changes in accounts payable and accrued expenses</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(2,264,907)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3,147,165</w:t>
            </w:r>
          </w:p>
        </w:tc>
      </w:tr>
      <w:tr>
        <w:trPr>
          <w:trHeight w:val="23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227,389</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(490,571)</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Cash used in operations</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(31,342,153)</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(14,173,774)</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Net cash used in investing activities for the six months ended June 30, 2018 was $1.0 million, consisting of capital expenditures at the Boca Facility and final build-out costs of our third plasma center. Although we have no specific material commitments for capital expenditures as of June 30, 2018, we expect our total capital expenditures will be between $2.0 million and $4.0 million for the remainder of fiscal 2018.</w:t>
      </w:r>
    </w:p>
    <w:p>
      <w:pPr>
        <w:spacing w:after="0" w:line="181"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Net cash provided by investing activities was $17.8 million for the six months ended June 30, 2017, primarily consisting of a $12.5 million equity infusion from BPC in accordance with the terms of the Biotest Transaction and $5.4 million from the liquidation of short-term investments.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Cash provided by financing activities during the six months ended June 30, 2018 was $42.9 million, which was a result of the net proceeds received from the June 2018 public offering of our Common Stock. Net cash provided by financing activities totaled $12.0 million for the six months ended June 30, 2017, consisting primarily $15.0 million of proceeds from the issuance of a subordinated note payable to Biotest in accordance with the terms of the Biotest Transaction, partially offset by $2.8 of principal payments under our previously existing senior credit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Inflation or changing prices did not have a significant impact on our net sales, revenues or net loss in 2017, 2016 and 2015, or for the six months ended June 30, 2018.</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38" w:name="page39"/>
    <w:bookmarkEnd w:id="3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U.S. Securities and Exchange Commission’s (the “SEC”) rules and forms, and (ii) accumulated and communicated to our management, including our principal executive officer and principal financial officer, as appropriate to allow timely decisions regarding required disclosures.</w:t>
      </w:r>
    </w:p>
    <w:p>
      <w:pPr>
        <w:spacing w:after="0" w:line="18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Under the supervision of and with the participation of our management, including our principal executive officer and principal financial officer, we conducted an evaluation of our disclosure controls and procedures as of June 30, 2018. Based on this evaluation, our principal executive officer and our principal financial officer concluded that our disclosure controls and procedures as of June 30, 2018 are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disclosures.</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we continue with the integration of the business processes and information systems in effect prior to the closing of the Biotest Transaction with those of ADMA BioManufacturing, we are modifying our internal control over financial reporting to address the integrated operations. The integration plan and related internal control modifications are expected to continue through our current fiscal year. Other than these integration-related changes, there have been no changes in our internal control over financial reporting during the quarter ended June 30, 2018 that has materially affected, or is reasonably likely to materially affect, our internal control over financial reporting.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39" w:name="page40"/>
    <w:bookmarkEnd w:id="3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We may become subject to certain legal proceedings and claims arising in connection with the normal course of our business. In the opinion of management, there are currently no claims that would have a material adverse effect on our consolidated financial position, results of operations or cash flows.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i w:val="1"/>
          <w:iCs w:val="1"/>
          <w:color w:val="auto"/>
        </w:rPr>
        <w:t>There are numerous and varied risks that may prevent us from achieving our goals. We believe that the following are the material risks that we face. If any of the following risks actually occurs, our business, financial condition or results of operations may be materially adversely affected. In such case, the trading price of our Common Stock could decline and investors in our Common Stock could lose all or part of their investment.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date, we have generated limited product revenues, have a history of losses and will need to raise additional capital to operate our business, which may not be available on favorable terms, if at all.</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To date, we have generated a substantial portion of our revenues from the sale of plasma by our plasma collections facilities. Following completion of the Biotest Transaction, we began generating revenues from the sale of Nabi-HB, and we recorded additional revenue in connection with a contract manufacturing agreement. Unless and until we receive approval from the FDA and other regulatory authorities for our RI-002 product candidate and other products and product candidates in our pipeline, we do not expect to sell and generate revenue from the commercialization of RI-002 and other products and product candidates in our pipeline, and we will be required to raise additional funds through the sale of our equity and/or debt securities in order to establish a commercial sales force, develop our commercial infrastructure and recognize any significant revenues.</w:t>
      </w:r>
    </w:p>
    <w:p>
      <w:pPr>
        <w:spacing w:after="0" w:line="17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long-term liquidity will depend upon our ability to raise additional capital, fund our research and development and commercial programs, establish and build out a commercial sales force and commercial infrastructure and meet our ongoing obligations. If we are unable to successfully raise additional capital prior to the end of the second quarter of 2019, we will likely not have sufficient cash flow and liquidity to fund our business operations as we currently operate, forcing us to potentially curtail our activities and significantly reduce or cease operations. Even if we are able to raise additional capital, such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92" w:lineRule="exact"/>
        <w:rPr>
          <w:sz w:val="20"/>
          <w:szCs w:val="20"/>
          <w:color w:val="auto"/>
        </w:rPr>
      </w:pPr>
    </w:p>
    <w:p>
      <w:pPr>
        <w:ind w:right="100" w:firstLine="648"/>
        <w:spacing w:after="0" w:line="268" w:lineRule="auto"/>
        <w:rPr>
          <w:sz w:val="20"/>
          <w:szCs w:val="20"/>
          <w:color w:val="auto"/>
        </w:rPr>
      </w:pPr>
      <w:r>
        <w:rPr>
          <w:rFonts w:ascii="Arial" w:cs="Arial" w:eastAsia="Arial" w:hAnsi="Arial"/>
          <w:sz w:val="17"/>
          <w:szCs w:val="17"/>
          <w:color w:val="auto"/>
        </w:rPr>
        <w:t>Based upon our projected revenue and expenditures for fiscal 2018, including regulatory and consulting fees for the remediation of the Warning Letter and ongoing discussions with the FDA, continuing implementation of our commercialization and expansion activities and certain other assumptions, we currently believe that our cash, cash equivalents, projected revenue and accounts receivable, along with the additional $10.0 million we expect to be able to access through our existing senior credit facility will be sufficient to fund our operations, as currently conducted, into the second quarter of 2019. In order to have sufficient cash to fund our operations thereafter and to continue as a going concern, we will need to raise additional equity or debt financing before the end of the second quarter of 2019. This timeframe may change based upon how quickly we are able to execute on our quality management systems’ remediation plans for the ADMA BioManufacturing operations, commercial manufacturing ramp-up activities and the various financing options available to us. These estimates may also change based upon whether or when the FDA approves RI-002 or if any of our other assumptions change. We currently do not have arrangements to obtain additional financing. Any such financing could be difficult to obtain or only available on unattractive terms and could result in significant dilution to stockholders. Failure to secure necessary financing in a timely manner and on favorable terms could have a material adverse effect on our business plan and financial performance and could delay, discontinue or prevent product development, clinical trials, commercialization activities or the approval of any of our potential products. In addition, we could be forced to reduce or forgo sales and marketing efforts and forgo attractive business opportunities.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40" w:name="page41"/>
    <w:bookmarkEnd w:id="40"/>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b w:val="1"/>
          <w:bCs w:val="1"/>
          <w:i w:val="1"/>
          <w:iCs w:val="1"/>
          <w:color w:val="auto"/>
        </w:rPr>
        <w:t>Failure to timely and effectively remediate the outstanding Warning Letter and other inspection issues and deficiencies at the Boca Facility will have a material adverse effect on our business. Failure of the FDA to adhere to its stated timelines in the Code of Federal Regulations, as well as any potential government shut-downs or unforeseen government office closings may affect our ability to resolve the Warning Letter and other inspection issues within the timelines provided.</w:t>
      </w:r>
    </w:p>
    <w:p>
      <w:pPr>
        <w:spacing w:after="0" w:line="18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Prior to the closing of the Biotest Transaction, BTBU was our third-party manufacturer for RI-002. In response to our RI-002 BLA submission in 2015, in July 2016 the FDA issued the CRL. The CRL did not specify or request the need for any addition clinical trials or data; however, the CRL reaffirmed the issues set forth in the Warning Letter issued to Biotest relating to inspection issues identified at the Boca Facility. The FDA identified in the CRL, among other things, certain outstanding inspection issues and deficiencies related to Chemistry, Manufacturing and Controls (“CMC”) and Good Manufacturing Practices (“GMP”) at the Boca Facility and at certain of our third-party vendors, and requested documentation of corrections for a number of these issues. The FDA indicated in the CRL that it cannot grant final approval of our RI-002 BLA until, among other things, these deficiencies are resolved. Following the completion of the Biotest Transaction, we gained control over the regulatory, quality, general operations and drug substance manufacturing process at the Boca Facility, and our highest priority has been to remediate the outstanding compliance issues at the Boca Facility as indicated in the Warning Letter. We have been working with a consulting firm consisting of quality management systems and biologics production subject matter experts with extensive experience in remediating compliance and inspection issues related to quality management systems that manages a robust team of subject matter experts in plasma derived products and biologic drugs to assist us in addressing all identified CMC and current good manufacturing practice (“cGMP”) issues and deficiencies. We believe that we have successfully closed out the April 2018 FDA inspection of the Boca Facility, however there can be no assurances as to the timing by which the FDA may make any determinations post-inspection concerning our compliance status. There can also be no assurances that our ongoing efforts to remediate the Warning Letter and other inspection issues and deficiencies at the Boca Facility will be effective or whether the FDA will accept these efforts. Failure to timely remediate the issues identified in the Warning Letter and other inspection issues and deficiencies and/or receive approval from the FDA would have a material adverse effect on our business, prospects, financial condition and results of operations. Additionally, we are unable to control the timing of FDA inspections, responses, meeting requests, teleconference requests, requests for clarifications and similar regulatory communications as well as whether or not the FDA will change its requirements, guidance or expectations.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not profitable and may never become profitable.</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have a history of losses and expect to incur substantial losses and negative operating cash flow for the foreseeable future, and we may never achieve or maintain profitability. For the years ended December 31, 2017 and 2016, we incurred net losses of $43.8 and $19.5 million, respectively, and for the six months ended June 30, 2018 and 2017, we incurred net losses of $32.6 million and $15.6 million, respectively. From our inception in 2004 through June 30, 2018, we have incurred an accumulated deficit of $183.3 million. Even if we succeed in developing and commercializing one or more of our product candidates, we expect to incur substantial losses for the foreseeable future and may never become profitable. We also expect to continue to incur significant operating and capital expenditures and anticipate that our operating expenses will increase substantially in the foreseeable future as we:</w:t>
      </w:r>
    </w:p>
    <w:p>
      <w:pPr>
        <w:spacing w:after="0" w:line="16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remediate the outstanding compliance deficiencies identified by the FDA in the CRL and Warning Letter at the Boca Facility;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regulatory approval(s);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commercialization and marketing efforts;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 additional internal systems, controls and infrastructure;</w:t>
      </w: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1" w:name="page42"/>
    <w:bookmarkEnd w:id="41"/>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5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and build out our plasma center network;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integrate the Biotest Assets into our business.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expect to experience negative cash flows for the foreseeable future as we fund our operating losses and capital expenditures. As a result, we will need to generate significant revenues in order to achieve and maintain profitability. We may not be able to generate these revenues or achieve profitability in the future. Our failure to achieve or maintain profitability could negatively impact the value of our securities.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Although our financial statements have been prepared on a going concern basis, we must raise additional capital before the end of the second quarter of 2019 to fund our operations in order to continue as a going concern.</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CohnReznick LLP, our independent registered public accounting firm, has included an explanatory paragraph in their opinion that accompanies our audited consolidated financial statements as of and for the year ended December 31, 2017, indicating that our current liquidity position and history of losses raise substantial doubt about our ability to continue as a going concern. If we are unable to improve our liquidity position we may not be able to continue as a going concern. If we are unable to continue as a going concern, we may have to liquidate our assets and may receive less than the value at which those assets are carried on our consolidated financial statements. We may also be forced to make reductions in spending, including delaying or curtailing our clinical development, trials or commercialization efforts, or seek to extend payment terms with our vendors and creditors. Our ability to raise or borrow the capital needed to improve our financial condition may be hindered by a variety of factors, including market conditions and the availability of such financing on acceptable terms, if at all. If we are unable to obtain sufficient funding, our business, prospects, financial condition and results of operations will be materially and adversely affected and we may be unable to continue as a going concern. Our audited consolidated financial statements as of and for the year ended December 31, 2017 do not include any adjustments that might result if we are unable to continue as a going concern and, therefore, be required to realize our assets and discharge our liabilities other than in the normal course of business, which could cause our security holders to suffer the loss of all or a substantial portion of their investment.</w:t>
      </w:r>
    </w:p>
    <w:p>
      <w:pPr>
        <w:spacing w:after="0" w:line="18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anticipate that our principal sources of liquidity will only be sufficient to fund our activities, as currently conducted, into the second quarter of 2019. In order to have sufficient cash to fund our operations thereafter and to continue as a going concern, we will need to raise additional equity or debt financing prior to the end of the second quarter of 2019. This time frame may change based upon how quickly we are able to execute on our quality management systems’ remediation plans for the ADMA BioManufacturing operations, commercial manufacturing ramp-up activities and the various financing options available to us. In order to have sufficient cash to fund our operations thereafter, we will need to raise additional equity or debt capital, and we cannot provide any assurance that we will be successful in doing so. If our assumptions underlying our estimated expenses prove to be wrong, we may have to raise additional capital sooner than the end of the second quarter of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upon which to base an investment decision.</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We have not demonstrated an ability to perform the functions necessary for the successful commercialization of RI-002. The successful development and commercialization of any product candidate will require us or our collaborators to perform a variety of functions, including:</w:t>
      </w:r>
    </w:p>
    <w:p>
      <w:pPr>
        <w:spacing w:after="0" w:line="14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undertaking product development and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conducting sales and marketing activities once product approval is received.</w:t>
      </w: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2" w:name="page43"/>
    <w:bookmarkEnd w:id="42"/>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operations thus far provide a limited basis for you to assess our ability to commercialize our product candidates and the advisability of investing in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adversely affect our business</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ADMA BioCenters operates FDA-licensed, GHA and KMFDS-certified source plasma collection facilities located in the United States, which provide us with a portion of our blood plasma for the manufacture of our products and product candidates. Plasma collected from ADMA BioCenters' facilities that is not used to manufacture our products and product candidates is sold to third-party customers in the United States and other locations where we are approved globally under supply agreements or in the open "spot" market. Furthermore, we have completed the construction of our third plasma collection facility, and we filed our BLA with the FDA and initiated collections for this facility in December 2017. Nabi-HB and BIVIGAM are manufactured at the Boca Facility, an FDA-licensed facility certified by the GHA. A portion of our revenues are dependent upon the continued operation of these facilities. Our operations are vulnerable to interruption by fire, weather related events such as hurricanes, wind and rain, other acts of God, electric power loss, telecommunications failure, equipment failure and breakdown, human error, employee issues and events beyond our control. We do not have detailed disaster recovery plans for our facilities nor do we have a backup manufacturing facility, other than our other facilities, or contractual arrangements with any other manufacturers in the event of a casualty to or destruction of any facility or if any facility ceases to be available to us for any other reason. If we are required to rebuild or relocate any of our facilities, a substantial investment in improvements and equipment would be necessary. We carry only a limited amount of business interruption insurance, which may not sufficiently compensate us for losses that may occur.</w:t>
      </w:r>
    </w:p>
    <w:p>
      <w:pPr>
        <w:spacing w:after="0" w:line="18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b w:val="1"/>
          <w:bCs w:val="1"/>
          <w:i w:val="1"/>
          <w:iCs w:val="1"/>
          <w:color w:val="auto"/>
        </w:rPr>
        <w:t>Our lead pipeline product candidate, RI-002, requires extensive clinical data analysis and regulatory review and may require additional testing. Clinical trials and data analysis can be very expensive, time-consuming and difficult to design and implement. If we are unsuccessful in obtaining regulatory approval for RI-002, or any of our product candidates do not provide positive results, we may be required to delay or abandon development of such product, which would have a material adverse impact on our business.</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Continuing product development requires additional and extensive clinical testing. Human clinical trials are very expensive and difficult to design and implement, in part because they are subject to rigorous regulatory requirements. The clinical trial process is also time-consuming. While we have met the primary endpoint for our pivotal Phase III trial for RI-002, we cannot provide any assurance or certainty regarding when we might receive regulatory approval of our RI-002 BLA. Furthermore, failure can occur at any stage of the process, and we could encounter problems that cause us to abandon our RI-002 BLA or repeat clinical trials. The commencement and completion of clinical trials for any current or future development product candidate may be delayed by several factors, including:</w:t>
      </w:r>
    </w:p>
    <w:p>
      <w:pPr>
        <w:spacing w:after="0" w:line="19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w:t>
      </w:r>
    </w:p>
    <w:p>
      <w:pPr>
        <w:spacing w:after="0" w:line="25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addition, the FDA or an independent institutional review board may suspend our clinical trials at any time if it appears that we are exposing participants to unacceptable health risks or if the FDA finds deficiencies in our Investigational New Drug (“IND”) submissions or the conduct of these trials. Therefore, we cannot provide any assurance or predict with certainty the schedule for future clinical trials. In the event we do not ultimately receive regulatory approval for RI-002, we may be required to terminate development of our only product candidate. Unless we acquire or develop other product candidates that are saleable, our business will be limited to plasma collection and sales, as well as sales of Nabi-HB and BIVIGAM.</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43" w:name="page44"/>
    <w:bookmarkEnd w:id="43"/>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8"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4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Even though our clinical trials for RI-002 have been completed as planned, we cannot be certain that their results will support our product candidate claims.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 In addition, our clinical trials involve a relatively small patient population. Because of the small sample size, the results of these clinical trials may not be indicative of future results. In addition, certain portions of the clinical trial and product testing for RI-002 were performed outside of the United States, and therefore, may not have been performed in accordance with standards normally required by the FDA and other regulatory agencies.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the necessary U.S. or worldwide regulatory approvals to commercialize RI-002, we will not be able to sell RI-002.</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If we cannot obtain regulatory approval for RI-002, we will not be able to generate revenue from this product candidate. As a result, our sources of revenue may continue to be from a product mix consisting only of plasma collection and sales revenues, revenues generated from sales of our FDA-approved commercial products, revenues generated from ongoing contract manufacturing for third parties and revenues generated from the sales of manufacturing intermediates. We cannot assure you that we will receive the approvals necessary to commercialize RI-002 or any other product candidate we may acquire or develop in the future. In order to obtain FDA approval of RI-002 or any other product candidate requiring FDA approval, our clinical development must demonstrate that the product candidate is safe for humans and effective for its intended use, and we must successfully complete an FDA BLA review. Obtaining FDA approval of any other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18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Even if we comply with all FDA requests, the FDA may ultimately reject our RI-002 BLA. In addition, the FDA could determine that we must test additional subjects and/or require that we conduct further studies with more subjects. We may never obtain regulatory approval for RI-002, or any other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United States. Foreign regulatory approval processes generally include all of the risks and uncertainties associated with the FDA approval procedures described above. We cannot assure you that we will receive the approvals necessary to commercialize any product candidate for sale outside the United States.</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4" w:name="page45"/>
    <w:bookmarkEnd w:id="44"/>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approval from the FDA to market RI-002, our ability to market RI-002 for alternative applications could be limited.</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The FDA generally does not allow drugs to be promoted for “off-label” uses — that is, uses that are not described in the product’s labeling and that differ from those that were approved by the FDA. Generally, the FDA limits approved uses to those studied by a company in its clinical trials. In addition to the FDA approval required for new formulations, any new indication for an approved product also requires FDA approval. We have sought approval from the FDA to market RI-002 for the treatment of PIDD and, even if approved, we cannot be sure whether we will be able to obtain FDA approval for any desired future indications for RI-002.</w:t>
      </w:r>
    </w:p>
    <w:p>
      <w:pPr>
        <w:spacing w:after="0" w:line="18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While physicians in the United States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Although recent court decisions suggest that certain off-label communications, such as truthful and non-misleading speech, may be protected under the First Amendment, the scope of any such protection is unclear, and there are still significant risks in this area as it is unclear how these court decisions will impact the FDA’s enforcement practices, and there is likely to be substantial disagreement and difference of opinion regarding whether any particular statement is truthful and not misleading. Moreover, while we intend to promote our products consistent with what we believe to be the approved indication for our drugs, the FDA may disagree.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third-party researchers, developers and vendors to develop RI-002, and such parties are, to some extent, outside of our control.</w:t>
      </w:r>
    </w:p>
    <w:p>
      <w:pPr>
        <w:spacing w:after="0" w:line="24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depend on independent investigators and collaborators, such as universities and medical institutions, contract laboratories, clinical research organizations, contract manufacturers and consultants to conduct our preclinical, clinical trials, CMC testing and other activities under agreements with us. These collaborators are not our employees and we cannot control the amount or timing of resources that they devote to our programs. These investigators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the approval of our FDA application(s), if any, and our introduction of new products, if any, will be delayed.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approval for our product candidates.</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Historically a single customer has accounted for a significant amount of our total revenue and, together with a second customer, represented 78% of our total revenue for the year ended December 31, 2017 and, collectively with two other customers, represented an aggregate of 90% of our total revenue for the six months ended June 30, 2018. Therefore, the loss of such single customer could have a material adverse effect on our business, results of operations and financial condition.</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5" w:name="page46"/>
    <w:bookmarkEnd w:id="4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Historically, a significant amount of our total revenue is attributable to a single customer, BPC. For the year ended December 31, 2017, BPC and Sanofi represented 78% of our total revenue, with BPC representing 47% of our total revenue and Sanofi representing 31% of our total revenue. For the six months ended June 30, 2018, three customers represented an aggregate of 90% of our consolidated revenues, with BPC, McKesson Corporation and AmerisourceBergen representing 55%, 14% and 21%, respectively, of our consolidated revenues. For the six months ended June 30, 2017, sales to BPC represented 75% of our consolidated revenues, and sales to SK Plasma Co., Ltd. represented 15% of our consolidated revenues.</w:t>
      </w:r>
    </w:p>
    <w:p>
      <w:pPr>
        <w:spacing w:after="0" w:line="15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Although we expect this concentration to continue to decrease during 2018 as additional accretive revenues are generated from the Biotest Assets, BPC is still expected to account for a significant portion of our total revenue in fiscal 2018.</w:t>
      </w:r>
    </w:p>
    <w:p>
      <w:pPr>
        <w:spacing w:after="0" w:line="170"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loss of BPC as a customer or a material change in the revenue generated by BPC could have a material adverse effect on our business, results of operations and financial condition. Factors that could influence our relationships with our customers include, among other things:</w:t>
      </w:r>
    </w:p>
    <w:p>
      <w:pPr>
        <w:spacing w:after="0" w:line="14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sell our products at competitive prices;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features and quality standards for our products sufficient to meet the expectations of our customers; and</w:t>
      </w:r>
    </w:p>
    <w:p>
      <w:pPr>
        <w:spacing w:after="0" w:line="252" w:lineRule="exact"/>
        <w:rPr>
          <w:rFonts w:ascii="Arial" w:cs="Arial" w:eastAsia="Arial" w:hAnsi="Arial"/>
          <w:sz w:val="18"/>
          <w:szCs w:val="18"/>
          <w:color w:val="auto"/>
        </w:rPr>
      </w:pPr>
    </w:p>
    <w:p>
      <w:pPr>
        <w:jc w:val="center"/>
        <w:ind w:right="980" w:firstLine="332"/>
        <w:spacing w:after="0" w:line="581" w:lineRule="auto"/>
        <w:tabs>
          <w:tab w:leader="none" w:pos="6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produce and deliver a sufficient quantity of our products in a timely manner to meet our customers’ requirements. Additionally, an adverse change in the financial condition of BPC could have a material adverse effect on our business and results of operations.</w:t>
      </w:r>
    </w:p>
    <w:p>
      <w:pPr>
        <w:spacing w:after="0" w:line="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Issues with product quality could have a material adverse effect upon our business, subject us to regulatory actions and cause a loss of customer confidence in us or our products.</w:t>
      </w:r>
    </w:p>
    <w:p>
      <w:pPr>
        <w:spacing w:after="0" w:line="17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a loss of customer confidence in us or our current or future products, which may result in the loss of sales and difficulty in successfully commercializing our current products and launching new products.</w:t>
      </w:r>
    </w:p>
    <w:p>
      <w:pPr>
        <w:spacing w:after="0" w:line="19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physicians and patients do not accept and use our current products or our future product candidates, our ability to generate revenue from these products will be materially impaired.</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Even if the FDA approves a product made by us, physicians and patients may not accept and use it. Acceptance and use of our products will depend on a number of factors including:</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cost-effectiveness of our products relative to competing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availability of reimbursement for our products from government or other healthcare payers;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46" w:name="page47"/>
    <w:bookmarkEnd w:id="46"/>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6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failure of our current and future products to find market acceptance would harm our business and could require us to seek additional financing or make such financing difficult to obtain on favorable terms, if at all.</w:t>
      </w:r>
    </w:p>
    <w:p>
      <w:pPr>
        <w:spacing w:after="0" w:line="17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Industry and other market data used in our periodic reports filed with the SEC and certain other materials, including those undertaken by us or our engaged consultants, may not prove to be representative of current and future market conditions or future results.</w:t>
      </w:r>
    </w:p>
    <w:p>
      <w:pPr>
        <w:spacing w:after="0" w:line="147" w:lineRule="exact"/>
        <w:rPr>
          <w:sz w:val="20"/>
          <w:szCs w:val="20"/>
          <w:color w:val="auto"/>
        </w:rPr>
      </w:pPr>
    </w:p>
    <w:p>
      <w:pPr>
        <w:ind w:right="200" w:firstLine="648"/>
        <w:spacing w:after="0" w:line="290" w:lineRule="auto"/>
        <w:rPr>
          <w:sz w:val="20"/>
          <w:szCs w:val="20"/>
          <w:color w:val="auto"/>
        </w:rPr>
      </w:pPr>
      <w:r>
        <w:rPr>
          <w:rFonts w:ascii="Arial" w:cs="Arial" w:eastAsia="Arial" w:hAnsi="Arial"/>
          <w:sz w:val="16"/>
          <w:szCs w:val="16"/>
          <w:color w:val="auto"/>
        </w:rPr>
        <w:t>Our periodic reports filed with the SEC and certain other materials include statistical and other industry and market data that we obtained from industry publications and research, surveys and studies conducted by third parties and surveys and studies we commissioned regarding the market potential for our current products as well as RI-002. Although we believe that such information has been obtained from sources believed to be reliable, neither the sources of such data, nor we, can guarantee the accuracy or completeness of such information. While we believe these industry publications and third-party research, surveys and studies are reliable, we have not independently verified such data. With respect to the information from third-party consultants, the results of this data represent the independent consultants’ own methodologies, assumptions, research, analysis, projections, estimates, composition of respondent pool, presentation of data and adjustments, each of which may ultimately prove to be incorrect, and cause actual results and market viability to differ materially from those presented in any such report or other materials. Readers should not place undue reliance on this information.</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Our long-term success may depend on our ability to supplement our existing product portfolio through new product development or the in-license or acquisition of other new products and product candidates, and if our business development efforts are not successful, our ability to achieve profitability may be adversely impacted.</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current product development portfolio consists primarily of RI-002 and label expansion activities for Nabi-HB and BIVIGAM.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raise capital for, and the successful development and commercialization of, RI-002, as well as the revenue we may generate from the sale of Nabi-HB, BIVIGAM, contract manufacturing, and intermediates and plasma attributable to the operations of ADMA BioCenters, to support our operations.</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ADMA BioCenters facilities collect information from donors in the United States that subjects us to consumer and health privacy laws, which could create enforcement and litigation exposure if we fail to meet their requirements.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Consumer privacy is highly protected by federal and state law. The Health Insurance Portability and Accountability Act of 1996 (“HIPAA”), as amended by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individually identifiable health information held by covered entities and business associates. A “covered entity” is the primary type of HIPAA-regulated entity. Health plans/insurers, health care providers engaging in standard transactions (insurance/health plan claims and encounters, payment and remittance advice, claims status, eligibility, enrollment/disenrollment, referrals and authorizations, coordination of benefits and premium payments), and health care clearinghouses (switches that convert data between standard and non-standard data sets) are covered entities. A “business associate” provides services to covered entities (directly or as subcontractors to other business associates) involving arranging, creating, receiving, maintaining, or transmitting protected health information (“PHI”) on a covered entity’s behalf. In order to legally provide access to PHI to service providers, covered entities and business associates must enter into a “business associate agreement” (“BAA”) with the service provider PHI recipient. Among other things, HITECH made certain aspects of the HIPAA’s rules (notably the Security Rule)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 to enforce the federal HIPAA laws and seek attorney’s fees and costs associated with pursuing federal civil actions. The Department of Health and Human Services Office of Civil Rights (“OCR”) has increased its focus on compliance and continues to train state attorneys general for enforcement purposes. OCR has recently increased both its efforts to audit HIPAA compliance and its level of enforcement, with one recent penalty exceeding $5 million.</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47" w:name="page48"/>
    <w:bookmarkEnd w:id="47"/>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We could be subject to enforcement action and litigation exposure if we fail to adhere to these data privacy and security laws.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strategic and financial benefits currently anticipated from the Biotest Transaction.</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may not realize all of the strategic and financial benefits currently anticipated from the Biotest Transaction. For example, we may not realize the anticipated benefits of acquiring control of all aspects of RI-002 drug manufacturing, regulatory affairs and business operations. In addition, we may not be able to resolve the outstanding issues at the Boca Facility that resulted in the Warning Letter. As part of the remediation of the Warning Letter, in December 2016 BTBU temporarily suspended the production of BIVIGAM in order to focus on the completion of planned improvements to the manufacturing process. As a result, BIVIGAM was not available for sale or distribution throughout fiscal 2017. If we are unable to address the underlying concerns at the Boca Facility that resulted in the Warning Letter and the CRL in July 2016 that identified deficiencies and inspection issues related to certain of our third-party contract manufacturers, including BPC, and provide requested documentation of corrections for a number of these issues, we will not be able to apply for the PAS related to the manufacturing of BIVIGAM or reapply for FDA approval to market and sell RI-002, which could have a material adverse effect on us. Failure to resolve any outstanding issues or any administrative actions taken or changes made by the FDA toward our contract manufacturers, vendors or us could impact our ability to receive approval for RI-002, including the timing thereof, disrupt our business operations and the timing of our commercialization efforts and may have a material adverse effect on our financial condition and operating results.</w:t>
      </w:r>
    </w:p>
    <w:p>
      <w:pPr>
        <w:spacing w:after="0" w:line="17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Through the Biotest Transaction, we assumed a contract manufacturing agreement related to the fractionation of plasma provided by one of our third-party customers that includes certain minimum production requirements. If we are unable to meet our contractual obligations under this agreement, we may be liable for the payment of liquidated damages. If we are unable to resolve these issues, such failure could have a material adverse effect on us.</w:t>
      </w:r>
    </w:p>
    <w:p>
      <w:pPr>
        <w:spacing w:after="0" w:line="14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There is also uncertainty as to whether the combined business will be able to operate at a profitable level in the future given the relatively small size of the Biotest Assets and the competitive environment in which we operate. Furthermore, there is no assurance and no definitive timeline as to when or if the Warning Letter will be resolved by the FDA, and we have no assurances as to the timing by which the FDA may inspect the Boca Facility and/or make any determinations post-inspection concerning our compliance status. These factors could have a material adverse effect on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integrating the Biotest Assets into our business.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Biotest Transaction involves the integration of two businesses that previously have operated independently with principal offices in two distinct locations. We are expending significant management attention and resources to integrate the two companies following completion of the Biotest Transaction. The failure to integrate successfully and to manage successfully the challenges presented by the integration process may result in the combined company’s failure to achieve some or all of the anticipated benefits of the Biotest Transaction.</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48" w:name="page49"/>
    <w:bookmarkEnd w:id="48"/>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difficulties that may be encountered in the integration process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using our cash and other assets efficiently to develop the business on a post-Biotest Transaction basis;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appropriately managing the liabilities of our Company on a post-Biotest Transaction basis;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Biotest Transaction and the operations of our Company on a post-Biotest Transaction basis;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Biotest Transaction;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performance shortfalls in one or both of the businesses as a result of the diversion of the applicable management’s attention caused by completing the Biotest Transaction and integrating the business.</w:t>
      </w:r>
    </w:p>
    <w:p>
      <w:pPr>
        <w:spacing w:after="0" w:line="19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Delays in the integration process could adversely affect the combined company’s business, financial results, financial condition and stock price following the Biotest Transaction. Even if the combined company were able to integrate the business operations successfully, there can be no assurance that this integration will result in the realization of the full benefits of synergies, innovation and operational efficiencies that may be possible from this integration or that these benefits will be achieved within a reasonable period of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 completing the Biotest Transaction, we agreed to transfer assets that have historically generated substantially all of our revenue.</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As part of the purchase price to acquire the Biotest Assets, we have agreed to transfer to BPC ownership of our two licensed plasma collection facilities in the United States and certain related assets and liabilities. These plasma collection facilities to be transferred have historically been the source of substantially all of our revenue. Although we have completed construction of a new plasma collection facility, there can be no assurances that we will generate similar revenues as historically reported from the plasma collection facilities we will transfer to BPC on January 1, 2019.</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Biotest Transaction exposes us to liabilities, a release of claims and competition that could have a material adverse effect on our business, financial condition, results of operations and stock price.</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part of the consideration for the Biotest Transaction, we agreed to assume certain liabilities of BPC related to BTBU. Because we agreed to assume liabilities related to the Biotest Assets, we are exposed to liabilities that are not within our control and we cannot predict the extent to which these liabilities may arise in the future. Any liabilities that may arise could have a material adverse effect on our business, financial condition, results of operations and stock price.</w:t>
      </w:r>
    </w:p>
    <w:p>
      <w:pPr>
        <w:spacing w:after="0" w:line="187"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Purchase Agreement contains indemnification undertakings by the parties thereto for certain losses, including, among other things, indemnification for any losses arising from breaches of its representations, warranties, covenants and agreements in the Purchase Agreement. In connection with the Biotest Transfer Agreement, we granted a full release to Biotest from any and all past, present or future indemnification claims arising under or in connection with the Purchase Agreement. Significant indemnification claims by BPC or its affiliates or breaches by BPC or its affiliates of any indemnity obligations which would have been owed to us under the Purchase Agreement prior to the release granted in the Biotest Transfer Agreement could have a material adverse effect on our business, financial condition, results of operations and stock price.</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part of the consideration for the Biotest Transaction, the parties also agreed to a mutual release, pursuant to which the parties agreed not to bring any suit, action or claim for any breach or default under the existing manufacturing and supply agreement or master services agreement prior to the closing of the Biotest Transaction. This release remains effective from and after the closing of the Biotest Transaction. Without this release, we would have otherwise been permitted to bring a claim against BPC related to the Warning Letter that could have possibly entitled us to remedies in the event that we are unable to resolve the Warning Letter. The inability to seek these remedies could have a material adverse effect on our business, financial condition, results of operations and stock price.</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9" w:name="page50"/>
    <w:bookmarkEnd w:id="49"/>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while the Purchase Agreement contains certain non-compete clauses, such clauses do not prohibit either the Biotest Guarantors or their other affiliates from directly or indirectly (other than through BPC) competing with BTBU after the closing of the Biotest Transaction. Such competition could result in the loss of existing or new customers, price reductions, reduced operating margins and loss of market share, which could have a material adverse effect on our business, financial condition, results of operations and stock price.</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due diligence investigation for the Biotest Transaction was inadequate and/or the representations, warranties and indemnification given to us by BPC was inadequate, then it could result in a material adverse effect on our business.</w:t>
      </w:r>
    </w:p>
    <w:p>
      <w:pPr>
        <w:spacing w:after="0" w:line="170"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Even though we believe that we conducted a reasonable and customary due diligence investigation of BTBU and we received market representations, warranties and indemnities from Biotest and BPC, we cannot be sure that our due diligence investigation uncovered all material or non-material issues that may be present. There also can be no assurances that we received access to or had the ability to diligence certain information, as well as appropriate representations and or warranties, that it would be possible to uncover all material issues through customary due diligence, or that issues outside of our control will not later arise or that all material issues which could have been discovered would otherwise be covered by the representations and warranties of Biotest and BPC and therefore indemnifiable. In connection with the Biotest Transfer Agreement, we granted a full release to Biotest from any and all past, present or future indemnification claims arising under or in connection with the Purchase Agreement. If we failed to identify any important issues, or if it were not possible to uncover all material issues, any such material issue could result in a material adverse effect on our business, financial condition, results of operations and stock price.</w:t>
      </w:r>
    </w:p>
    <w:p>
      <w:pPr>
        <w:spacing w:after="0" w:line="18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credit agreement (the “Credit Agreement”) with Marathon Healthcare Finance Fund, L.P. (“Marathon”) is subject to acceleration in specified circumstances, which may result in Marathon taking possession and disposing of any collateral.</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October 10, 2017, we entered into the Credit Agreement with Marathon which provides for a senior secured term loan Credit Facility in an aggregate amount of up to $40.0 million, comprised of (i) the $30.0 million Tranche One Loan, (ii) an additional Tranche Two Loan to be made in the maximum principal amount not to exceed $10.0 million, which Tranche Two Loan availability is subject to the satisfaction of certain conditions. The Loans each have a Maturity Date of April 10, 2022, subject to acceleration pursuant to the Credit Agreement, including upon an Event of Default (as defined in the Credit Agreement). The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Loans of 5% per annum, the occurrence of an Event of Default could result in, among other things, the termination of commitments under the Credit Facility, the declaration that all outstanding Loans are immediately due and payable in whole or in part, and Marathon taking immediate possession of, and selling, any collateral securing the Loans.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current products, RI-002 (if we obtain regulatory approval)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United States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50" w:name="page51"/>
    <w:bookmarkEnd w:id="50"/>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we move forward in clinical development we are also uncovering novel aspects of our product and are drafting patents to cover our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inventions. We rely on a combination of patent rights, trade secrets and nondisclosure and non-competition agreements to protect our proprietary intellectual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property, and we will continue to do so. There can be no assurance that our patent, trade secret policies and practices or other agreements will adequately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protect our intellectual property. Our issued patents may be challenged, found to be over-broad or otherwise invalidated in subsequent proceedings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courts or the United States Patent and Trademark Office. Even if enforceable, we cannot provide any assurances that they will provide significant protection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competition. The processes, systems, and/or security measures we use to preserve the integrity and confidentiality of our data and trade secrets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breached, and we may not have adequate remedies as a result of any such breaches. In addition, our trade secrets may otherwise become known or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independently discovered by competitors. There can be no assurance that the confidentiality, nondisclosure and non-competition agreements with employees,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consultants and other parties with access to our proprietary information to protect our trade secrets, proprietary technology, processes and other proprietary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or any other security measures relating to such trade secrets, proprietary technology, processes and proprietary rights, will be adequate, will not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breached, that we will have adequate remedies for any breach, that others will not independently develop substantially equivalent proprietary information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third parties will not otherwise gain access to our trade secrets or proprietary knowledge. To the extent that our consultants, contractors or collaborators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use intellectual property owned by others in their work for us, disputes may arise as to the rights in related or resulting know-how and inventions.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market exclusivity of a product earlier than expected.</w:t>
      </w:r>
    </w:p>
    <w:p>
      <w:pPr>
        <w:spacing w:after="0" w:line="225"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In the pharmaceutical and biotechnology industries, the majority of an innovative product’s commercial value is realized during its market exclusivity period. In the United States and in some other countries, when market exclusivity expires and generic versions are approved and marketed or when biosimilars are introduced (even if only for a competing product), there are usually very substantial and rapid declines in a product’s revenues.</w:t>
      </w:r>
    </w:p>
    <w:p>
      <w:pPr>
        <w:spacing w:after="0" w:line="14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Patent rights covering RI-002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and no assurance can be given that we will</w:t>
      </w:r>
    </w:p>
    <w:p>
      <w:pPr>
        <w:ind w:right="40"/>
        <w:spacing w:after="0" w:line="261" w:lineRule="auto"/>
        <w:rPr>
          <w:sz w:val="20"/>
          <w:szCs w:val="20"/>
          <w:color w:val="auto"/>
        </w:rPr>
      </w:pPr>
      <w:r>
        <w:rPr>
          <w:rFonts w:ascii="Arial" w:cs="Arial" w:eastAsia="Arial" w:hAnsi="Arial"/>
          <w:sz w:val="18"/>
          <w:szCs w:val="18"/>
          <w:color w:val="auto"/>
        </w:rPr>
        <w:t>prevail. There is no assurance that RI-002, or any other of our products for which we are issued a patent, will enjoy market exclusivity for the full time period of the respective patent.</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51" w:name="page52"/>
    <w:bookmarkEnd w:id="51"/>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70"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We may not be able to operate our business without infringing third-party patents. Numerous U.S. and foreign patents and pending patent applications owned by third parties exist in fields that relate to the development and commercialization of immune globulins.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United States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and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growth, our business may be harmed.</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If we are unable to manage our growth effectively, our business could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key members of our management team could adversely affect our business.</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 Notwithstanding the foregoing, in the event Mr. Grossman is terminated for cause or resigns other than for good reason, then the standstill provisions contained in the Stockholders Agreement, which prohibits BPC or its transferee from, among other things, acquiring more than (i) 50%, less one share, of our issued and outstanding shares of capital stock on an as-converted basis, or (ii) 30% of the issued and outstanding shares of Common Stock, will terminate and be of no further force and effect. Such event could result in BPC or its transferee acquiring additional shares of our Common Stock or taking other actions with the goal of acquiring additional shares of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Cyberattacks and other security breaches could compromise our proprietary and confidential information which could harm our business and reputation.</w:t>
      </w:r>
    </w:p>
    <w:p>
      <w:pPr>
        <w:spacing w:after="0" w:line="2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2" w:name="page53"/>
    <w:bookmarkEnd w:id="52"/>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additional qualified personnel, our ability to grow our business may be harmed.</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will need to hire additional qualified personnel with expertise in commercialization, sales, marketing, medical affairs, reimbursement, government regulation, formulation and manufacturing and finance and accounting. In particular, over the next 12-24 months, we expect to hire several new employees devoted to commercialization, sales, marketing, medical and scientific affairs, regulatory affairs, quality control, financial, general and operational management. We compete for qualified individuals with numerous biopharmaceutical companies, universities and other research institutions. Competition for such individuals is intense, and we cannot assure you that our search for such personnel will be successful. Attracting and retaining qualified personnel will be critical to our success and any failure to do so successfully may have a material adverse effect on us.</w:t>
      </w:r>
    </w:p>
    <w:p>
      <w:pPr>
        <w:spacing w:after="0" w:line="178"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We currently collect human blood plasma at our ADMA BioCenters facilities, and if we cannot maintain FDA approval for these facilities we may be adversely affected and may not be able to sell or use this human blood plasma for future commercial purposes.</w:t>
      </w:r>
    </w:p>
    <w:p>
      <w:pPr>
        <w:spacing w:after="0" w:line="14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intend to maintain FDA and other governmental and regulatory approvals of our ADMA BioCenters collection facilities for the collection of human blood plasma. These facilities are subject to FDA and other governmental and regulatory inspections and extensive regulation, including compliance with current cGMP, FDA and other government approvals. Failure to comply with applicable governmental regulations or to receive applicable approvals for our future facilities, including our third facility, may result in enforcement actions, such as adverse inspection reports, warning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materially adverse effect on our ability to manufacture our products or offer for sale plasma collected at the affected site(s).</w:t>
      </w:r>
    </w:p>
    <w:p>
      <w:pPr>
        <w:spacing w:after="0" w:line="19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We currently manufacture our current marketed products, pipeline products, and products for third parties in our manufacturing and testing facilities, and if we cannot maintain appropriate FDA status for these facilities, we may be adversely affected, and may not be able to sell, manufacture or commercialize these products.</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currently operate under the Warning Letter due to issues identified by the FDA in their prior inspections while the Boca Facility was under Biotest’s ownership and operational control. We engaged a consulting firm with extensive experience in remediating compliance and inspection issues related to quality management systems and which manages a robust team of subject matter experts in plasma derived products and biologic drugs to assist us in addressing all identified CMC and cGMP issues and deficiencies. We believe that we have successfully closed out the April 2018 FDA inspection of the Boca Facility, however there can be no assurances as to the timing by which the FDA may make such a determination after any inspection.</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If we do not receive FDA approval for additional plasma collection centers, including our third center for which construction was completed in late 2017, before January 1, 2019, then we may be required to seek a waiver and extension from Biotest for the contractually required transfer of two of our facilities.</w:t>
      </w:r>
    </w:p>
    <w:p>
      <w:pPr>
        <w:spacing w:after="0" w:line="18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recently completed construction our third plasma center and plan to leverage our existing plasma center license in order to seek approval for this new facility with the FDA. The BLA for this facility was filed with the FDA in December 2017. If we do not receive FDA approval for this third plasma center on or before January 1, 2019, then we will be required to seek a waiver and extension from Biotest for our contractual obligation to transfer the two facilities under the Purchase Agreement. However, there can be no assurances that Biotest will waive or extend its rights with respect to such transfer. In the event Biotest refuses to waive and extend such right, we will be obligated to transfer the two facilities under the Purchase Agreement and risk not having an FDA-approved plasma center in the event of a delay or refusal to issue our future license for the new plasma center by the FDA. Any such delay or refusal to issue the license by the FDA could have a material adverse effect on our operations.</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53" w:name="page54"/>
    <w:bookmarkEnd w:id="5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substantial liabilities and may be required to limit commercialization of our products in response to product liability lawsuits.</w:t>
      </w:r>
    </w:p>
    <w:p>
      <w:pPr>
        <w:spacing w:after="0" w:line="23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Our inability to obtain sufficient product liability insurance at an acceptable cost to protect against potential product liability claims could prevent or inhibit the commercialization of pharmaceutical products we develop, either alone or with collaborators.</w:t>
      </w:r>
    </w:p>
    <w:p>
      <w:pPr>
        <w:spacing w:after="0" w:line="18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2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laws governing our conduct in the United States are enforceable on the federal and state levels by criminal, civil and administrative penalties. Violations of laws such as the Federal Food, Drug, and Cosmetic Act, the Social Security Act (including the Anti-Kickback Law), the Public Health Service Act and the Federal False Claims Act, and any regulations promulgated under the authority of the preceding, may result in jail sentences, fines or exclusion from federal and state programs, as may be determined by Medicare, Medicaid and the Department of Health and Human Services and other regulatory authorities as well as by the courts. Similarly, the violation of applicable laws, rules and regulations of the State of Florida with respect to the manufacture of our products and product candidates may result in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6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For example, under the Anti-Kickback Law and similar state laws and regulations, the offer or payment of anything of value for patient referrals, or in return for purchasing, leasing, ordering or arranging for or recommending the purchase, lease, or ordering of any time or service reimbursable in whole or in part by a federal health 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the Medicare and Medicaid programs. Arrangements with referral sources such as purchasers, group purchasing organizations, physicians and pharmacists must be structured with care to comply with applicable requirements. Also, certain business practices, such as payments of consulting fees to healthcare providers, sponsorship of educational or research grants, charitable donations, interactions with healthcare providers that prescribe products for uses not approved by the FDA and financial support for continuing medical education programs, must be conducted within narrowly prescribed and controlled limits to avoid any possibility of wrongfully influencing healthcare providers to prescribe or purchase particular products or as a reward for past prescribing. Under the Patient Protection and Affordable Care Act and the companion Health Care and Education Reconciliation Act, which together are referred to as the “Healthcare Reform Law”, such payments by pharmaceutical manufacturers to U.S. healthcare practitioners and academic medical centers must be publicly disclosed. A number of states have similar laws in place. Additional and stricter prohibitions could be implemented by federal and state authorities. Where such practices have been found to be improper incentives to use such products, government investigations and assessments of penalties against manufacturers have resulted in substantial damages and fines. Many manufacturers have been required to enter into consent decrees or orders that prescribe allowable corporate conduct.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54" w:name="page55"/>
    <w:bookmarkEnd w:id="54"/>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United States, Canada and the European Union cannot promote approved products for other indications that are not specifically approved by the competent regulatory authorities such as the FDA in the United States,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recently been brought against companies accused of promoting off-label uses of drugs, because such promotion induces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Anti-Kickback Law that applies to Medicare and Medicaid, and other health care fraud provisions, leading to the possibility of greatly increased qui tam suits by relators for perceived violations. Violations or allegations of violations of the foregoing restrictions could materially and adversely affect our business.</w:t>
      </w:r>
    </w:p>
    <w:p>
      <w:pPr>
        <w:spacing w:after="0" w:line="16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required to report detailed pricing information, net of included discounts, rebates and other concessions, to the Centers for Medicare &amp; Medicaid Services (“CMS”) for the purpose of calculating national reimbursement levels, certain federal prices and certain federal and state rebate obligations. Inaccurate or incomplete reporting of pricing information could result in liability under the False Claims Act, the federal Anti-Kickback Law and various other laws, rules and regulations.</w:t>
      </w:r>
    </w:p>
    <w:p>
      <w:pPr>
        <w:spacing w:after="0" w:line="18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will need to establish systems for collecting and reporting this data accurately to CMS and institute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United States, we must obtain and maintain regulatory approvals and comply with regulatory requirements in such jurisdictions. The approval procedures vary among countries in complexity and timing. We may not obtain approvals from regulatory authorities outside the United States on a timely basis, if at all, which would preclude us from commercializing products in those markets.</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United States or the European Union, we could be adversely affected.</w:t>
      </w:r>
    </w:p>
    <w:p>
      <w:pPr>
        <w:spacing w:after="0" w:line="19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Also, under the U.S. Foreign Corrupt Practices Act, the United States has increasingly focused on regulating the conduct by U.S. businesses occurring outside of the United States, generally prohibiting remuneration to foreign officials for the purpose of obtaining or retaining business. To enhance compliance with applicable health care laws, and mitigate potential liability in the event of noncompliance, regulatory authorities such as the U.S. Health and Human Services Department Office of Inspector General (the “OIG”) have recommended the adoption and implementation of a comprehensive health care compliance program that generally contains the elements of an effective compliance and ethics program described in Section 8B2.1 of the U.S. Sentencing Commission Guidelines Manual. Increasing numbers of U.S.-based pharmaceutical companies have such programs. In the future, we may need to adopt healthcare compliance and ethics programs that would incorporate the OIG's recommendations, and train our applicable employees in such compliance. Such a program may be expensive and may not assure that we will avoid compliance issues.</w:t>
      </w:r>
    </w:p>
    <w:p>
      <w:pPr>
        <w:spacing w:after="0" w:line="1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also required to comply with the applicable laws, rules, regulations and permit requirements of the various states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laws, rules, regulations and permits. Failure to appropriately comply with such state requirements could result in temporary or long-term cessation of our manufacturing operations, as well as fines and other sanctions. Any such penalties may have a material adverse effect on our business and results of operations.</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55" w:name="page56"/>
    <w:bookmarkEnd w:id="55"/>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manufacturing processes for plasma-based biologics are complex and involve biological intermediates that are susceptible to contamination.</w:t>
      </w:r>
    </w:p>
    <w:p>
      <w:pPr>
        <w:spacing w:after="0" w:line="24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ship or distribute our products,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work-in-progress in the ordinary course of business due to the complex nature of plasma, our processes and our products, unanticipated events may lead to write-offs and other costs materially in excess of our expectations and the reserves we have established for these purposes. Such write-offs and other costs could cause material fluctuations in our results of operations.</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Our ability to continue to produce safe and effective products depends on the safety of our plasma supply and manufacturing processes against transmittable diseases.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Despite overlapping safeguards, including the screening of donors and other steps to remove or inactivate viruses and other infectious disease causing agents, the risk of transmissible disease through blood plasma products cannot be entirely eliminated. For example, since plasma-derived therapeutics involves the use and purification of human plasma, there has been concern raised about the risk of transmitting human immunodeficiency virus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that a product's manufacturing process is inadequate to inactivate or remove an infectious agent, our ability to manufacture and distribute that product would be impaired. If a new infectious disease were to emerge in the human population,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56" w:name="page57"/>
    <w:bookmarkEnd w:id="56"/>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could become supply-constrained and our financial performance would suffer if we cannot obtain adequate quantities of FDA-approved source plasma with proper specifications.</w:t>
      </w:r>
    </w:p>
    <w:p>
      <w:pPr>
        <w:spacing w:after="0" w:line="17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In order for plasma to be used in the manufacturing of our products, the individual centers at which the plasma is collected must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An unsatisfactory inspection could prevent a new center from being licensed or risk the suspension or revocation of an existing license. We do not and will not have adequate plasma to manufacture our products. Therefore, we are reliant on the purchase of plasma from third parties to manufacture our products. We can give no assurances that appropriate plasma will be available to us on commercially reasonable terms, or at all, to manufacture our products. In order to maintain a plasma center's license, its operations must continue to conform to cGMP and other regulatory requirements. In the event that we determine that plasma was not collected in compliance with cGMP,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centers. This strategy is dependent upon our ability to maintain a cGMP compliant environment in both plasma centers and to expand production and attract donors to both centers. There is no assurance that the FDA will inspect and license our unlicensed plasma collection centers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centers to more efficient production levels may be affected by changes in the economic environment and population in selected regions where ADMA BioCenters operates its current or future plasma centers,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centers.</w:t>
      </w:r>
    </w:p>
    <w:p>
      <w:pPr>
        <w:spacing w:after="0" w:line="182"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 As the FDA BLA review process is ongoing, we are subject to information requests and communications from the FDA on a routine basis and may not have clarity on any or all specific aspects of the approval timing, language, name, claims and any other future requirements that may be imposed by the FDA or other governmental agencies for marketing, authorization and ultimately financial reimbursement for patient utilization.</w:t>
      </w:r>
    </w:p>
    <w:p>
      <w:pPr>
        <w:spacing w:after="0" w:line="16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ability to generate product revenues will be diminished if our products sell for inadequate prices or patients are unable to obtain adequate levels of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United States,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7" w:name="page58"/>
    <w:bookmarkEnd w:id="57"/>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new biosimilar pathway established as part of the healthcare reform may make it easier for competitors to market biosimilar products.</w:t>
      </w:r>
    </w:p>
    <w:p>
      <w:pPr>
        <w:spacing w:after="0" w:line="237"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Healthcare Reform Law introduced an abbreviated licensure pathway for biological products that are demonstrated to be biosimilar to an FDA-licensed biological product. A biological product may be demonstrated to be “biosimilar” if data show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The FDA approved the first biosimilar product in 2015, and approved three biosimilar products in 2016. As a result of the biosimilar pathway in the United States, we expect in the future to face greater competition from biosimilar products, including a possible increase in patent challenges.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Healthcare Reform Law in the United States may adversely affect our business.</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Through the March 2010 adoption of the Healthcare Reform Law in the United States, substantial changes are being made to the current system for paying for healthcare in the United States, including programs to extend medical benefits to millions of individuals who currently lack insurance coverage. The changes contemplated by the Healthcare Reform Law are subject to rule-making and implementation timelines that extend for several years, and this uncertainty limits our ability to forecast changes that may occur in the future. However, implementation has already begun with respect to certain significant cost-saving measures under the Healthcare Reform Law, for example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the U.S. Department of Health and Human Services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Effective January 1, 2010, the Healthcare Reform Law generally increased the size of the Medicaid rebates paid by manufacturers for single source and innovator multiple source (brand name) drug products from a minimum of 15.1% to a minimum of 23.1% of AMP, subject to certain exceptions. For non-innovator multiple source (generic) products, the rebate percentage is increased from a minimum of 11.0% to a minimum of 13.0% of AMP. In 2010, the Healthcare Reform Law also newly extended this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8" w:name="page59"/>
    <w:bookmarkEnd w:id="58"/>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 The Healthcare Reform Law established the Center for Medicare and Medicaid Innovation within CMS to test innovative payment and service delivery models to lower Medicare and Medicaid spending, potentially including prescription drug spending. Funding has been allocated to support the mission of the Center for Medicare and Medicaid Innovation through 2019.</w:t>
      </w:r>
    </w:p>
    <w:p>
      <w:pPr>
        <w:spacing w:after="0" w:line="15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Healthcare Reform Law also creates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the U.S. Department of Health and Human Services, and reimburse each Medicare Part D plan sponsor an amount equal to 50%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6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There have been repeated attempts by Congress to repeal or change the Healthcare Reform Law. At this time, it remains unclear whether there will be any changes made to or any repeal or replacement of the Healthcare Reform Law, with respect to certain of its provisions or in its entirety.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worldwide economy may adversely impact our business.</w:t>
      </w:r>
    </w:p>
    <w:p>
      <w:pPr>
        <w:spacing w:after="0" w:line="225"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The difficult economic environment may adversely affect demand for our products. RI-002, our current product candidate, is expected to be sold to hospitals, specialty pharmacies and clinicians in the United States. As a result of loss of jobs, patients may lose medical insurance and be unable to purchase our products or may be unable to pay their share of deductibles or co-payments. Hospitals adversely affected by the economy may steer patients to less costly therapies, resulting in a reduction in demand, or demand may shift to public health hospitals, which may purchase at a lower government price.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Capital Requirements and Other Financial Matters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require additional funding and may be unable to raise capital when needed, which would force us to delay, curtail or eliminate one or more of our research and development programs or commercialization efforts.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operations have consumed substantial amounts of cash since inception. For the six three months ended June 30, 2018 and 2017, we had negative cash flows from operations of $31.3 million and $14.2 million, respectively, and for the years ended December 31, 2017 and 2016, we had negative cash flows from operations of approximately $37.3 million and $18.3 million, respectively. We expect to continue to spend substantial amounts on product development, including commercialization activities, procuring raw material plasma, manufacturing, conducting potential future clinical trials for our product candidates and purchasing clinical trial materials from our suppliers. We currently anticipate, based upon our projected revenue and expenditures, as well as the additional $10.0 million we expect to be able to access under the Credit Agreement, that our current cash, cash equivalents and accounts receivable will be sufficient to fund our operations, as currently conducted, into the second quarter of 2019. In order to have sufficient cash to fund our operations thereafter and to continue as a going concern, we will need to raise additional equity or debt financing prior to the end of the second quarter of 2019. This time frame may change based upon how quickly we are able to execute on our operational initiatives and the various financing options available to us. However, if the assumptions underlying our estimated expenses prove to be incorrect, we may have to raise additional capital sooner than we currently expect. Until such time, if ever, as we can generate a sufficient amount of product revenue to achieve profitability, we expect to continue to finance our operations through additional equity or debt financings or corporate collaboration and licensing arrangements. If we are unable to raise additional capital as needed, we will have to delay, curtail or eliminate our product development activities, including conducting clinical trials for our product candidates and purchasing clinical trial materials from our suppliers, as well as future commercialization efforts.</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9" w:name="page60"/>
    <w:bookmarkEnd w:id="59"/>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8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Our cash, cash equivalents and short-term investments could be adversely affected if the financial institutions in which we hold our cash, cash equivalents and short-term investments fail.</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93"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0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Securities Exchange Act of 1934, as amended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(“NOLs”) may be limited.</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have incurred substantial losses during our history. As of December 31, 2017, we had federal and state NOLs of $125.3 million and $201.5 million, respectively. These NOLs will begin to expire at various dates beginning in 2027, if not limited by triggering events prior to such time. Under the provisions of the Internal Revenue Code, changes in our ownership, in certain circumstances, will limit the amount of federal NOLs that can be utilized annually in the future to offset taxable income. In particular, Section 382 of the Internal Revenue Code imposes limitations on a company’s ability to use NOLs upon certain changes in such ownership. If we are limited in our ability to use our NOLs in future years in which we have taxable income, we will pay more taxes than if we were able to fully utilize our NOLs. We may experience ownership changes in the future as a result of subsequent shifts in our stock ownership that we cannot predict or control that could result in further limitations being placed on our ability to utilize our federal NOLs.</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60" w:name="page61"/>
    <w:bookmarkEnd w:id="6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Tax Cuts and Jobs Act (the “TCJA”) could adversely affect our business and financial condition.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December 22, 2017, President Trump signed into law the TCJA which significantly reforms the Internal Revenue Code. The TCJA,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generated after December 31, 2017 to 80% of current year taxable income and elimination of net operating loss carrybacks, immediate deductions for certain new investments instead of deductions for depreciation expense over time and modifying or repealing many business deductions and credits. Federal net operating losses arising in taxable years ending after December 31, 2017 will be carried forward indefinitely pursuant to the TCJA. We continue to examine the impact this tax reform legislation may have on our business. Notwithstanding the reduction in the corporate income tax rate, the overall impact of the TCJA is uncertain and our business and financial condition could be adversely affected. The impact of this tax reform on holders of our Common Stock is also uncertain and could be adverse. We urge our stockholders to consult with their legal and tax advisors with respect to such legislation and the potential tax consequences of investing in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and may fluctuate in a way that is disproportionate to our operating performance.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w:t>
      </w:r>
    </w:p>
    <w:p>
      <w:pPr>
        <w:spacing w:after="0" w:line="252" w:lineRule="exact"/>
        <w:rPr>
          <w:rFonts w:ascii="Arial" w:cs="Arial" w:eastAsia="Arial" w:hAnsi="Arial"/>
          <w:sz w:val="18"/>
          <w:szCs w:val="18"/>
          <w:color w:val="auto"/>
        </w:rPr>
      </w:pPr>
    </w:p>
    <w:p>
      <w:pPr>
        <w:ind w:left="660" w:right="44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leverage the anticipated benefits and synergies from the Biotest Transaction, including optimization of the combined businesses, operations and products and services, including the nature, strategy and focus of the combined company and the management and governance structure of the combined company;</w:t>
      </w:r>
    </w:p>
    <w:p>
      <w:pPr>
        <w:spacing w:after="0" w:line="20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or failure in initiating or completing preclinical or clinical trials or unsatisfactory results of these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in FDA approval for RI-002;</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acceptance, third-party reimbursement and sales of RI-002;</w:t>
      </w:r>
    </w:p>
    <w:p>
      <w:pPr>
        <w:spacing w:after="0" w:line="25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resume the manufacturing of BIVIGAM once the deficiencies identified in the CRL have been resolved by us to the satisfaction of the FDA;</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about us or about our competitors, including clinical trial results, regulatory approvals or new product introductions;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concerning our licensors or third-party vendors;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61" w:name="page62"/>
    <w:bookmarkEnd w:id="61"/>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6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in securities analysts’ estimates of our performance, or our failure to meet analysts’ expectations.</w:t>
      </w:r>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our Common Stock is extremely speculative and there can be no assurance of any return on any such investment.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 investment in our Common Stock is extremely speculative and there is no assurance that investors will obtain any return on their investment.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Investors will be subject to substantial risks involved in an investment in us, including the risk of losing their entire investment.</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impact the market price of our Common Stock.</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As of August 10, 2018 most of our 46,349,514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(“Rule 144”) or under effective registration statements. The 4,295,580 shares of Common Stock and the 8,591,160 NV Biotest Shares acquired by BPC in the Biotest Transaction were subject to a lock-up for six months after closing of the Biotest Transaction, which lock-up expired on December 6, 2017. For three years after the end of such six-month period, subject to certain limited exceptions, under the Stockholders Agreement, sales by the Biotest Trust (as the transferee of BPC’s remaining 10,109,534 shares of our Common Stock pursuant to the Biotest Transfer Agreement effective July 24, 2018) of our equity interests may not exceed 15% of the issued and outstanding Common Stock in any twelve-month period; provided, however, that if our market capitalization increases to double our market capitalization immediately following the closing of the Biotest Transaction, then the Biotest Trust may sell up to 20% of our issued and outstanding Common Stock in any twelve-month period; provided, further, that (x) if our market capitalization increases to triple our market capitalization immediately following the closing of the Biotest Transaction, or (y) upon the one-year anniversary of the Biotest Trust holding less than a 25% economic interest in us, then the Biotest Trust may sell its equity interests in us at any time (subject to applicable securities laws). On May 14, 2018, we, ADMA BioManufacturing and ADMA BioCenters entered into the Biotest Transfer Agreement with BPC, Biotest AG, Biotest US and the Biotest Trust whereby BPC transferred to us, for no cash consideration, the 8,591,160 NV Biotest Shares, representing 100% of our then-issued and outstanding non-voting common stock. Immediately upon transfer of the NV Biotest Shares to us, the shares were retired and are no longer available for issuance. At the closing of the Biotest Transaction, we entered into the Registration Rights Agreement with BPC, pursuant to which the Biotest Trust, as BPC’s transferee, has, among other things, certain registration rights under the Securities Act with respect to its shares of our Common Stock, subject to certain transfer restrictions. Sales of a substantial number of shares of our Common Stock, or the perception that such sales may occur, may adversely impact the market price of our Common Stock.</w:t>
      </w:r>
    </w:p>
    <w:p>
      <w:pPr>
        <w:spacing w:after="0" w:line="17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b w:val="1"/>
          <w:bCs w:val="1"/>
          <w:i w:val="1"/>
          <w:iCs w:val="1"/>
          <w:color w:val="auto"/>
        </w:rPr>
        <w:t>Our affiliates control a substantial amount of our shares of Common Stock. Provisions in our Amended and Restated Certificate of Incorporation (the “A&amp;R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4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Provisions of our A&amp;R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As of June 30, 2018, the Biotest Trust, our directors and executive officers and their affiliates beneficially owned in excess of 36% of the outstanding shares of our Common Stock. In addition, these provisions may limit the ability of stockholders to approve transactions that they may deem to be in their best interests. These provisions include:</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62" w:name="page63"/>
    <w:bookmarkEnd w:id="62"/>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Board to institute a stockholder rights plan, also known as a poison pill, that would work to dilute our stock;</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97"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9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addition, Section 203 of the Delaware General Corporation Law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As a result, capital appreciation, if any, of our Common Stock will be your sole source of gain for the foreseeable future.</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fail to adhere to the strict listing requirements of the Nasdaq Capital Market (“Nasdaq”), we may be subject to delisting. As a result, our stock price may decline and our Common Stock may be delisted. If our stock were no longer listed on Nasdaq, the liquidity of our securities likely would be impaired.</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Common Stock currently trades on Nasdaq under the symbol “ADMA.” If we fail to adhere to Nasdaq's strict listing criteria, including with respect to stock price, our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of and trading activity of our Common Stock. Although we currently satisfy the listing criteria for Nasdaq, if our stock price declines dramatically, we could be at risk of failing to meet the Nasdaq continued listing criteria.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affect your ability to sell our Common Stock.</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Because the price of our Common Stock has historically traded below $5.00 per share, our Common Stock may be subject to Rule 15g-9 under the Exchange Act, which imposes additional sales practice requirements on broker 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3" w:name="page64"/>
    <w:bookmarkEnd w:id="63"/>
    <w:p>
      <w:pPr>
        <w:ind w:left="1038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are an “emerging growth company,” as defined by the Jumpstart Our Business Startups Act (the “JOBS Act”). The JOBS Act contains provisions that, among other things, reduce certain reporting requirements for qualifying public companies. As an “emerging growth company,” we may, under Section 7(a)(2)(B) of the Securities Act, delay adoption of new or revised accounting standards applicable to public companies until such standards would otherwise apply to private companies. We may continue to take advantage of this extended transition period until the first to occur of the date that we (i) are no longer an “emerging growth company” or (ii) affirmatively and irrevocably opt out of this extended transition period.</w:t>
      </w:r>
    </w:p>
    <w:p>
      <w:pPr>
        <w:spacing w:after="0" w:line="17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could be an emerging growth company until December 31, 2018, which is the last day of the fiscal year following the fifth anniversary of the first sale of our common equity securities pursuant to an effective registration statement under the Securities Act. However, if certain events occur prior to the end of such five-year period, including if we become a “large accelerated filer,” our total annual gross revenues exceed $1.07 billion or we issue more than $1.0 billion of non-convertible debt in any three-year period, we would cease to be an emerging growth company prior to the end of such five-year period.</w:t>
      </w:r>
    </w:p>
    <w:p>
      <w:pPr>
        <w:spacing w:after="0" w:line="15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Securities Act Section 7(a)(2)(B),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 As an emerging growth company, we are also exempt from the requirement to have our independent registered public accounting firm provide an attestation report on our internal control over financial reporting.</w:t>
      </w:r>
    </w:p>
    <w:p>
      <w:pPr>
        <w:spacing w:after="0" w:line="18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cannot predict if investors will find our Common Stock less attractive as a result of our reliance on these exemptions. If some investors find our Common Stock less attractive as a result of any choice we make to reduce disclosure, there may be a less active trading market for our Common Stock, our stock price may be more volatile and our stock price may decline dramatically.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when we cease being an “emerging growth company.”</w:t>
      </w:r>
    </w:p>
    <w:p>
      <w:pPr>
        <w:spacing w:after="0" w:line="225"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When we cease to be an “emerging growth company” and when our independent registered public accounting firm is required to undertake an assessment of our internal control over financial reporting, the cost of our compliance with Section 404 of the Sarbanes-Oxley Act (“Section 404”) will correspondingly increase.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64" w:name="page65"/>
    <w:bookmarkEnd w:id="64"/>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A&amp;R Certificate of Incorporation authorizes the issuance of up to 10,000,000 shares of “blank check” preferred stock, with such designation rights and preferences as may be determined from time to time by the Board. Currently, our A&amp;R Certificate of Incorporation authorizes the issuance of up to 75,000,000 shares of Common Stock, of which 23,870,861 shares remain available for issuance and may be issued by us without stockholder approval, and up to 8,591,160 shares of non-voting common stock, all of which were reacquired by us in May 2018 pursuant to the Biotest Transfer Agreement and were subsequently retired and are no longer available for issuance.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following the signature page of this Quarterly Report on Form 10-Q.</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65" w:name="page66"/>
    <w:bookmarkEnd w:id="65"/>
    <w:p>
      <w:pPr>
        <w:ind w:left="10380"/>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3"/>
          </w:tcPr>
          <w:p>
            <w:pPr>
              <w:ind w:left="2880"/>
              <w:spacing w:after="0"/>
              <w:rPr>
                <w:sz w:val="20"/>
                <w:szCs w:val="20"/>
                <w:color w:val="auto"/>
              </w:rPr>
            </w:pPr>
            <w:r>
              <w:rPr>
                <w:rFonts w:ascii="Arial" w:cs="Arial" w:eastAsia="Arial" w:hAnsi="Arial"/>
                <w:sz w:val="18"/>
                <w:szCs w:val="18"/>
                <w:b w:val="1"/>
                <w:bCs w:val="1"/>
                <w:color w:val="auto"/>
              </w:rPr>
              <w:t>ADMA Biologics, Inc.</w:t>
            </w:r>
          </w:p>
        </w:tc>
      </w:tr>
      <w:tr>
        <w:trPr>
          <w:trHeight w:val="648"/>
        </w:trPr>
        <w:tc>
          <w:tcPr>
            <w:tcW w:w="3620" w:type="dxa"/>
            <w:vAlign w:val="bottom"/>
          </w:tcPr>
          <w:p>
            <w:pPr>
              <w:spacing w:after="0"/>
              <w:rPr>
                <w:sz w:val="20"/>
                <w:szCs w:val="20"/>
                <w:color w:val="auto"/>
              </w:rPr>
            </w:pPr>
            <w:r>
              <w:rPr>
                <w:rFonts w:ascii="Arial" w:cs="Arial" w:eastAsia="Arial" w:hAnsi="Arial"/>
                <w:sz w:val="18"/>
                <w:szCs w:val="18"/>
                <w:color w:val="auto"/>
              </w:rPr>
              <w:t>Date: August 10, 2018</w:t>
            </w:r>
          </w:p>
        </w:tc>
        <w:tc>
          <w:tcPr>
            <w:tcW w:w="7800" w:type="dxa"/>
            <w:vAlign w:val="bottom"/>
            <w:gridSpan w:val="3"/>
          </w:tcPr>
          <w:p>
            <w:pPr>
              <w:ind w:left="2880"/>
              <w:spacing w:after="0"/>
              <w:rPr>
                <w:sz w:val="20"/>
                <w:szCs w:val="20"/>
                <w:color w:val="auto"/>
              </w:rPr>
            </w:pPr>
            <w:r>
              <w:rPr>
                <w:rFonts w:ascii="Arial" w:cs="Arial" w:eastAsia="Arial" w:hAnsi="Arial"/>
                <w:sz w:val="18"/>
                <w:szCs w:val="18"/>
                <w:color w:val="auto"/>
              </w:rPr>
              <w:t>By:  /s/ Adam S. Grossman</w:t>
            </w:r>
          </w:p>
        </w:tc>
      </w:tr>
      <w:tr>
        <w:trPr>
          <w:trHeight w:val="195"/>
        </w:trPr>
        <w:tc>
          <w:tcPr>
            <w:tcW w:w="36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Adam S. Grossman</w:t>
            </w:r>
          </w:p>
        </w:tc>
      </w:tr>
      <w:tr>
        <w:trPr>
          <w:trHeight w:val="230"/>
        </w:trPr>
        <w:tc>
          <w:tcPr>
            <w:tcW w:w="36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864"/>
        </w:trPr>
        <w:tc>
          <w:tcPr>
            <w:tcW w:w="3620" w:type="dxa"/>
            <w:vAlign w:val="bottom"/>
          </w:tcPr>
          <w:p>
            <w:pPr>
              <w:spacing w:after="0"/>
              <w:rPr>
                <w:sz w:val="20"/>
                <w:szCs w:val="20"/>
                <w:color w:val="auto"/>
              </w:rPr>
            </w:pPr>
            <w:r>
              <w:rPr>
                <w:rFonts w:ascii="Arial" w:cs="Arial" w:eastAsia="Arial" w:hAnsi="Arial"/>
                <w:sz w:val="18"/>
                <w:szCs w:val="18"/>
                <w:color w:val="auto"/>
              </w:rPr>
              <w:t>Date: August 10, 2018</w:t>
            </w:r>
          </w:p>
        </w:tc>
        <w:tc>
          <w:tcPr>
            <w:tcW w:w="7800" w:type="dxa"/>
            <w:vAlign w:val="bottom"/>
            <w:gridSpan w:val="3"/>
          </w:tcPr>
          <w:p>
            <w:pPr>
              <w:ind w:left="2880"/>
              <w:spacing w:after="0"/>
              <w:rPr>
                <w:sz w:val="20"/>
                <w:szCs w:val="20"/>
                <w:color w:val="auto"/>
              </w:rPr>
            </w:pPr>
            <w:r>
              <w:rPr>
                <w:rFonts w:ascii="Arial" w:cs="Arial" w:eastAsia="Arial" w:hAnsi="Arial"/>
                <w:sz w:val="18"/>
                <w:szCs w:val="18"/>
                <w:color w:val="auto"/>
              </w:rPr>
              <w:t>By:  /s/ Brian Lenz</w:t>
            </w:r>
          </w:p>
        </w:tc>
      </w:tr>
      <w:tr>
        <w:trPr>
          <w:trHeight w:val="195"/>
        </w:trPr>
        <w:tc>
          <w:tcPr>
            <w:tcW w:w="36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Brian Lenz</w:t>
            </w:r>
          </w:p>
        </w:tc>
      </w:tr>
      <w:tr>
        <w:trPr>
          <w:trHeight w:val="230"/>
        </w:trPr>
        <w:tc>
          <w:tcPr>
            <w:tcW w:w="36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80"/>
              <w:spacing w:after="0"/>
              <w:rPr>
                <w:sz w:val="20"/>
                <w:szCs w:val="20"/>
                <w:color w:val="auto"/>
              </w:rPr>
            </w:pPr>
            <w:r>
              <w:rPr>
                <w:rFonts w:ascii="Arial" w:cs="Arial" w:eastAsia="Arial" w:hAnsi="Arial"/>
                <w:sz w:val="18"/>
                <w:szCs w:val="18"/>
                <w:color w:val="auto"/>
                <w:w w:val="93"/>
              </w:rPr>
              <w:t>Executive Vice President and Chief Financial Officer</w:t>
            </w:r>
          </w:p>
        </w:tc>
      </w:tr>
      <w:tr>
        <w:trPr>
          <w:trHeight w:val="763"/>
        </w:trPr>
        <w:tc>
          <w:tcPr>
            <w:tcW w:w="36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62</w:t>
            </w:r>
          </w:p>
        </w:tc>
        <w:tc>
          <w:tcPr>
            <w:tcW w:w="5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0" w:type="dxa"/>
            <w:vAlign w:val="bottom"/>
            <w:tcBorders>
              <w:bottom w:val="single" w:sz="8" w:color="0000EE"/>
            </w:tcBorders>
            <w:gridSpan w:val="7"/>
          </w:tcPr>
          <w:p>
            <w:pPr>
              <w:spacing w:after="0"/>
              <w:rPr>
                <w:rFonts w:ascii="Arial" w:cs="Arial" w:eastAsia="Arial" w:hAnsi="Arial"/>
                <w:sz w:val="14"/>
                <w:szCs w:val="14"/>
                <w:i w:val="1"/>
                <w:iCs w:val="1"/>
                <w:color w:val="0000EE"/>
                <w:w w:val="88"/>
              </w:rPr>
            </w:pPr>
            <w:hyperlink w:anchor="page2">
              <w:r>
                <w:rPr>
                  <w:rFonts w:ascii="Arial" w:cs="Arial" w:eastAsia="Arial" w:hAnsi="Arial"/>
                  <w:sz w:val="14"/>
                  <w:szCs w:val="14"/>
                  <w:i w:val="1"/>
                  <w:iCs w:val="1"/>
                  <w:color w:val="0000EE"/>
                  <w:w w:val="88"/>
                </w:rPr>
                <w:t>Table of Contents</w:t>
              </w:r>
            </w:hyperlink>
          </w:p>
        </w:tc>
      </w:tr>
      <w:tr>
        <w:trPr>
          <w:trHeight w:val="534"/>
        </w:trPr>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80" w:type="dxa"/>
            <w:vAlign w:val="bottom"/>
            <w:gridSpan w:val="8"/>
          </w:tcPr>
          <w:p>
            <w:pPr>
              <w:ind w:left="5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Number</w:t>
            </w:r>
          </w:p>
        </w:tc>
        <w:tc>
          <w:tcPr>
            <w:tcW w:w="6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740" w:type="dxa"/>
            <w:vAlign w:val="bottom"/>
            <w:gridSpan w:val="13"/>
          </w:tcPr>
          <w:p>
            <w:pPr>
              <w:spacing w:after="0"/>
              <w:rPr>
                <w:sz w:val="24"/>
                <w:szCs w:val="24"/>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620" w:type="dxa"/>
            <w:vAlign w:val="bottom"/>
          </w:tcPr>
          <w:p>
            <w:pPr>
              <w:spacing w:after="0"/>
              <w:rPr>
                <w:sz w:val="17"/>
                <w:szCs w:val="17"/>
                <w:color w:val="auto"/>
              </w:rPr>
            </w:pPr>
          </w:p>
        </w:tc>
        <w:tc>
          <w:tcPr>
            <w:tcW w:w="9580" w:type="dxa"/>
            <w:vAlign w:val="bottom"/>
            <w:gridSpan w:val="14"/>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Share Transfer, Amendment and Release Agreement, dated as of May 14, 2018, by and among Biotest Pharmaceuticals Corporation,</w:t>
              </w:r>
            </w:hyperlink>
          </w:p>
        </w:tc>
      </w:tr>
      <w:tr>
        <w:trPr>
          <w:trHeight w:val="196"/>
        </w:trPr>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68">
              <w:r>
                <w:rPr>
                  <w:rFonts w:ascii="Arial" w:cs="Arial" w:eastAsia="Arial" w:hAnsi="Arial"/>
                  <w:sz w:val="18"/>
                  <w:szCs w:val="18"/>
                  <w:color w:val="0000EE"/>
                  <w:w w:val="94"/>
                </w:rPr>
                <w:t>Biotest AG, The Biotest Divestiture Trust, Biotest US Corporation, ADMA BioManufacturing, LLC, ADMA Biologics, Inc. and</w:t>
              </w:r>
            </w:hyperlink>
          </w:p>
        </w:tc>
        <w:tc>
          <w:tcPr>
            <w:tcW w:w="260" w:type="dxa"/>
            <w:vAlign w:val="bottom"/>
            <w:tcBorders>
              <w:top w:val="single" w:sz="8" w:color="0000EE"/>
            </w:tcBorders>
            <w:gridSpan w:val="4"/>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80" w:type="dxa"/>
            <w:vAlign w:val="bottom"/>
            <w:gridSpan w:val="1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ADMA Bio Centers Georgia Inc.</w:t>
              </w:r>
            </w:hyperlink>
          </w:p>
        </w:tc>
      </w:tr>
      <w:tr>
        <w:trPr>
          <w:trHeight w:val="20"/>
        </w:trPr>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620" w:type="dxa"/>
            <w:vAlign w:val="bottom"/>
          </w:tcPr>
          <w:p>
            <w:pPr>
              <w:spacing w:after="0"/>
              <w:rPr>
                <w:sz w:val="17"/>
                <w:szCs w:val="17"/>
                <w:color w:val="auto"/>
              </w:rPr>
            </w:pPr>
          </w:p>
        </w:tc>
        <w:tc>
          <w:tcPr>
            <w:tcW w:w="9580" w:type="dxa"/>
            <w:vAlign w:val="bottom"/>
            <w:gridSpan w:val="14"/>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Amendment #1 to the Plasma Supply Agreement, dated as of July 19, 2018, by and between Biotest Pharmaceuticals Corporation</w:t>
              </w:r>
            </w:hyperlink>
          </w:p>
        </w:tc>
      </w:tr>
      <w:tr>
        <w:trPr>
          <w:trHeight w:val="196"/>
        </w:trPr>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5"/>
              </w:rPr>
            </w:pPr>
            <w:hyperlink w:anchor="page79">
              <w:r>
                <w:rPr>
                  <w:rFonts w:ascii="Arial" w:cs="Arial" w:eastAsia="Arial" w:hAnsi="Arial"/>
                  <w:sz w:val="18"/>
                  <w:szCs w:val="18"/>
                  <w:color w:val="0000EE"/>
                  <w:w w:val="95"/>
                </w:rPr>
                <w:t>and ADMA BioManufacturing, LLC.</w:t>
              </w:r>
            </w:hyperlink>
          </w:p>
        </w:tc>
        <w:tc>
          <w:tcPr>
            <w:tcW w:w="6620" w:type="dxa"/>
            <w:vAlign w:val="bottom"/>
            <w:tcBorders>
              <w:top w:val="single" w:sz="8" w:color="0000EE"/>
            </w:tcBorders>
            <w:gridSpan w:val="4"/>
          </w:tcPr>
          <w:p>
            <w:pPr>
              <w:spacing w:after="0"/>
              <w:rPr>
                <w:sz w:val="17"/>
                <w:szCs w:val="17"/>
                <w:color w:val="auto"/>
              </w:rPr>
            </w:pPr>
          </w:p>
        </w:tc>
        <w:tc>
          <w:tcPr>
            <w:tcW w:w="260" w:type="dxa"/>
            <w:vAlign w:val="bottom"/>
            <w:gridSpan w:val="4"/>
          </w:tcPr>
          <w:p>
            <w:pPr>
              <w:spacing w:after="0"/>
              <w:rPr>
                <w:sz w:val="17"/>
                <w:szCs w:val="17"/>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620" w:type="dxa"/>
            <w:vAlign w:val="bottom"/>
          </w:tcPr>
          <w:p>
            <w:pPr>
              <w:spacing w:after="0"/>
              <w:rPr>
                <w:sz w:val="17"/>
                <w:szCs w:val="17"/>
                <w:color w:val="auto"/>
              </w:rPr>
            </w:pPr>
          </w:p>
        </w:tc>
        <w:tc>
          <w:tcPr>
            <w:tcW w:w="92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Amendment to Plasma Purchase Agreement, dated as of July 19, 2018, by and between Biotest Pharmaceuticals Corporation and</w:t>
              </w:r>
            </w:hyperlink>
          </w:p>
        </w:tc>
        <w:tc>
          <w:tcPr>
            <w:tcW w:w="300" w:type="dxa"/>
            <w:vAlign w:val="bottom"/>
            <w:gridSpan w:val="5"/>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82">
              <w:r>
                <w:rPr>
                  <w:rFonts w:ascii="Arial" w:cs="Arial" w:eastAsia="Arial" w:hAnsi="Arial"/>
                  <w:sz w:val="18"/>
                  <w:szCs w:val="18"/>
                  <w:color w:val="0000EE"/>
                  <w:w w:val="97"/>
                </w:rPr>
                <w:t>ADMA BioManufacturing, LLC.</w:t>
              </w:r>
            </w:hyperlink>
          </w:p>
        </w:tc>
        <w:tc>
          <w:tcPr>
            <w:tcW w:w="7180" w:type="dxa"/>
            <w:vAlign w:val="bottom"/>
            <w:gridSpan w:val="9"/>
          </w:tcPr>
          <w:p>
            <w:pPr>
              <w:spacing w:after="0"/>
              <w:rPr>
                <w:sz w:val="17"/>
                <w:szCs w:val="17"/>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620" w:type="dxa"/>
            <w:vAlign w:val="bottom"/>
          </w:tcPr>
          <w:p>
            <w:pPr>
              <w:spacing w:after="0"/>
              <w:rPr>
                <w:sz w:val="17"/>
                <w:szCs w:val="17"/>
                <w:color w:val="auto"/>
              </w:rPr>
            </w:pPr>
          </w:p>
        </w:tc>
        <w:tc>
          <w:tcPr>
            <w:tcW w:w="9580" w:type="dxa"/>
            <w:vAlign w:val="bottom"/>
            <w:gridSpan w:val="14"/>
          </w:tcPr>
          <w:p>
            <w:pPr>
              <w:spacing w:after="0" w:line="19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Certification of Principal Executive Officer pursuant to Rules 13a-14(a) and 15d-14(a), as adopted pursuant to Section 302 of the</w:t>
              </w:r>
            </w:hyperlink>
          </w:p>
        </w:tc>
      </w:tr>
      <w:tr>
        <w:trPr>
          <w:trHeight w:val="196"/>
        </w:trPr>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Sarbanes-Oxley Act of 2002.</w:t>
              </w:r>
            </w:hyperlink>
          </w:p>
        </w:tc>
        <w:tc>
          <w:tcPr>
            <w:tcW w:w="7180" w:type="dxa"/>
            <w:vAlign w:val="bottom"/>
            <w:tcBorders>
              <w:top w:val="single" w:sz="8" w:color="0000EE"/>
            </w:tcBorders>
            <w:gridSpan w:val="6"/>
          </w:tcPr>
          <w:p>
            <w:pPr>
              <w:spacing w:after="0"/>
              <w:rPr>
                <w:sz w:val="17"/>
                <w:szCs w:val="17"/>
                <w:color w:val="auto"/>
              </w:rPr>
            </w:pPr>
          </w:p>
        </w:tc>
        <w:tc>
          <w:tcPr>
            <w:tcW w:w="300" w:type="dxa"/>
            <w:vAlign w:val="bottom"/>
            <w:gridSpan w:val="5"/>
          </w:tcPr>
          <w:p>
            <w:pPr>
              <w:spacing w:after="0"/>
              <w:rPr>
                <w:sz w:val="17"/>
                <w:szCs w:val="17"/>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620" w:type="dxa"/>
            <w:vAlign w:val="bottom"/>
          </w:tcPr>
          <w:p>
            <w:pPr>
              <w:spacing w:after="0"/>
              <w:rPr>
                <w:sz w:val="17"/>
                <w:szCs w:val="17"/>
                <w:color w:val="auto"/>
              </w:rPr>
            </w:pPr>
          </w:p>
        </w:tc>
        <w:tc>
          <w:tcPr>
            <w:tcW w:w="92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Certification of Principal Financial Officer pursuant to Rules 13a-14(a) and 15d-14(a), as adopted pursuant to Section 302 of the</w:t>
              </w:r>
            </w:hyperlink>
          </w:p>
        </w:tc>
        <w:tc>
          <w:tcPr>
            <w:tcW w:w="340" w:type="dxa"/>
            <w:vAlign w:val="bottom"/>
            <w:gridSpan w:val="6"/>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Sarbanes-Oxley Act of 2002.</w:t>
              </w:r>
            </w:hyperlink>
          </w:p>
        </w:tc>
        <w:tc>
          <w:tcPr>
            <w:tcW w:w="7480" w:type="dxa"/>
            <w:vAlign w:val="bottom"/>
            <w:gridSpan w:val="11"/>
          </w:tcPr>
          <w:p>
            <w:pPr>
              <w:spacing w:after="0"/>
              <w:rPr>
                <w:sz w:val="17"/>
                <w:szCs w:val="17"/>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620" w:type="dxa"/>
            <w:vAlign w:val="bottom"/>
          </w:tcPr>
          <w:p>
            <w:pPr>
              <w:spacing w:after="0"/>
              <w:rPr>
                <w:sz w:val="17"/>
                <w:szCs w:val="17"/>
                <w:color w:val="auto"/>
              </w:rPr>
            </w:pPr>
          </w:p>
        </w:tc>
        <w:tc>
          <w:tcPr>
            <w:tcW w:w="9580" w:type="dxa"/>
            <w:vAlign w:val="bottom"/>
            <w:gridSpan w:val="14"/>
          </w:tcPr>
          <w:p>
            <w:pPr>
              <w:spacing w:after="0" w:line="19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Certification of Principal Executive Officer pursuant to 18 U.S.C Section 1350, as adopted pursuant to Section 906 of the Sarbanes-</w:t>
              </w:r>
            </w:hyperlink>
          </w:p>
        </w:tc>
      </w:tr>
      <w:tr>
        <w:trPr>
          <w:trHeight w:val="196"/>
        </w:trPr>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Oxley Act of 2002.</w:t>
              </w:r>
            </w:hyperlink>
          </w:p>
        </w:tc>
        <w:tc>
          <w:tcPr>
            <w:tcW w:w="100" w:type="dxa"/>
            <w:vAlign w:val="bottom"/>
            <w:gridSpan w:val="2"/>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60" w:type="dxa"/>
            <w:vAlign w:val="bottom"/>
            <w:gridSpan w:val="9"/>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620" w:type="dxa"/>
            <w:vAlign w:val="bottom"/>
          </w:tcPr>
          <w:p>
            <w:pPr>
              <w:spacing w:after="0"/>
              <w:rPr>
                <w:sz w:val="17"/>
                <w:szCs w:val="17"/>
                <w:color w:val="auto"/>
              </w:rPr>
            </w:pPr>
          </w:p>
        </w:tc>
        <w:tc>
          <w:tcPr>
            <w:tcW w:w="94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140" w:type="dxa"/>
            <w:vAlign w:val="bottom"/>
            <w:gridSpan w:val="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80" w:type="dxa"/>
            <w:vAlign w:val="bottom"/>
            <w:gridSpan w:val="1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Oxley Act of 2002.</w:t>
              </w:r>
            </w:hyperlink>
          </w:p>
        </w:tc>
      </w:tr>
      <w:tr>
        <w:trPr>
          <w:trHeight w:val="20"/>
        </w:trPr>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200" w:type="dxa"/>
            <w:vAlign w:val="bottom"/>
            <w:gridSpan w:val="12"/>
          </w:tcPr>
          <w:p>
            <w:pPr>
              <w:spacing w:after="0" w:line="20" w:lineRule="exact"/>
              <w:rPr>
                <w:sz w:val="1"/>
                <w:szCs w:val="1"/>
                <w:color w:val="auto"/>
              </w:rPr>
            </w:pP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620" w:type="dxa"/>
            <w:vAlign w:val="bottom"/>
          </w:tcPr>
          <w:p>
            <w:pPr>
              <w:spacing w:after="0"/>
              <w:rPr>
                <w:sz w:val="19"/>
                <w:szCs w:val="19"/>
                <w:color w:val="auto"/>
              </w:rPr>
            </w:pPr>
          </w:p>
        </w:tc>
        <w:tc>
          <w:tcPr>
            <w:tcW w:w="9580" w:type="dxa"/>
            <w:vAlign w:val="bottom"/>
            <w:gridSpan w:val="14"/>
          </w:tcPr>
          <w:p>
            <w:pPr>
              <w:spacing w:after="0"/>
              <w:rPr>
                <w:sz w:val="20"/>
                <w:szCs w:val="20"/>
                <w:color w:val="auto"/>
              </w:rPr>
            </w:pPr>
            <w:r>
              <w:rPr>
                <w:rFonts w:ascii="Arial" w:cs="Arial" w:eastAsia="Arial" w:hAnsi="Arial"/>
                <w:sz w:val="18"/>
                <w:szCs w:val="18"/>
                <w:color w:val="auto"/>
                <w:w w:val="96"/>
              </w:rPr>
              <w:t>The following materials from ADMA Biologics, Inc.’s Form 10-Q for the quarter ended June 30, 2018, formatted in Extensible</w:t>
            </w:r>
          </w:p>
        </w:tc>
      </w:tr>
      <w:tr>
        <w:trPr>
          <w:trHeight w:val="230"/>
        </w:trPr>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80" w:type="dxa"/>
            <w:vAlign w:val="bottom"/>
            <w:gridSpan w:val="14"/>
          </w:tcPr>
          <w:p>
            <w:pPr>
              <w:spacing w:after="0"/>
              <w:rPr>
                <w:sz w:val="20"/>
                <w:szCs w:val="20"/>
                <w:color w:val="auto"/>
              </w:rPr>
            </w:pPr>
            <w:r>
              <w:rPr>
                <w:rFonts w:ascii="Arial" w:cs="Arial" w:eastAsia="Arial" w:hAnsi="Arial"/>
                <w:sz w:val="18"/>
                <w:szCs w:val="18"/>
                <w:color w:val="auto"/>
                <w:w w:val="90"/>
              </w:rPr>
              <w:t>Business Reporting Language (XBRL): (i) Condensed Consolidated Balance Sheets as of June 30, 2018 (Unaudited) and December</w:t>
            </w:r>
          </w:p>
        </w:tc>
      </w:tr>
    </w:tbl>
    <w:p>
      <w:pPr>
        <w:ind w:left="1800"/>
        <w:spacing w:after="0"/>
        <w:rPr>
          <w:sz w:val="20"/>
          <w:szCs w:val="20"/>
          <w:color w:val="auto"/>
        </w:rPr>
      </w:pPr>
      <w:r>
        <w:rPr>
          <w:rFonts w:ascii="Arial" w:cs="Arial" w:eastAsia="Arial" w:hAnsi="Arial"/>
          <w:sz w:val="16"/>
          <w:szCs w:val="16"/>
          <w:color w:val="auto"/>
        </w:rPr>
        <w:t>31, 2017, (ii) Condensed Consolidated Statements of Operations (Unaudited) for the three and six months ended June 30, 2018 and</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2017, (iii) Condensed Consolidated Statement of Changes in Stockholders' Equity (Unaudited) for the six months ended June 30,</w:t>
      </w:r>
    </w:p>
    <w:p>
      <w:pPr>
        <w:spacing w:after="0" w:line="32"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2018, (iv) Condensed Consolidated Statements of Cash Flows (Unaudited) for the six months ended June 30, 2018 and 2017, and</w:t>
      </w:r>
    </w:p>
    <w:p>
      <w:pPr>
        <w:spacing w:after="0" w:line="32" w:lineRule="exact"/>
        <w:rPr>
          <w:sz w:val="20"/>
          <w:szCs w:val="20"/>
          <w:color w:val="auto"/>
        </w:rPr>
      </w:pPr>
    </w:p>
    <w:p>
      <w:pPr>
        <w:ind w:left="2040" w:hanging="249"/>
        <w:spacing w:after="0"/>
        <w:tabs>
          <w:tab w:leader="none" w:pos="2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Notes to (Unaudited) Condensed Consolidated Financial Statements.</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accordance with SEC Release 33-8238, Exhibit 32.1 and 32.2 are being furnished and not filed.</w:t>
      </w:r>
    </w:p>
    <w:p>
      <w:pPr>
        <w:spacing w:after="0" w:line="225" w:lineRule="exact"/>
        <w:rPr>
          <w:sz w:val="20"/>
          <w:szCs w:val="20"/>
          <w:color w:val="auto"/>
        </w:rPr>
      </w:pPr>
    </w:p>
    <w:p>
      <w:pPr>
        <w:ind w:right="160" w:firstLine="8"/>
        <w:spacing w:after="0" w:line="277" w:lineRule="auto"/>
        <w:tabs>
          <w:tab w:leader="none" w:pos="1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as to certain portions of this exhibit. Such portions have been redacted and submitted separately to the SEC.</w:t>
      </w:r>
    </w:p>
    <w:p>
      <w:pPr>
        <w:sectPr>
          <w:pgSz w:w="11900" w:h="16838" w:orient="portrait"/>
          <w:cols w:equalWidth="0" w:num="1">
            <w:col w:w="11380"/>
          </w:cols>
          <w:pgMar w:left="240" w:top="222" w:right="27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SHARE TRANSFER, AMENDMENT AND RELEASE AGREEMENT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THIS SHARE TRANSFER, AMENDMENT AND RELEASE AGREEMENT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May 14, 2018 (the “</w:t>
      </w:r>
      <w:r>
        <w:rPr>
          <w:rFonts w:ascii="Arial" w:cs="Arial" w:eastAsia="Arial" w:hAnsi="Arial"/>
          <w:sz w:val="17"/>
          <w:szCs w:val="17"/>
          <w:b w:val="1"/>
          <w:bCs w:val="1"/>
          <w:color w:val="auto"/>
        </w:rPr>
        <w:t>Execution Date</w:t>
      </w:r>
      <w:r>
        <w:rPr>
          <w:rFonts w:ascii="Arial" w:cs="Arial" w:eastAsia="Arial" w:hAnsi="Arial"/>
          <w:sz w:val="17"/>
          <w:szCs w:val="17"/>
          <w:color w:val="auto"/>
        </w:rPr>
        <w:t>”), is entered into by and among</w:t>
      </w:r>
      <w:r>
        <w:rPr>
          <w:rFonts w:ascii="Arial" w:cs="Arial" w:eastAsia="Arial" w:hAnsi="Arial"/>
          <w:sz w:val="17"/>
          <w:szCs w:val="17"/>
          <w:b w:val="1"/>
          <w:bCs w:val="1"/>
          <w:color w:val="auto"/>
        </w:rPr>
        <w:t xml:space="preserve"> BIOTEST PHARMACEUTICALS CORPORATION</w:t>
      </w:r>
      <w:r>
        <w:rPr>
          <w:rFonts w:ascii="Arial" w:cs="Arial" w:eastAsia="Arial" w:hAnsi="Arial"/>
          <w:sz w:val="17"/>
          <w:szCs w:val="17"/>
          <w:color w:val="auto"/>
        </w:rPr>
        <w:t>, a Delaware corporation (“</w:t>
      </w:r>
      <w:r>
        <w:rPr>
          <w:rFonts w:ascii="Arial" w:cs="Arial" w:eastAsia="Arial" w:hAnsi="Arial"/>
          <w:sz w:val="17"/>
          <w:szCs w:val="17"/>
          <w:b w:val="1"/>
          <w:bCs w:val="1"/>
          <w:color w:val="auto"/>
        </w:rPr>
        <w:t>BPC</w:t>
      </w:r>
      <w:r>
        <w:rPr>
          <w:rFonts w:ascii="Arial" w:cs="Arial" w:eastAsia="Arial" w:hAnsi="Arial"/>
          <w:sz w:val="17"/>
          <w:szCs w:val="17"/>
          <w:color w:val="auto"/>
        </w:rPr>
        <w:t>”),</w:t>
      </w:r>
      <w:r>
        <w:rPr>
          <w:rFonts w:ascii="Arial" w:cs="Arial" w:eastAsia="Arial" w:hAnsi="Arial"/>
          <w:sz w:val="17"/>
          <w:szCs w:val="17"/>
          <w:b w:val="1"/>
          <w:bCs w:val="1"/>
          <w:color w:val="auto"/>
        </w:rPr>
        <w:t xml:space="preserve"> ADMA BIOMANUFACTURING, LLC</w:t>
      </w:r>
      <w:r>
        <w:rPr>
          <w:rFonts w:ascii="Arial" w:cs="Arial" w:eastAsia="Arial" w:hAnsi="Arial"/>
          <w:sz w:val="17"/>
          <w:szCs w:val="17"/>
          <w:color w:val="auto"/>
        </w:rPr>
        <w:t>, a Delaware limited liability company (“</w:t>
      </w:r>
      <w:r>
        <w:rPr>
          <w:rFonts w:ascii="Arial" w:cs="Arial" w:eastAsia="Arial" w:hAnsi="Arial"/>
          <w:sz w:val="17"/>
          <w:szCs w:val="17"/>
          <w:b w:val="1"/>
          <w:bCs w:val="1"/>
          <w:color w:val="auto"/>
        </w:rPr>
        <w:t>ADMA BioManufacturing</w:t>
      </w:r>
      <w:r>
        <w:rPr>
          <w:rFonts w:ascii="Arial" w:cs="Arial" w:eastAsia="Arial" w:hAnsi="Arial"/>
          <w:sz w:val="17"/>
          <w:szCs w:val="17"/>
          <w:color w:val="auto"/>
        </w:rPr>
        <w:t>”),</w:t>
      </w:r>
      <w:r>
        <w:rPr>
          <w:rFonts w:ascii="Arial" w:cs="Arial" w:eastAsia="Arial" w:hAnsi="Arial"/>
          <w:sz w:val="17"/>
          <w:szCs w:val="17"/>
          <w:b w:val="1"/>
          <w:bCs w:val="1"/>
          <w:color w:val="auto"/>
        </w:rPr>
        <w:t xml:space="preserve"> ADMA BIOLOGICS, INC.</w:t>
      </w:r>
      <w:r>
        <w:rPr>
          <w:rFonts w:ascii="Arial" w:cs="Arial" w:eastAsia="Arial" w:hAnsi="Arial"/>
          <w:sz w:val="17"/>
          <w:szCs w:val="17"/>
          <w:color w:val="auto"/>
        </w:rPr>
        <w:t>, a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w:t>
      </w:r>
      <w:r>
        <w:rPr>
          <w:rFonts w:ascii="Arial" w:cs="Arial" w:eastAsia="Arial" w:hAnsi="Arial"/>
          <w:sz w:val="17"/>
          <w:szCs w:val="17"/>
          <w:b w:val="1"/>
          <w:bCs w:val="1"/>
          <w:color w:val="auto"/>
        </w:rPr>
        <w:t>ADMA Biologics</w:t>
      </w:r>
      <w:r>
        <w:rPr>
          <w:rFonts w:ascii="Arial" w:cs="Arial" w:eastAsia="Arial" w:hAnsi="Arial"/>
          <w:sz w:val="17"/>
          <w:szCs w:val="17"/>
          <w:color w:val="auto"/>
        </w:rPr>
        <w:t>” and, together with ADMA BioManufacturing, “</w:t>
      </w:r>
      <w:r>
        <w:rPr>
          <w:rFonts w:ascii="Arial" w:cs="Arial" w:eastAsia="Arial" w:hAnsi="Arial"/>
          <w:sz w:val="17"/>
          <w:szCs w:val="17"/>
          <w:b w:val="1"/>
          <w:bCs w:val="1"/>
          <w:color w:val="auto"/>
        </w:rPr>
        <w:t>ADMA</w:t>
      </w:r>
      <w:r>
        <w:rPr>
          <w:rFonts w:ascii="Arial" w:cs="Arial" w:eastAsia="Arial" w:hAnsi="Arial"/>
          <w:sz w:val="17"/>
          <w:szCs w:val="17"/>
          <w:color w:val="auto"/>
        </w:rPr>
        <w:t xml:space="preserve">”)), </w:t>
      </w:r>
      <w:r>
        <w:rPr>
          <w:rFonts w:ascii="Arial" w:cs="Arial" w:eastAsia="Arial" w:hAnsi="Arial"/>
          <w:sz w:val="17"/>
          <w:szCs w:val="17"/>
          <w:b w:val="1"/>
          <w:bCs w:val="1"/>
          <w:color w:val="auto"/>
        </w:rPr>
        <w:t>ADMA BIO CENTERS GEORGIA 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ADMA BioCenters</w:t>
      </w:r>
      <w:r>
        <w:rPr>
          <w:rFonts w:ascii="Arial" w:cs="Arial" w:eastAsia="Arial" w:hAnsi="Arial"/>
          <w:sz w:val="17"/>
          <w:szCs w:val="17"/>
          <w:color w:val="auto"/>
        </w:rPr>
        <w:t xml:space="preserve">”), </w:t>
      </w:r>
      <w:r>
        <w:rPr>
          <w:rFonts w:ascii="Arial" w:cs="Arial" w:eastAsia="Arial" w:hAnsi="Arial"/>
          <w:sz w:val="17"/>
          <w:szCs w:val="17"/>
          <w:b w:val="1"/>
          <w:bCs w:val="1"/>
          <w:color w:val="auto"/>
        </w:rPr>
        <w:t>BIOTEST AG</w:t>
      </w:r>
      <w:r>
        <w:rPr>
          <w:rFonts w:ascii="Arial" w:cs="Arial" w:eastAsia="Arial" w:hAnsi="Arial"/>
          <w:sz w:val="17"/>
          <w:szCs w:val="17"/>
          <w:color w:val="auto"/>
        </w:rPr>
        <w:t>, a company organized under the laws of Germany (“</w:t>
      </w:r>
      <w:r>
        <w:rPr>
          <w:rFonts w:ascii="Arial" w:cs="Arial" w:eastAsia="Arial" w:hAnsi="Arial"/>
          <w:sz w:val="17"/>
          <w:szCs w:val="17"/>
          <w:b w:val="1"/>
          <w:bCs w:val="1"/>
          <w:color w:val="auto"/>
        </w:rPr>
        <w:t>Biotest</w:t>
      </w:r>
      <w:r>
        <w:rPr>
          <w:rFonts w:ascii="Arial" w:cs="Arial" w:eastAsia="Arial" w:hAnsi="Arial"/>
          <w:sz w:val="17"/>
          <w:szCs w:val="17"/>
          <w:color w:val="auto"/>
        </w:rPr>
        <w:t xml:space="preserve">”), </w:t>
      </w:r>
      <w:r>
        <w:rPr>
          <w:rFonts w:ascii="Arial" w:cs="Arial" w:eastAsia="Arial" w:hAnsi="Arial"/>
          <w:sz w:val="17"/>
          <w:szCs w:val="17"/>
          <w:b w:val="1"/>
          <w:bCs w:val="1"/>
          <w:color w:val="auto"/>
        </w:rPr>
        <w:t>THE BIOTEST DIVESTITURE</w:t>
      </w:r>
      <w:r>
        <w:rPr>
          <w:rFonts w:ascii="Arial" w:cs="Arial" w:eastAsia="Arial" w:hAnsi="Arial"/>
          <w:sz w:val="17"/>
          <w:szCs w:val="17"/>
          <w:color w:val="auto"/>
        </w:rPr>
        <w:t xml:space="preserve"> </w:t>
      </w:r>
      <w:r>
        <w:rPr>
          <w:rFonts w:ascii="Arial" w:cs="Arial" w:eastAsia="Arial" w:hAnsi="Arial"/>
          <w:sz w:val="17"/>
          <w:szCs w:val="17"/>
          <w:b w:val="1"/>
          <w:bCs w:val="1"/>
          <w:color w:val="auto"/>
        </w:rPr>
        <w:t>TRUST</w:t>
      </w:r>
      <w:r>
        <w:rPr>
          <w:rFonts w:ascii="Arial" w:cs="Arial" w:eastAsia="Arial" w:hAnsi="Arial"/>
          <w:sz w:val="17"/>
          <w:szCs w:val="17"/>
          <w:color w:val="auto"/>
        </w:rPr>
        <w:t>, a Maryland trust (the “</w:t>
      </w:r>
      <w:r>
        <w:rPr>
          <w:rFonts w:ascii="Arial" w:cs="Arial" w:eastAsia="Arial" w:hAnsi="Arial"/>
          <w:sz w:val="17"/>
          <w:szCs w:val="17"/>
          <w:b w:val="1"/>
          <w:bCs w:val="1"/>
          <w:color w:val="auto"/>
        </w:rPr>
        <w:t>Trust</w:t>
      </w:r>
      <w:r>
        <w:rPr>
          <w:rFonts w:ascii="Arial" w:cs="Arial" w:eastAsia="Arial" w:hAnsi="Arial"/>
          <w:sz w:val="17"/>
          <w:szCs w:val="17"/>
          <w:color w:val="auto"/>
        </w:rPr>
        <w:t>”) and</w:t>
      </w:r>
      <w:r>
        <w:rPr>
          <w:rFonts w:ascii="Arial" w:cs="Arial" w:eastAsia="Arial" w:hAnsi="Arial"/>
          <w:sz w:val="17"/>
          <w:szCs w:val="17"/>
          <w:b w:val="1"/>
          <w:bCs w:val="1"/>
          <w:color w:val="auto"/>
        </w:rPr>
        <w:t xml:space="preserve"> BIOTEST US CORPORATION</w:t>
      </w:r>
      <w:r>
        <w:rPr>
          <w:rFonts w:ascii="Arial" w:cs="Arial" w:eastAsia="Arial" w:hAnsi="Arial"/>
          <w:sz w:val="17"/>
          <w:szCs w:val="17"/>
          <w:color w:val="auto"/>
        </w:rPr>
        <w:t>, a Delaware corporation (“</w:t>
      </w:r>
      <w:r>
        <w:rPr>
          <w:rFonts w:ascii="Arial" w:cs="Arial" w:eastAsia="Arial" w:hAnsi="Arial"/>
          <w:sz w:val="17"/>
          <w:szCs w:val="17"/>
          <w:b w:val="1"/>
          <w:bCs w:val="1"/>
          <w:color w:val="auto"/>
        </w:rPr>
        <w:t>Biotest US</w:t>
      </w:r>
      <w:r>
        <w:rPr>
          <w:rFonts w:ascii="Arial" w:cs="Arial" w:eastAsia="Arial" w:hAnsi="Arial"/>
          <w:sz w:val="17"/>
          <w:szCs w:val="17"/>
          <w:color w:val="auto"/>
        </w:rPr>
        <w:t>”). Each of BPC, ADMA, ADMA</w:t>
      </w:r>
      <w:r>
        <w:rPr>
          <w:rFonts w:ascii="Arial" w:cs="Arial" w:eastAsia="Arial" w:hAnsi="Arial"/>
          <w:sz w:val="17"/>
          <w:szCs w:val="17"/>
          <w:b w:val="1"/>
          <w:bCs w:val="1"/>
          <w:color w:val="auto"/>
        </w:rPr>
        <w:t xml:space="preserve"> </w:t>
      </w:r>
      <w:r>
        <w:rPr>
          <w:rFonts w:ascii="Arial" w:cs="Arial" w:eastAsia="Arial" w:hAnsi="Arial"/>
          <w:sz w:val="17"/>
          <w:szCs w:val="17"/>
          <w:color w:val="auto"/>
        </w:rPr>
        <w:t>BioCenters, Biotest, the Trust and Biotest US are sometimes referred to herein,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BPC, ADMA, Biotest US and Biotest are parties to that certain Master Purchase and Sale Agreement, dated as of January 21, 2017</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MPA</w:t>
      </w:r>
      <w:r>
        <w:rPr>
          <w:rFonts w:ascii="Arial" w:cs="Arial" w:eastAsia="Arial" w:hAnsi="Arial"/>
          <w:sz w:val="18"/>
          <w:szCs w:val="18"/>
          <w:color w:val="auto"/>
        </w:rPr>
        <w:t>”) (defined terms used herein but not otherwise defined shall have the meanings set forth in the MPA);</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transactions set forth in the MPA, and as a result of additional investments made by BPC in ADMA Biologics</w:t>
      </w:r>
      <w:r>
        <w:rPr>
          <w:rFonts w:ascii="Arial" w:cs="Arial" w:eastAsia="Arial" w:hAnsi="Arial"/>
          <w:sz w:val="18"/>
          <w:szCs w:val="18"/>
          <w:b w:val="1"/>
          <w:bCs w:val="1"/>
          <w:color w:val="auto"/>
        </w:rPr>
        <w:t xml:space="preserve"> </w:t>
      </w:r>
      <w:r>
        <w:rPr>
          <w:rFonts w:ascii="Arial" w:cs="Arial" w:eastAsia="Arial" w:hAnsi="Arial"/>
          <w:sz w:val="18"/>
          <w:szCs w:val="18"/>
          <w:color w:val="auto"/>
        </w:rPr>
        <w:t>stock, as contemplated in the MPA, BPC became the holder of ADMA Common Stock, consisting of 10,109,534 shares of voting ADMA Common Stock (the “</w:t>
      </w:r>
      <w:r>
        <w:rPr>
          <w:rFonts w:ascii="Arial" w:cs="Arial" w:eastAsia="Arial" w:hAnsi="Arial"/>
          <w:sz w:val="18"/>
          <w:szCs w:val="18"/>
          <w:b w:val="1"/>
          <w:bCs w:val="1"/>
          <w:color w:val="auto"/>
        </w:rPr>
        <w:t>ADMA Voting Shares</w:t>
      </w:r>
      <w:r>
        <w:rPr>
          <w:rFonts w:ascii="Arial" w:cs="Arial" w:eastAsia="Arial" w:hAnsi="Arial"/>
          <w:sz w:val="18"/>
          <w:szCs w:val="18"/>
          <w:color w:val="auto"/>
        </w:rPr>
        <w:t>”) and 8,591,160 shares of ADMA NV Capital Stock (the “</w:t>
      </w:r>
      <w:r>
        <w:rPr>
          <w:rFonts w:ascii="Arial" w:cs="Arial" w:eastAsia="Arial" w:hAnsi="Arial"/>
          <w:sz w:val="18"/>
          <w:szCs w:val="18"/>
          <w:b w:val="1"/>
          <w:bCs w:val="1"/>
          <w:color w:val="auto"/>
        </w:rPr>
        <w:t>ADMA Non-Voting Shares</w:t>
      </w:r>
      <w:r>
        <w:rPr>
          <w:rFonts w:ascii="Arial" w:cs="Arial" w:eastAsia="Arial" w:hAnsi="Arial"/>
          <w:sz w:val="18"/>
          <w:szCs w:val="18"/>
          <w:color w:val="auto"/>
        </w:rPr>
        <w:t>”) (the ADMA Voting Shares and ADMA Non-Voting Shares held by BPC are collectively referred to as the “</w:t>
      </w:r>
      <w:r>
        <w:rPr>
          <w:rFonts w:ascii="Arial" w:cs="Arial" w:eastAsia="Arial" w:hAnsi="Arial"/>
          <w:sz w:val="18"/>
          <w:szCs w:val="18"/>
          <w:b w:val="1"/>
          <w:bCs w:val="1"/>
          <w:color w:val="auto"/>
        </w:rPr>
        <w:t>ADMA Shares</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unrelated transactions involving Biotest, BPC and CREAT Group Corporation, BPC is required to sell and divest its</w:t>
      </w:r>
      <w:r>
        <w:rPr>
          <w:rFonts w:ascii="Arial" w:cs="Arial" w:eastAsia="Arial" w:hAnsi="Arial"/>
          <w:sz w:val="18"/>
          <w:szCs w:val="18"/>
          <w:b w:val="1"/>
          <w:bCs w:val="1"/>
          <w:color w:val="auto"/>
        </w:rPr>
        <w:t xml:space="preserve"> </w:t>
      </w:r>
      <w:r>
        <w:rPr>
          <w:rFonts w:ascii="Arial" w:cs="Arial" w:eastAsia="Arial" w:hAnsi="Arial"/>
          <w:sz w:val="18"/>
          <w:szCs w:val="18"/>
          <w:color w:val="auto"/>
        </w:rPr>
        <w:t>U.S. assets, including the ADMA Shares;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transactions set forth in the MPA, ADMA may be entitled to certain claims for indemnification by BPC and</w:t>
      </w:r>
      <w:r>
        <w:rPr>
          <w:rFonts w:ascii="Arial" w:cs="Arial" w:eastAsia="Arial" w:hAnsi="Arial"/>
          <w:sz w:val="18"/>
          <w:szCs w:val="18"/>
          <w:b w:val="1"/>
          <w:bCs w:val="1"/>
          <w:color w:val="auto"/>
        </w:rPr>
        <w:t xml:space="preserve"> </w:t>
      </w:r>
      <w:r>
        <w:rPr>
          <w:rFonts w:ascii="Arial" w:cs="Arial" w:eastAsia="Arial" w:hAnsi="Arial"/>
          <w:sz w:val="18"/>
          <w:szCs w:val="18"/>
          <w:color w:val="auto"/>
        </w:rPr>
        <w:t>Biotest under the terms of the MPA (“</w:t>
      </w:r>
      <w:r>
        <w:rPr>
          <w:rFonts w:ascii="Arial" w:cs="Arial" w:eastAsia="Arial" w:hAnsi="Arial"/>
          <w:sz w:val="18"/>
          <w:szCs w:val="18"/>
          <w:b w:val="1"/>
          <w:bCs w:val="1"/>
          <w:color w:val="auto"/>
        </w:rPr>
        <w:t>Potential Claims</w:t>
      </w:r>
      <w:r>
        <w:rPr>
          <w:rFonts w:ascii="Arial" w:cs="Arial" w:eastAsia="Arial" w:hAnsi="Arial"/>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have elected to resolve any such Potential Claims and avoid any potential disputes between them by entering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and agreements set forth in this Agreement; and</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is intended to amend the (i) Stockholders Agreement, dated as of June 6, 2017, by and between ADMA Biologics and</w:t>
      </w:r>
      <w:r>
        <w:rPr>
          <w:rFonts w:ascii="Arial" w:cs="Arial" w:eastAsia="Arial" w:hAnsi="Arial"/>
          <w:sz w:val="18"/>
          <w:szCs w:val="18"/>
          <w:b w:val="1"/>
          <w:bCs w:val="1"/>
          <w:color w:val="auto"/>
        </w:rPr>
        <w:t xml:space="preserve"> </w:t>
      </w:r>
      <w:r>
        <w:rPr>
          <w:rFonts w:ascii="Arial" w:cs="Arial" w:eastAsia="Arial" w:hAnsi="Arial"/>
          <w:sz w:val="18"/>
          <w:szCs w:val="18"/>
          <w:color w:val="auto"/>
        </w:rPr>
        <w:t>BPC (the “</w:t>
      </w:r>
      <w:r>
        <w:rPr>
          <w:rFonts w:ascii="Arial" w:cs="Arial" w:eastAsia="Arial" w:hAnsi="Arial"/>
          <w:sz w:val="18"/>
          <w:szCs w:val="18"/>
          <w:b w:val="1"/>
          <w:bCs w:val="1"/>
          <w:color w:val="auto"/>
        </w:rPr>
        <w:t>Stockholders Agreement</w:t>
      </w:r>
      <w:r>
        <w:rPr>
          <w:rFonts w:ascii="Arial" w:cs="Arial" w:eastAsia="Arial" w:hAnsi="Arial"/>
          <w:sz w:val="18"/>
          <w:szCs w:val="18"/>
          <w:color w:val="auto"/>
        </w:rPr>
        <w:t>”), (ii) Registration Rights Agreement, dated as of June 6, 2017, by and between ADMA Biologics and BPC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and (iii) Purchase Agreement, dated as of June 6, 2017, by and among BPC, ADMA BioCenters and ADMA Biologics (the “</w:t>
      </w:r>
      <w:r>
        <w:rPr>
          <w:rFonts w:ascii="Arial" w:cs="Arial" w:eastAsia="Arial" w:hAnsi="Arial"/>
          <w:sz w:val="18"/>
          <w:szCs w:val="18"/>
          <w:b w:val="1"/>
          <w:bCs w:val="1"/>
          <w:color w:val="auto"/>
        </w:rPr>
        <w:t>Biocenters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8" w:name="page69"/>
    <w:bookmarkEnd w:id="68"/>
    <w:p>
      <w:pPr>
        <w:jc w:val="both"/>
        <w:ind w:firstLine="648"/>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representations, warranties, covenants, agreements and provisions set forth herein,</w:t>
      </w:r>
      <w:r>
        <w:rPr>
          <w:rFonts w:ascii="Arial" w:cs="Arial" w:eastAsia="Arial" w:hAnsi="Arial"/>
          <w:sz w:val="18"/>
          <w:szCs w:val="18"/>
          <w:b w:val="1"/>
          <w:bCs w:val="1"/>
          <w:color w:val="auto"/>
        </w:rPr>
        <w:t xml:space="preserve"> </w:t>
      </w:r>
      <w:r>
        <w:rPr>
          <w:rFonts w:ascii="Arial" w:cs="Arial" w:eastAsia="Arial" w:hAnsi="Arial"/>
          <w:sz w:val="18"/>
          <w:szCs w:val="18"/>
          <w:color w:val="auto"/>
        </w:rPr>
        <w:t>and for other good and valuable consideration, the receipt and sufficiency of which are hereby acknowledged, and intending to be legally bound hereby, the Parties agree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RELEASE OF POTENTIAL CLAIMS</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Transfer of ADMA Non-Voting Shares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22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consideration for the release of all Potential Claims against Biotest and BPC, BPC hereby transfers, assigns and conveys to ADMA Biologics all of its right, title and interest in and to the ADMA Non-Voting Shares, representing one hundred percent (100%) of the ADMA NV Capital Stock owned by BPC, free and clear of any and all liens, claims and encumbrances.</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2384"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furtherance of the foregoing, (i) BPC hereby covenants and agrees that it shall execute and deliver, or shall cause to be executed and delivered, to ADMA Biologics or ADMA Biologics’ transfer agent, as applicable, any and all documentation reasonably required to accomplish the foregoing, including but not limited to a stock power, seller representation letter, opinion of legal counsel or other transfer documents, and (ii) ADMA Biologics hereby covenants and agrees that it shall execute and deliver to its transfer agent a letter of reliance with respect to the opinion of BPC’s counsel (the “</w:t>
      </w:r>
      <w:r>
        <w:rPr>
          <w:rFonts w:ascii="Arial" w:cs="Arial" w:eastAsia="Arial" w:hAnsi="Arial"/>
          <w:sz w:val="18"/>
          <w:szCs w:val="18"/>
          <w:b w:val="1"/>
          <w:bCs w:val="1"/>
          <w:color w:val="auto"/>
        </w:rPr>
        <w:t>Non-Voting Shares Transfer Documents</w:t>
      </w:r>
      <w:r>
        <w:rPr>
          <w:rFonts w:ascii="Arial" w:cs="Arial" w:eastAsia="Arial" w:hAnsi="Arial"/>
          <w:sz w:val="18"/>
          <w:szCs w:val="18"/>
          <w:color w:val="auto"/>
        </w:rPr>
        <w:t>”). The Parties agree the transfer of the ADMA Non-Voting Shares hereunder shall be immediately effective on the date hereof (the “</w:t>
      </w:r>
      <w:r>
        <w:rPr>
          <w:rFonts w:ascii="Arial" w:cs="Arial" w:eastAsia="Arial" w:hAnsi="Arial"/>
          <w:sz w:val="18"/>
          <w:szCs w:val="18"/>
          <w:b w:val="1"/>
          <w:bCs w:val="1"/>
          <w:color w:val="auto"/>
        </w:rPr>
        <w:t>NV Share Closing Date</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ADMA Release</w:t>
      </w:r>
      <w:r>
        <w:rPr>
          <w:rFonts w:ascii="Arial" w:cs="Arial" w:eastAsia="Arial" w:hAnsi="Arial"/>
          <w:sz w:val="16"/>
          <w:szCs w:val="16"/>
          <w:color w:val="auto"/>
        </w:rPr>
        <w:t>. In consideration for the transfer of ADMA Non-Voting Shares, ADMA agrees, effective on the NV Share Closing Date, as follows: ADMA expressly agrees, for itself and on behalf of its Affiliates and its and their respective predecessors, successors, assigns, and its and their respective past or present officers, agents, stockholders, members, managers, directors, attorneys, employees and representatives (“</w:t>
      </w:r>
      <w:r>
        <w:rPr>
          <w:rFonts w:ascii="Arial" w:cs="Arial" w:eastAsia="Arial" w:hAnsi="Arial"/>
          <w:sz w:val="16"/>
          <w:szCs w:val="16"/>
          <w:b w:val="1"/>
          <w:bCs w:val="1"/>
          <w:color w:val="auto"/>
        </w:rPr>
        <w:t>ADMA Releasing</w:t>
      </w:r>
      <w:r>
        <w:rPr>
          <w:rFonts w:ascii="Arial" w:cs="Arial" w:eastAsia="Arial" w:hAnsi="Arial"/>
          <w:sz w:val="16"/>
          <w:szCs w:val="16"/>
          <w:color w:val="auto"/>
        </w:rPr>
        <w:t xml:space="preserve"> </w:t>
      </w:r>
      <w:r>
        <w:rPr>
          <w:rFonts w:ascii="Arial" w:cs="Arial" w:eastAsia="Arial" w:hAnsi="Arial"/>
          <w:sz w:val="16"/>
          <w:szCs w:val="16"/>
          <w:b w:val="1"/>
          <w:bCs w:val="1"/>
          <w:color w:val="auto"/>
        </w:rPr>
        <w:t>Parties</w:t>
      </w:r>
      <w:r>
        <w:rPr>
          <w:rFonts w:ascii="Arial" w:cs="Arial" w:eastAsia="Arial" w:hAnsi="Arial"/>
          <w:sz w:val="16"/>
          <w:szCs w:val="16"/>
          <w:color w:val="auto"/>
        </w:rPr>
        <w:t>”), to hereby fully release, remise, acquit and forever discharge BPC, Biotest, Biotest US, the Trust and their respective Affiliates predecessors,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assigns, and their respective past or present officers, agents, shareholders, directors, attorneys, employees and representatives (“</w:t>
      </w:r>
      <w:r>
        <w:rPr>
          <w:rFonts w:ascii="Arial" w:cs="Arial" w:eastAsia="Arial" w:hAnsi="Arial"/>
          <w:sz w:val="16"/>
          <w:szCs w:val="16"/>
          <w:b w:val="1"/>
          <w:bCs w:val="1"/>
          <w:color w:val="auto"/>
        </w:rPr>
        <w:t>Biotest Released</w:t>
      </w:r>
      <w:r>
        <w:rPr>
          <w:rFonts w:ascii="Arial" w:cs="Arial" w:eastAsia="Arial" w:hAnsi="Arial"/>
          <w:sz w:val="16"/>
          <w:szCs w:val="16"/>
          <w:color w:val="auto"/>
        </w:rPr>
        <w:t xml:space="preserve"> </w:t>
      </w:r>
      <w:r>
        <w:rPr>
          <w:rFonts w:ascii="Arial" w:cs="Arial" w:eastAsia="Arial" w:hAnsi="Arial"/>
          <w:sz w:val="16"/>
          <w:szCs w:val="16"/>
          <w:b w:val="1"/>
          <w:bCs w:val="1"/>
          <w:color w:val="auto"/>
        </w:rPr>
        <w:t>Parties</w:t>
      </w:r>
      <w:r>
        <w:rPr>
          <w:rFonts w:ascii="Arial" w:cs="Arial" w:eastAsia="Arial" w:hAnsi="Arial"/>
          <w:sz w:val="16"/>
          <w:szCs w:val="16"/>
          <w:color w:val="auto"/>
        </w:rPr>
        <w:t>”), from any and all claims, demands, actions, causes of action, damages, obligations, losses and expenses of whatsoever kind or nature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attorneys’ fees and other legal fees and expenses) arising out of any acts, omissions, transactions, transfers, happenings, violations, promises, contracts, agreements, facts or situations which occurred or existed at any time through and including the date of this Agreement, whether or not now known or suspected or claimed, whether in law, equity or otherwise, including, but not limited to, any Potential Claims and any and all other claims for indemnification or other claims, counterclaims, damages, demands, actions or causes of action of any kind or nature that have been asserted or that could have been asserted by the ADMA Releasing Parties against the Biotest Released Parties in each case arising under, in connection with or related to the MPA (collectively, the “</w:t>
      </w:r>
      <w:r>
        <w:rPr>
          <w:rFonts w:ascii="Arial" w:cs="Arial" w:eastAsia="Arial" w:hAnsi="Arial"/>
          <w:sz w:val="16"/>
          <w:szCs w:val="16"/>
          <w:b w:val="1"/>
          <w:bCs w:val="1"/>
          <w:color w:val="auto"/>
        </w:rPr>
        <w:t>ADMA Release</w:t>
      </w:r>
      <w:r>
        <w:rPr>
          <w:rFonts w:ascii="Arial" w:cs="Arial" w:eastAsia="Arial" w:hAnsi="Arial"/>
          <w:sz w:val="16"/>
          <w:szCs w:val="16"/>
          <w:color w:val="auto"/>
        </w:rPr>
        <w:t>”). Notwithstanding the foregoing, the ADMA Release shall not affect the Parties’ rights and obligations under this Agreement, the Stockholders Agreement, Registration Rights Agreement, Commercial Agreements or any other agreements among the Parties which are currently in effect (except as set forth herein with respect to the MPA) or which may be entered into following the NV Share Closing Date. The ADMA Release is intended to and shall extend to, apply to, cover, and include all unknown, unforeseen, unanticipated, and unexpected claims and all consequences thereof, as well as those which the parties might reasonably anticipate. The provisions of any state, federal, local, or territorial law or statute providing in substance that releases shall not extend to claims that are unknown or unsuspected to the persons executing such releases are hereby expressly waived.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9" w:name="page70"/>
    <w:bookmarkEnd w:id="69"/>
    <w:p>
      <w:pPr>
        <w:jc w:val="both"/>
        <w:ind w:firstLine="648"/>
        <w:spacing w:after="0" w:line="279"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Waiver of Biocenters Repurchase Right</w:t>
      </w:r>
      <w:r>
        <w:rPr>
          <w:rFonts w:ascii="Arial" w:cs="Arial" w:eastAsia="Arial" w:hAnsi="Arial"/>
          <w:sz w:val="17"/>
          <w:szCs w:val="17"/>
          <w:color w:val="auto"/>
        </w:rPr>
        <w:t>. ADMA hereby waives and terminates its rights under Section 8(j) of the Biocenters Purchase Agreement, effective as of the NV Share Closing Date. In furtherance of the foregoing, BPC, ADMA BioCenters and ADMA Biologics hereby acknowledge and agree that, effective on the NV Share Closing Date, the BioCenters Purchase Agreement is hereby amended such that (i) Section 8(j) is deleted in its entirety and of no further force and effect, and (ii) the remainder of Section 8 shall be renumbered accordingly.</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00" w:type="dxa"/>
            <w:vAlign w:val="bottom"/>
          </w:tcPr>
          <w:p>
            <w:pPr>
              <w:jc w:val="center"/>
              <w:ind w:left="430"/>
              <w:spacing w:after="0"/>
              <w:rPr>
                <w:sz w:val="20"/>
                <w:szCs w:val="20"/>
                <w:color w:val="auto"/>
              </w:rPr>
            </w:pPr>
            <w:r>
              <w:rPr>
                <w:rFonts w:ascii="Arial" w:cs="Arial" w:eastAsia="Arial" w:hAnsi="Arial"/>
                <w:sz w:val="18"/>
                <w:szCs w:val="18"/>
                <w:b w:val="1"/>
                <w:bCs w:val="1"/>
                <w:color w:val="auto"/>
              </w:rPr>
              <w:t>ARTICLE II</w:t>
            </w:r>
          </w:p>
        </w:tc>
      </w:tr>
      <w:tr>
        <w:trPr>
          <w:trHeight w:val="234"/>
        </w:trPr>
        <w:tc>
          <w:tcPr>
            <w:tcW w:w="8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00" w:type="dxa"/>
            <w:vAlign w:val="bottom"/>
          </w:tcPr>
          <w:p>
            <w:pPr>
              <w:jc w:val="center"/>
              <w:ind w:left="410"/>
              <w:spacing w:after="0"/>
              <w:rPr>
                <w:sz w:val="20"/>
                <w:szCs w:val="20"/>
                <w:color w:val="auto"/>
              </w:rPr>
            </w:pPr>
            <w:r>
              <w:rPr>
                <w:rFonts w:ascii="Arial" w:cs="Arial" w:eastAsia="Arial" w:hAnsi="Arial"/>
                <w:sz w:val="18"/>
                <w:szCs w:val="18"/>
                <w:b w:val="1"/>
                <w:bCs w:val="1"/>
                <w:color w:val="auto"/>
              </w:rPr>
              <w:t>ADDITIONAL AGREEMENTS</w:t>
            </w:r>
          </w:p>
        </w:tc>
      </w:tr>
      <w:tr>
        <w:trPr>
          <w:trHeight w:val="392"/>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2.1</w:t>
            </w:r>
          </w:p>
        </w:tc>
        <w:tc>
          <w:tcPr>
            <w:tcW w:w="5440" w:type="dxa"/>
            <w:vAlign w:val="bottom"/>
            <w:gridSpan w:val="2"/>
          </w:tcPr>
          <w:p>
            <w:pPr>
              <w:spacing w:after="0"/>
              <w:rPr>
                <w:sz w:val="20"/>
                <w:szCs w:val="20"/>
                <w:color w:val="auto"/>
              </w:rPr>
            </w:pPr>
            <w:r>
              <w:rPr>
                <w:rFonts w:ascii="Arial" w:cs="Arial" w:eastAsia="Arial" w:hAnsi="Arial"/>
                <w:sz w:val="18"/>
                <w:szCs w:val="18"/>
                <w:color w:val="auto"/>
              </w:rPr>
              <w:t>Transfer of ADMA Voting Shares.</w:t>
            </w:r>
          </w:p>
        </w:tc>
      </w:tr>
      <w:tr>
        <w:trPr>
          <w:trHeight w:val="20"/>
        </w:trPr>
        <w:tc>
          <w:tcPr>
            <w:tcW w:w="86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1305"/>
        <w:spacing w:after="0" w:line="288" w:lineRule="auto"/>
        <w:tabs>
          <w:tab w:leader="none" w:pos="2171"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Subject to the closing conditions stated in Article IV below, BPC shall use best efforts and take all such action as is necessary to transfer all of the ADMA Voting Shares to the Trust. The closing of the transfer of the ADMA Voting Shares shall occur as soon as reasonably practicable following the satisfaction of the closing conditions as set forth herein (the “</w:t>
      </w:r>
      <w:r>
        <w:rPr>
          <w:rFonts w:ascii="Arial" w:cs="Arial" w:eastAsia="Arial" w:hAnsi="Arial"/>
          <w:sz w:val="16"/>
          <w:szCs w:val="16"/>
          <w:b w:val="1"/>
          <w:bCs w:val="1"/>
          <w:color w:val="auto"/>
        </w:rPr>
        <w:t>Voting Shares Closing Date</w:t>
      </w:r>
      <w:r>
        <w:rPr>
          <w:rFonts w:ascii="Arial" w:cs="Arial" w:eastAsia="Arial" w:hAnsi="Arial"/>
          <w:sz w:val="16"/>
          <w:szCs w:val="16"/>
          <w:color w:val="auto"/>
        </w:rPr>
        <w:t>”), but in no event later than July 1, 2018 (provided that Biotest, BPC and the Trust have received all regulatory clearance for the Trust to own and hold the ADMA Voting Shares). The Parties acknowledge and agree that such transfer shall not constitute a transfer to an “Affiliate” (as defined in the Stockholders Agreement) under Section 4.1(c)(i) of the Stockholders Agreement and shall instead be treated as a transfer permitted under Section 4.1(b) of the Stockholders Agreement. In furtherance of the foregoing, (i) BPC hereby covenants and agrees that it shall execute and deliver, or shall cause to be executed and delivered, to the Trust or ADMA Biologics’ transfer agent, as applicable, any and all documentation reasonably required to accomplish the transfer, including but not limited to a stock power, opinion of legal counsel or other transfer documents, and (ii) ADMA Biologics hereby covenants and agrees that it shall execute and deliver to its transfer agent a letter of reliance with respect to the opinion of BPC’s counsel (collectively, the “</w:t>
      </w:r>
      <w:r>
        <w:rPr>
          <w:rFonts w:ascii="Arial" w:cs="Arial" w:eastAsia="Arial" w:hAnsi="Arial"/>
          <w:sz w:val="16"/>
          <w:szCs w:val="16"/>
          <w:b w:val="1"/>
          <w:bCs w:val="1"/>
          <w:color w:val="auto"/>
        </w:rPr>
        <w:t>Voting Shares Transfer Documents</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firstLine="1305"/>
        <w:spacing w:after="0" w:line="276" w:lineRule="auto"/>
        <w:tabs>
          <w:tab w:leader="none" w:pos="22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On the Voting Shares Closing Date, in connection with the transfer of the ADMA Voting Shares to the Trust, BPC shall assign to the Trust, and the Trust shall acknowledge and agree to be bound by and subject to, all rights and obligations of BPC under (i) the Stockholders Agreement, including, but not limited to, the restrictions contained in Articles III and IV therein (but subject to amendments contemplated in Section 2.2 below); and (ii) the Registration Rights Agreement. Additionally, BPC and the Trust shall deliver to ADMA an officer’s certificate on the Voting Shares Closing Date attesting to the foregoing and in form and substance reasonably satisfactory to ADMA (the “</w:t>
      </w:r>
      <w:r>
        <w:rPr>
          <w:rFonts w:ascii="Arial" w:cs="Arial" w:eastAsia="Arial" w:hAnsi="Arial"/>
          <w:sz w:val="17"/>
          <w:szCs w:val="17"/>
          <w:b w:val="1"/>
          <w:bCs w:val="1"/>
          <w:color w:val="auto"/>
        </w:rPr>
        <w:t>Officer’s Certificate</w:t>
      </w:r>
      <w:r>
        <w:rPr>
          <w:rFonts w:ascii="Arial" w:cs="Arial" w:eastAsia="Arial" w:hAnsi="Arial"/>
          <w:sz w:val="17"/>
          <w:szCs w:val="17"/>
          <w:color w:val="auto"/>
        </w:rPr>
        <w: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jc w:val="both"/>
        <w:ind w:firstLine="1305"/>
        <w:spacing w:after="0" w:line="279" w:lineRule="auto"/>
        <w:tabs>
          <w:tab w:leader="none" w:pos="2225" w:val="left"/>
        </w:tabs>
        <w:numPr>
          <w:ilvl w:val="0"/>
          <w:numId w:val="36"/>
        </w:numPr>
        <w:rPr>
          <w:rFonts w:ascii="Arial" w:cs="Arial" w:eastAsia="Arial" w:hAnsi="Arial"/>
          <w:sz w:val="17"/>
          <w:szCs w:val="17"/>
          <w:color w:val="auto"/>
        </w:rPr>
      </w:pPr>
      <w:r>
        <w:rPr>
          <w:rFonts w:ascii="Arial" w:cs="Arial" w:eastAsia="Arial" w:hAnsi="Arial"/>
          <w:sz w:val="17"/>
          <w:szCs w:val="17"/>
          <w:color w:val="auto"/>
        </w:rPr>
        <w:t>Effective on the Voting Shares Closing Date, each of ADMA Biologics, BPC and the Trust acknowledge and agree that (x) the Stockholders Agreement be amended such that the definition of “Biotest Stockholder” be amended and restated in its entirety to read, “Biotest Divestiture Trust, a Maryland trust (the “Biotest Stockholder”)”; and (y) the Registration Rights Agreement be amended such that the definition of “Investor” be amended and restated in its entirety to read, “Biotest Divestiture Trust, a Maryland Trust (the “Biotest Stockholder”)”.</w:t>
      </w:r>
    </w:p>
    <w:p>
      <w:pPr>
        <w:spacing w:after="0" w:line="171" w:lineRule="exact"/>
        <w:rPr>
          <w:rFonts w:ascii="Arial" w:cs="Arial" w:eastAsia="Arial" w:hAnsi="Arial"/>
          <w:sz w:val="17"/>
          <w:szCs w:val="17"/>
          <w:color w:val="auto"/>
        </w:rPr>
      </w:pPr>
    </w:p>
    <w:p>
      <w:pPr>
        <w:ind w:firstLine="1305"/>
        <w:spacing w:after="0" w:line="277" w:lineRule="auto"/>
        <w:tabs>
          <w:tab w:leader="none" w:pos="22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BPC and the Trust covenant and agree that the transfer, assignment and conveyance of ADMA Voting Shares will be made in compliance with all applicable federal and state securities laws and all other applicable laws, rules and regulations.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Termination of Board, Observer and CEO Rights</w:t>
      </w:r>
      <w:r>
        <w:rPr>
          <w:rFonts w:ascii="Arial" w:cs="Arial" w:eastAsia="Arial" w:hAnsi="Arial"/>
          <w:sz w:val="18"/>
          <w:szCs w:val="18"/>
          <w:color w:val="auto"/>
        </w:rPr>
        <w:t>. Effective on the NV Shares Closing Date, ADMA Biologics and BPC hereby acknowledge and agree that the Stockholders Agreement is hereby amended such that Article VI thereof, including all references thereto, is deleted in its entirety and is of no further force and effect.</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Right of First Negotiation</w:t>
      </w:r>
      <w:r>
        <w:rPr>
          <w:rFonts w:ascii="Arial" w:cs="Arial" w:eastAsia="Arial" w:hAnsi="Arial"/>
          <w:sz w:val="16"/>
          <w:szCs w:val="16"/>
          <w:color w:val="auto"/>
        </w:rPr>
        <w:t>. For the ninety (90) day period commencing on the Voting Shares Closing Date (the “</w:t>
      </w:r>
      <w:r>
        <w:rPr>
          <w:rFonts w:ascii="Arial" w:cs="Arial" w:eastAsia="Arial" w:hAnsi="Arial"/>
          <w:sz w:val="16"/>
          <w:szCs w:val="16"/>
          <w:b w:val="1"/>
          <w:bCs w:val="1"/>
          <w:color w:val="auto"/>
        </w:rPr>
        <w:t>ROFN Period</w:t>
      </w:r>
      <w:r>
        <w:rPr>
          <w:rFonts w:ascii="Arial" w:cs="Arial" w:eastAsia="Arial" w:hAnsi="Arial"/>
          <w:sz w:val="16"/>
          <w:szCs w:val="16"/>
          <w:color w:val="auto"/>
        </w:rPr>
        <w:t>”), the Trust hereby unconditionally and irrevocably grants to ADMA Biologics an exclusive right of first negotiation for the purchase of all of the ADMA Voting Shares at such price and upon such terms as the Trust and ADMA Biologics may mutually agree; provided however, that a definitive agreement concerning the purchase of the ADMA Voting Shares shall require that the closing of the purchase of such shares by ADMA shall (i) be in cash paid in full at closing and</w:t>
      </w:r>
    </w:p>
    <w:p>
      <w:pPr>
        <w:spacing w:after="0" w:line="3" w:lineRule="exact"/>
        <w:rPr>
          <w:sz w:val="20"/>
          <w:szCs w:val="20"/>
          <w:color w:val="auto"/>
        </w:rPr>
      </w:pPr>
    </w:p>
    <w:p>
      <w:pPr>
        <w:jc w:val="both"/>
        <w:ind w:right="20" w:firstLine="8"/>
        <w:spacing w:after="0" w:line="255" w:lineRule="auto"/>
        <w:tabs>
          <w:tab w:leader="none" w:pos="271" w:val="left"/>
        </w:tabs>
        <w:numPr>
          <w:ilvl w:val="0"/>
          <w:numId w:val="37"/>
        </w:numPr>
        <w:rPr>
          <w:rFonts w:ascii="Arial" w:cs="Arial" w:eastAsia="Arial" w:hAnsi="Arial"/>
          <w:sz w:val="18"/>
          <w:szCs w:val="18"/>
          <w:color w:val="auto"/>
        </w:rPr>
      </w:pPr>
      <w:r>
        <w:rPr>
          <w:rFonts w:ascii="Arial" w:cs="Arial" w:eastAsia="Arial" w:hAnsi="Arial"/>
          <w:sz w:val="18"/>
          <w:szCs w:val="18"/>
          <w:color w:val="auto"/>
        </w:rPr>
        <w:t>occur no later than the earlier of: (x) three (3) months from date on which a definitive agreement for the sale of the ADMA Voting Shares is executed by the Trust and ADMA Biologics or (y) six (6) months from the Voting Shares Closing Date. ADMA Biologics and the Trust agree to negotiate in good faith during the ROFN Period.</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Registration of ADMA Voting Shares.</w:t>
      </w:r>
      <w:r>
        <w:rPr>
          <w:rFonts w:ascii="Arial" w:cs="Arial" w:eastAsia="Arial" w:hAnsi="Arial"/>
          <w:sz w:val="17"/>
          <w:szCs w:val="17"/>
          <w:color w:val="auto"/>
        </w:rPr>
        <w:t xml:space="preserve"> If not filed before, ADMA Biologics agrees to use commercially reasonable efforts during the ROFN Period to file with the SEC a registration statement on Form S-3 registering, among other securities, 4,295,580 unregistered ADMA Voting Shares held by BPC (to be transferred to the Trust pursuant to the terms herein). ADMA Biologics hereby confirms that the remaining 5,813,954 ADMA Voting Shares are registered as of the date hereof. For the avoidance of doubt, ADMA Biologics’ failure to file the registration statement contemplated in this Section 2.4 shall not limit the right to demand a registration of the ADMA Voting Shares in accordance with the Registration Rights Agreement.</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BPC Market Stand-Off Agreement</w:t>
      </w:r>
      <w:r>
        <w:rPr>
          <w:rFonts w:ascii="Arial" w:cs="Arial" w:eastAsia="Arial" w:hAnsi="Arial"/>
          <w:sz w:val="17"/>
          <w:szCs w:val="17"/>
          <w:color w:val="auto"/>
        </w:rPr>
        <w:t>. If, prior to the ROFN Period, ADMA Biologics undertakes an offering of its equity or debt securities, BPC covenants and agrees to promptly execute and be bound by a market stand-off agreement on the same terms and conditions as the market stand-off agreement entered into by and binding upon ADMA Biologics’ officers and directors in connection with such offering of equity or debt securities and agrees not to sell publicly or otherwise transfer or dispose of any ADMA Voting Shares during the Market Stand-Off Period (as defined below); provided however, that BPC will be bound by such market stand-off agreement for a period equal to the shorter of (i) the time period applicable to ADMA’s officers and directors under their market stand-off agreements or (ii) ninety (90) days from the commencement of the offering (the “</w:t>
      </w:r>
      <w:r>
        <w:rPr>
          <w:rFonts w:ascii="Arial" w:cs="Arial" w:eastAsia="Arial" w:hAnsi="Arial"/>
          <w:sz w:val="17"/>
          <w:szCs w:val="17"/>
          <w:b w:val="1"/>
          <w:bCs w:val="1"/>
          <w:color w:val="auto"/>
        </w:rPr>
        <w:t>Market Stand-Off Period</w:t>
      </w:r>
      <w:r>
        <w:rPr>
          <w:rFonts w:ascii="Arial" w:cs="Arial" w:eastAsia="Arial" w:hAnsi="Arial"/>
          <w:sz w:val="17"/>
          <w:szCs w:val="17"/>
          <w:color w:val="auto"/>
        </w:rPr>
        <w:t>”). Notwithstanding the foregoing, (x) the market stand-off agreement executed by BPC under this Section 2.5 shall not prohibit or restrict in any manner BPC’s right to transfer the ADMA Voting Shares to the Trust in accordance with this Agreement and (y) a market stand-off agreement executed by BPC under this Section 2.5 shall automatically and immediately terminate on the Voting Shares Closing Date provided that the Trust enters into the market stand-off agreement contemplated in Section 2.6 below.</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1" w:name="page72"/>
    <w:bookmarkEnd w:id="71"/>
    <w:p>
      <w:pPr>
        <w:jc w:val="both"/>
        <w:ind w:firstLine="648"/>
        <w:spacing w:after="0" w:line="276"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Trust Market Stand-Off Agreement</w:t>
      </w:r>
      <w:r>
        <w:rPr>
          <w:rFonts w:ascii="Arial" w:cs="Arial" w:eastAsia="Arial" w:hAnsi="Arial"/>
          <w:sz w:val="17"/>
          <w:szCs w:val="17"/>
          <w:color w:val="auto"/>
        </w:rPr>
        <w:t>. If, during the ROFN Period, ADMA Biologics undertakes an offering of its equity or debt securities, the Trust covenants and agrees to promptly execute and be bound by a market stand-off agreement on the same terms and conditions as the market stand-off agreement entered into by and binding upon ADMA Biologics’ officers and directors in connection with such offering of equity or debt securities and agrees not to sell publicly or otherwise transfer or dispose of any ADMA Voting Shares during the Market Stand-Off Period; provided however, that the Trust will be bound by such market stand-off agreement during the Market Stand-Off Period.</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220" w:type="dxa"/>
            <w:vAlign w:val="bottom"/>
          </w:tcPr>
          <w:p>
            <w:pPr>
              <w:jc w:val="center"/>
              <w:ind w:right="1110"/>
              <w:spacing w:after="0"/>
              <w:rPr>
                <w:sz w:val="20"/>
                <w:szCs w:val="20"/>
                <w:color w:val="auto"/>
              </w:rPr>
            </w:pPr>
            <w:r>
              <w:rPr>
                <w:rFonts w:ascii="Arial" w:cs="Arial" w:eastAsia="Arial" w:hAnsi="Arial"/>
                <w:sz w:val="18"/>
                <w:szCs w:val="18"/>
                <w:b w:val="1"/>
                <w:bCs w:val="1"/>
                <w:color w:val="auto"/>
              </w:rPr>
              <w:t>ARTICLE III</w:t>
            </w:r>
          </w:p>
        </w:tc>
      </w:tr>
      <w:tr>
        <w:trPr>
          <w:trHeight w:val="234"/>
        </w:trPr>
        <w:tc>
          <w:tcPr>
            <w:tcW w:w="540" w:type="dxa"/>
            <w:vAlign w:val="bottom"/>
          </w:tcPr>
          <w:p>
            <w:pPr>
              <w:spacing w:after="0"/>
              <w:rPr>
                <w:sz w:val="20"/>
                <w:szCs w:val="20"/>
                <w:color w:val="auto"/>
              </w:rPr>
            </w:pPr>
          </w:p>
        </w:tc>
        <w:tc>
          <w:tcPr>
            <w:tcW w:w="10220" w:type="dxa"/>
            <w:vAlign w:val="bottom"/>
          </w:tcPr>
          <w:p>
            <w:pPr>
              <w:jc w:val="center"/>
              <w:ind w:right="1090"/>
              <w:spacing w:after="0"/>
              <w:rPr>
                <w:sz w:val="20"/>
                <w:szCs w:val="20"/>
                <w:color w:val="auto"/>
              </w:rPr>
            </w:pPr>
            <w:r>
              <w:rPr>
                <w:rFonts w:ascii="Arial" w:cs="Arial" w:eastAsia="Arial" w:hAnsi="Arial"/>
                <w:sz w:val="18"/>
                <w:szCs w:val="18"/>
                <w:b w:val="1"/>
                <w:bCs w:val="1"/>
                <w:color w:val="auto"/>
                <w:w w:val="98"/>
              </w:rPr>
              <w:t>REPRESENTATIONS AND WARRANTIES</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3.1</w:t>
            </w:r>
          </w:p>
        </w:tc>
        <w:tc>
          <w:tcPr>
            <w:tcW w:w="10220" w:type="dxa"/>
            <w:vAlign w:val="bottom"/>
          </w:tcPr>
          <w:p>
            <w:pPr>
              <w:ind w:left="340"/>
              <w:spacing w:after="0"/>
              <w:rPr>
                <w:sz w:val="20"/>
                <w:szCs w:val="20"/>
                <w:color w:val="auto"/>
              </w:rPr>
            </w:pPr>
            <w:r>
              <w:rPr>
                <w:rFonts w:ascii="Arial" w:cs="Arial" w:eastAsia="Arial" w:hAnsi="Arial"/>
                <w:sz w:val="18"/>
                <w:szCs w:val="18"/>
                <w:u w:val="single" w:color="auto"/>
                <w:color w:val="auto"/>
                <w:w w:val="90"/>
              </w:rPr>
              <w:t>Due Authorization</w:t>
            </w:r>
            <w:r>
              <w:rPr>
                <w:rFonts w:ascii="Arial" w:cs="Arial" w:eastAsia="Arial" w:hAnsi="Arial"/>
                <w:sz w:val="18"/>
                <w:szCs w:val="18"/>
                <w:color w:val="auto"/>
                <w:w w:val="90"/>
              </w:rPr>
              <w:t>. Each Party represents and warrants that it has all requisite organizational power and authority to execute, deliver and</w:t>
            </w:r>
          </w:p>
        </w:tc>
      </w:tr>
    </w:tbl>
    <w:p>
      <w:pPr>
        <w:jc w:val="both"/>
        <w:spacing w:after="0" w:line="253" w:lineRule="auto"/>
        <w:rPr>
          <w:sz w:val="20"/>
          <w:szCs w:val="20"/>
          <w:color w:val="auto"/>
        </w:rPr>
      </w:pPr>
      <w:r>
        <w:rPr>
          <w:rFonts w:ascii="Arial" w:cs="Arial" w:eastAsia="Arial" w:hAnsi="Arial"/>
          <w:sz w:val="18"/>
          <w:szCs w:val="18"/>
          <w:color w:val="auto"/>
        </w:rPr>
        <w:t>perform its obligations under this Agreement. The execution and delivery of this Agreement, the performance of each Party’s obligations hereunder have been duly and validly authorized, and each Party has taken all such corporate or equivalent actions as may be necessary, proper or advisable to authorize the execution and delivery of this Agreement, the consummation of the transactions set forth herein and to perform all its obligations under this Agreement. This Agreement constitutes the legal, valid and binding obligations of each Party hereto enforceable against each such Party in accordance with its terms and conditions, except where such enforcement is limited by equity.</w:t>
      </w:r>
    </w:p>
    <w:p>
      <w:pPr>
        <w:spacing w:after="0" w:line="19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Applicable Law</w:t>
      </w:r>
      <w:r>
        <w:rPr>
          <w:rFonts w:ascii="Arial" w:cs="Arial" w:eastAsia="Arial" w:hAnsi="Arial"/>
          <w:sz w:val="18"/>
          <w:szCs w:val="18"/>
          <w:color w:val="auto"/>
        </w:rPr>
        <w:t>. BPC and ADMA Biologics each represent and warrant that the transfer, assignment and conveyance of ADMA Non-Voting Shares to ADMA Biologics is made in compliance with all applicable federal and state securities laws and all other applicable laws, rules and regulations.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jc w:val="both"/>
        <w:ind w:firstLine="648"/>
        <w:spacing w:after="0" w:line="27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No Conflicts</w:t>
      </w:r>
      <w:r>
        <w:rPr>
          <w:rFonts w:ascii="Arial" w:cs="Arial" w:eastAsia="Arial" w:hAnsi="Arial"/>
          <w:sz w:val="17"/>
          <w:szCs w:val="17"/>
          <w:color w:val="auto"/>
        </w:rPr>
        <w:t>. Each Party represents and warrants that the execution, delivery and performance by each Party of this Agreement, and the consummation of the transactions set forth herein, do not and will not (a) violate, conflict with or result in the breach of or a default under any provision of the organizational documents of each Party, (b) violate or conflict with any Law applicable to each Party, (c) violate, conflict with, result in a breach of, constitute (with or without due notice or lapse of time or both) a default under, result in the acceleration of obligations under, create in any party the right to accelerate, terminate, modify or cancel, or, require any notice to or consent or waiver of any third party under, any material indenture, mortgage, lease, loan agreement, other material agreement or any applicable order, in each case, to which a Party is a party or by which it is bound.</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Encumbrances</w:t>
      </w:r>
      <w:r>
        <w:rPr>
          <w:rFonts w:ascii="Arial" w:cs="Arial" w:eastAsia="Arial" w:hAnsi="Arial"/>
          <w:sz w:val="16"/>
          <w:szCs w:val="16"/>
          <w:color w:val="auto"/>
        </w:rPr>
        <w:t>. BPC hereby represents and warrants that the transfer, assignment and conveyance to ADMA Biologics of all of BPC’s right, title and interest in and to the ADMA Non-Voting Shares on the NV Share Closing Date is free and clear of any and all liens, claims and encumbrances.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 “Bad Actor”</w:t>
      </w:r>
      <w:r>
        <w:rPr>
          <w:rFonts w:ascii="Arial" w:cs="Arial" w:eastAsia="Arial" w:hAnsi="Arial"/>
          <w:sz w:val="18"/>
          <w:szCs w:val="18"/>
          <w:color w:val="auto"/>
        </w:rPr>
        <w:t>. Neither BPC nor ADMA Biologics, nor any of their affiliates, their directors, executive officers, other officers that may serve as a director or officer of any company in which it invests, general partners or managing members is subject to any of the “bad actor” disqualifications described in Rule 506(d)(1)(i) to (viii) under the Securities Act (“Disqualification Events”), except for Disqualification Events covered by Rule 506(d)(2)(ii) or (iii) or (d)(3) under the Securities Act and disclosed in writing in reasonable detail to the other Party.</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200" w:type="dxa"/>
            <w:vAlign w:val="bottom"/>
          </w:tcPr>
          <w:p>
            <w:pPr>
              <w:jc w:val="center"/>
              <w:ind w:right="1090"/>
              <w:spacing w:after="0"/>
              <w:rPr>
                <w:sz w:val="20"/>
                <w:szCs w:val="20"/>
                <w:color w:val="auto"/>
              </w:rPr>
            </w:pPr>
            <w:r>
              <w:rPr>
                <w:rFonts w:ascii="Arial" w:cs="Arial" w:eastAsia="Arial" w:hAnsi="Arial"/>
                <w:sz w:val="18"/>
                <w:szCs w:val="18"/>
                <w:b w:val="1"/>
                <w:bCs w:val="1"/>
                <w:color w:val="auto"/>
              </w:rPr>
              <w:t>ARTICLE IV</w:t>
            </w:r>
          </w:p>
        </w:tc>
      </w:tr>
      <w:tr>
        <w:trPr>
          <w:trHeight w:val="234"/>
        </w:trPr>
        <w:tc>
          <w:tcPr>
            <w:tcW w:w="540" w:type="dxa"/>
            <w:vAlign w:val="bottom"/>
          </w:tcPr>
          <w:p>
            <w:pPr>
              <w:spacing w:after="0"/>
              <w:rPr>
                <w:sz w:val="20"/>
                <w:szCs w:val="20"/>
                <w:color w:val="auto"/>
              </w:rPr>
            </w:pPr>
          </w:p>
        </w:tc>
        <w:tc>
          <w:tcPr>
            <w:tcW w:w="10200" w:type="dxa"/>
            <w:vAlign w:val="bottom"/>
          </w:tcPr>
          <w:p>
            <w:pPr>
              <w:jc w:val="center"/>
              <w:ind w:right="1070"/>
              <w:spacing w:after="0"/>
              <w:rPr>
                <w:sz w:val="20"/>
                <w:szCs w:val="20"/>
                <w:color w:val="auto"/>
              </w:rPr>
            </w:pPr>
            <w:r>
              <w:rPr>
                <w:rFonts w:ascii="Arial" w:cs="Arial" w:eastAsia="Arial" w:hAnsi="Arial"/>
                <w:sz w:val="18"/>
                <w:szCs w:val="18"/>
                <w:b w:val="1"/>
                <w:bCs w:val="1"/>
                <w:color w:val="auto"/>
              </w:rPr>
              <w:t>CONDITIONS TO ADMA VOTING SHARES CLOSING</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4.1</w:t>
            </w:r>
          </w:p>
        </w:tc>
        <w:tc>
          <w:tcPr>
            <w:tcW w:w="10200" w:type="dxa"/>
            <w:vAlign w:val="bottom"/>
          </w:tcPr>
          <w:p>
            <w:pPr>
              <w:ind w:left="340"/>
              <w:spacing w:after="0"/>
              <w:rPr>
                <w:sz w:val="20"/>
                <w:szCs w:val="20"/>
                <w:color w:val="auto"/>
              </w:rPr>
            </w:pPr>
            <w:r>
              <w:rPr>
                <w:rFonts w:ascii="Arial" w:cs="Arial" w:eastAsia="Arial" w:hAnsi="Arial"/>
                <w:sz w:val="18"/>
                <w:szCs w:val="18"/>
                <w:u w:val="single" w:color="auto"/>
                <w:color w:val="auto"/>
                <w:w w:val="91"/>
              </w:rPr>
              <w:t>Conditions Precedent to Transfer ADMA Voting Shares</w:t>
            </w:r>
            <w:r>
              <w:rPr>
                <w:rFonts w:ascii="Arial" w:cs="Arial" w:eastAsia="Arial" w:hAnsi="Arial"/>
                <w:sz w:val="18"/>
                <w:szCs w:val="18"/>
                <w:color w:val="auto"/>
                <w:w w:val="91"/>
              </w:rPr>
              <w:t>. The obligation of BPC to consummate the transfer of the ADMA Voting Shares</w:t>
            </w:r>
          </w:p>
        </w:tc>
      </w:tr>
    </w:tbl>
    <w:p>
      <w:pPr>
        <w:jc w:val="both"/>
        <w:spacing w:after="0" w:line="261" w:lineRule="auto"/>
        <w:rPr>
          <w:sz w:val="20"/>
          <w:szCs w:val="20"/>
          <w:color w:val="auto"/>
        </w:rPr>
      </w:pPr>
      <w:r>
        <w:rPr>
          <w:rFonts w:ascii="Arial" w:cs="Arial" w:eastAsia="Arial" w:hAnsi="Arial"/>
          <w:sz w:val="18"/>
          <w:szCs w:val="18"/>
          <w:color w:val="auto"/>
        </w:rPr>
        <w:t>to the Trust on the Voting Shares Closing Date is subject to the satisfaction or written waiver by such Party, at or prior to the Voting Shares Closing, of the following conditions:</w:t>
      </w:r>
    </w:p>
    <w:p>
      <w:pPr>
        <w:spacing w:after="0" w:line="184" w:lineRule="exact"/>
        <w:rPr>
          <w:sz w:val="20"/>
          <w:szCs w:val="20"/>
          <w:color w:val="auto"/>
        </w:rPr>
      </w:pPr>
    </w:p>
    <w:p>
      <w:pPr>
        <w:jc w:val="both"/>
        <w:ind w:firstLine="1305"/>
        <w:spacing w:after="0" w:line="264" w:lineRule="auto"/>
        <w:tabs>
          <w:tab w:leader="none" w:pos="22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BPC, Biotest and the Trust shall have received the consent and approval (as determined by BPC, Biotest and the Trust in their sole discretion) from the necessary governmental authorities that the Trust can hold and own the ADMA Voting Shares and that no governmental authority will oppose such ownership.</w:t>
      </w:r>
    </w:p>
    <w:p>
      <w:pPr>
        <w:spacing w:after="0" w:line="181" w:lineRule="exact"/>
        <w:rPr>
          <w:rFonts w:ascii="Arial" w:cs="Arial" w:eastAsia="Arial" w:hAnsi="Arial"/>
          <w:sz w:val="18"/>
          <w:szCs w:val="18"/>
          <w:color w:val="auto"/>
        </w:rPr>
      </w:pPr>
    </w:p>
    <w:p>
      <w:pPr>
        <w:ind w:left="2180" w:hanging="875"/>
        <w:spacing w:after="0"/>
        <w:tabs>
          <w:tab w:leader="none" w:pos="2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Voting Shares Transfer Documents shall be delivered to the Trust or ADMA Biologics’ transfer agent, as applicable.</w:t>
      </w:r>
    </w:p>
    <w:p>
      <w:pPr>
        <w:spacing w:after="0" w:line="236" w:lineRule="exact"/>
        <w:rPr>
          <w:rFonts w:ascii="Arial" w:cs="Arial" w:eastAsia="Arial" w:hAnsi="Arial"/>
          <w:sz w:val="17"/>
          <w:szCs w:val="17"/>
          <w:color w:val="auto"/>
        </w:rPr>
      </w:pPr>
    </w:p>
    <w:p>
      <w:pPr>
        <w:ind w:left="2180" w:hanging="875"/>
        <w:spacing w:after="0"/>
        <w:tabs>
          <w:tab w:leader="none" w:pos="2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ADMA shall have received the Officer’s Certificate.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tbl>
      <w:tblPr>
        <w:tblLayout w:type="fixed"/>
        <w:tblInd w:w="66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200" w:type="dxa"/>
            <w:vAlign w:val="bottom"/>
          </w:tcPr>
          <w:p>
            <w:pPr>
              <w:jc w:val="center"/>
              <w:ind w:right="1090"/>
              <w:spacing w:after="0"/>
              <w:rPr>
                <w:sz w:val="20"/>
                <w:szCs w:val="20"/>
                <w:color w:val="auto"/>
              </w:rPr>
            </w:pPr>
            <w:r>
              <w:rPr>
                <w:rFonts w:ascii="Arial" w:cs="Arial" w:eastAsia="Arial" w:hAnsi="Arial"/>
                <w:sz w:val="18"/>
                <w:szCs w:val="18"/>
                <w:b w:val="1"/>
                <w:bCs w:val="1"/>
                <w:color w:val="auto"/>
              </w:rPr>
              <w:t>ARTICLE V</w:t>
            </w:r>
          </w:p>
        </w:tc>
      </w:tr>
      <w:tr>
        <w:trPr>
          <w:trHeight w:val="234"/>
        </w:trPr>
        <w:tc>
          <w:tcPr>
            <w:tcW w:w="540" w:type="dxa"/>
            <w:vAlign w:val="bottom"/>
          </w:tcPr>
          <w:p>
            <w:pPr>
              <w:spacing w:after="0"/>
              <w:rPr>
                <w:sz w:val="20"/>
                <w:szCs w:val="20"/>
                <w:color w:val="auto"/>
              </w:rPr>
            </w:pPr>
          </w:p>
        </w:tc>
        <w:tc>
          <w:tcPr>
            <w:tcW w:w="10200" w:type="dxa"/>
            <w:vAlign w:val="bottom"/>
          </w:tcPr>
          <w:p>
            <w:pPr>
              <w:jc w:val="center"/>
              <w:ind w:right="1090"/>
              <w:spacing w:after="0"/>
              <w:rPr>
                <w:sz w:val="20"/>
                <w:szCs w:val="20"/>
                <w:color w:val="auto"/>
              </w:rPr>
            </w:pPr>
            <w:r>
              <w:rPr>
                <w:rFonts w:ascii="Arial" w:cs="Arial" w:eastAsia="Arial" w:hAnsi="Arial"/>
                <w:sz w:val="18"/>
                <w:szCs w:val="18"/>
                <w:b w:val="1"/>
                <w:bCs w:val="1"/>
                <w:color w:val="auto"/>
              </w:rPr>
              <w:t>ADDITIONAL COVENANTS</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5.1</w:t>
            </w:r>
          </w:p>
        </w:tc>
        <w:tc>
          <w:tcPr>
            <w:tcW w:w="10200" w:type="dxa"/>
            <w:vAlign w:val="bottom"/>
          </w:tcPr>
          <w:p>
            <w:pPr>
              <w:ind w:left="320"/>
              <w:spacing w:after="0"/>
              <w:rPr>
                <w:sz w:val="20"/>
                <w:szCs w:val="20"/>
                <w:color w:val="auto"/>
              </w:rPr>
            </w:pPr>
            <w:r>
              <w:rPr>
                <w:rFonts w:ascii="Arial" w:cs="Arial" w:eastAsia="Arial" w:hAnsi="Arial"/>
                <w:sz w:val="18"/>
                <w:szCs w:val="18"/>
                <w:u w:val="single" w:color="auto"/>
                <w:color w:val="auto"/>
                <w:w w:val="91"/>
              </w:rPr>
              <w:t>Confidentiality</w:t>
            </w:r>
            <w:r>
              <w:rPr>
                <w:rFonts w:ascii="Arial" w:cs="Arial" w:eastAsia="Arial" w:hAnsi="Arial"/>
                <w:sz w:val="18"/>
                <w:szCs w:val="18"/>
                <w:color w:val="auto"/>
                <w:w w:val="91"/>
              </w:rPr>
              <w:t>. No Party hereto shall directly or indirectly, disclose, reveal, divulge or communicate to any Person other than authorized</w:t>
            </w:r>
          </w:p>
        </w:tc>
      </w:tr>
    </w:tbl>
    <w:p>
      <w:pPr>
        <w:jc w:val="both"/>
        <w:spacing w:after="0" w:line="251" w:lineRule="auto"/>
        <w:rPr>
          <w:sz w:val="20"/>
          <w:szCs w:val="20"/>
          <w:color w:val="auto"/>
        </w:rPr>
      </w:pPr>
      <w:r>
        <w:rPr>
          <w:rFonts w:ascii="Arial" w:cs="Arial" w:eastAsia="Arial" w:hAnsi="Arial"/>
          <w:sz w:val="18"/>
          <w:szCs w:val="18"/>
          <w:color w:val="auto"/>
        </w:rPr>
        <w:t>officers, directors and employees of such Party any Confidential Information (as defined below). No Party shall have any obligation to keep confidential (or cause any of their officers, directors or affiliates to keep confidential) any Confidential Information if and to the extent disclosure thereof is specifically required by applicable Law or required in order to obtain regulatory approval of the transactions set forth herein; provided, however that in the event disclosure is required by applicable Law, the disclosing Party shall, to the extent reasonably possible, provide the other Parties with prompt notice of such requirement prior to making any disclosure so that the other Parties may seek an appropriate protective order. For purposes of this Section 5.1, “</w:t>
      </w:r>
      <w:r>
        <w:rPr>
          <w:rFonts w:ascii="Arial" w:cs="Arial" w:eastAsia="Arial" w:hAnsi="Arial"/>
          <w:sz w:val="18"/>
          <w:szCs w:val="18"/>
          <w:b w:val="1"/>
          <w:bCs w:val="1"/>
          <w:color w:val="auto"/>
        </w:rPr>
        <w:t>Confidential</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means any non-public information with respect to this Agreement and the facts and circumstances leading to this Agreement;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that Confidential Information does not include, and there shall be no obligation hereunder with respect to, information that (i) is generally available to the public as of the date of this Agreement or (ii) becomes generally available to the public other than as a result of a disclosure not otherwise permissible hereunder.</w:t>
      </w:r>
    </w:p>
    <w:p>
      <w:pPr>
        <w:spacing w:after="0" w:line="19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None of the Parties shall issue any press release, public announcement, circular or notice concerning this Agreement or the transactions contemplated hereby without obtaining the prior written approval (which approval will not be unreasonably withheld, conditioned or delayed) of the other Parties hereto; provided, however, that if in the reasonable judgment of the Party intending to make such issuance (as advised by the disclosing Party’s outside counsel), such Party reasonably determines in good faith that such public disclosure of this Agreement is otherwise required by applicable Law, court process or the rules and regulations of any national securities exchange or national securities quotation system, such Party may issue a press release, public announcement, circular or notice concerning this Agreement or the transactions contemplated hereby without obtaining the prior written approval of the other Parties hereto, but shall provide a draft of such public disclosure in advance for review and reasonable comment by the other Parties. Furthermore, each of the Parties agrees that the terms of this Agreement shall not be disclosed or otherwise made available to the public and that copies of this Agreement shall not be publicly filed or otherwise made available to the public, except where such disclosure, availability or filing is required by applicable Law (and only to the extent required by such Law) and except to such Parties’ equity holders and lenders.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140" w:type="dxa"/>
            <w:vAlign w:val="bottom"/>
          </w:tcPr>
          <w:p>
            <w:pPr>
              <w:jc w:val="center"/>
              <w:ind w:right="1190"/>
              <w:spacing w:after="0"/>
              <w:rPr>
                <w:sz w:val="20"/>
                <w:szCs w:val="20"/>
                <w:color w:val="auto"/>
              </w:rPr>
            </w:pPr>
            <w:r>
              <w:rPr>
                <w:rFonts w:ascii="Arial" w:cs="Arial" w:eastAsia="Arial" w:hAnsi="Arial"/>
                <w:sz w:val="18"/>
                <w:szCs w:val="18"/>
                <w:b w:val="1"/>
                <w:bCs w:val="1"/>
                <w:color w:val="auto"/>
              </w:rPr>
              <w:t>ARTICLE VI</w:t>
            </w:r>
          </w:p>
        </w:tc>
      </w:tr>
      <w:tr>
        <w:trPr>
          <w:trHeight w:val="234"/>
        </w:trPr>
        <w:tc>
          <w:tcPr>
            <w:tcW w:w="620" w:type="dxa"/>
            <w:vAlign w:val="bottom"/>
          </w:tcPr>
          <w:p>
            <w:pPr>
              <w:spacing w:after="0"/>
              <w:rPr>
                <w:sz w:val="20"/>
                <w:szCs w:val="20"/>
                <w:color w:val="auto"/>
              </w:rPr>
            </w:pPr>
          </w:p>
        </w:tc>
        <w:tc>
          <w:tcPr>
            <w:tcW w:w="10140" w:type="dxa"/>
            <w:vAlign w:val="bottom"/>
          </w:tcPr>
          <w:p>
            <w:pPr>
              <w:jc w:val="center"/>
              <w:ind w:right="1190"/>
              <w:spacing w:after="0"/>
              <w:rPr>
                <w:sz w:val="20"/>
                <w:szCs w:val="20"/>
                <w:color w:val="auto"/>
              </w:rPr>
            </w:pPr>
            <w:r>
              <w:rPr>
                <w:rFonts w:ascii="Arial" w:cs="Arial" w:eastAsia="Arial" w:hAnsi="Arial"/>
                <w:sz w:val="18"/>
                <w:szCs w:val="18"/>
                <w:b w:val="1"/>
                <w:bCs w:val="1"/>
                <w:color w:val="auto"/>
              </w:rPr>
              <w:t>MISCELLANEOUS</w:t>
            </w:r>
          </w:p>
        </w:tc>
      </w:tr>
      <w:tr>
        <w:trPr>
          <w:trHeight w:val="432"/>
        </w:trPr>
        <w:tc>
          <w:tcPr>
            <w:tcW w:w="620" w:type="dxa"/>
            <w:vAlign w:val="bottom"/>
          </w:tcPr>
          <w:p>
            <w:pPr>
              <w:jc w:val="right"/>
              <w:ind w:right="310"/>
              <w:spacing w:after="0"/>
              <w:rPr>
                <w:sz w:val="20"/>
                <w:szCs w:val="20"/>
                <w:color w:val="auto"/>
              </w:rPr>
            </w:pPr>
            <w:r>
              <w:rPr>
                <w:rFonts w:ascii="Arial" w:cs="Arial" w:eastAsia="Arial" w:hAnsi="Arial"/>
                <w:sz w:val="18"/>
                <w:szCs w:val="18"/>
                <w:color w:val="auto"/>
                <w:w w:val="79"/>
              </w:rPr>
              <w:t>6.1</w:t>
            </w:r>
          </w:p>
        </w:tc>
        <w:tc>
          <w:tcPr>
            <w:tcW w:w="10140" w:type="dxa"/>
            <w:vAlign w:val="bottom"/>
          </w:tcPr>
          <w:p>
            <w:pPr>
              <w:ind w:left="380"/>
              <w:spacing w:after="0"/>
              <w:rPr>
                <w:sz w:val="20"/>
                <w:szCs w:val="20"/>
                <w:color w:val="auto"/>
              </w:rPr>
            </w:pPr>
            <w:r>
              <w:rPr>
                <w:rFonts w:ascii="Arial" w:cs="Arial" w:eastAsia="Arial" w:hAnsi="Arial"/>
                <w:sz w:val="18"/>
                <w:szCs w:val="18"/>
                <w:u w:val="single" w:color="auto"/>
                <w:color w:val="auto"/>
                <w:w w:val="93"/>
              </w:rPr>
              <w:t>Assignment; Binding Effect</w:t>
            </w:r>
            <w:r>
              <w:rPr>
                <w:rFonts w:ascii="Arial" w:cs="Arial" w:eastAsia="Arial" w:hAnsi="Arial"/>
                <w:sz w:val="18"/>
                <w:szCs w:val="18"/>
                <w:color w:val="auto"/>
                <w:w w:val="93"/>
              </w:rPr>
              <w:t>. This Agreement shall be binding upon and inure to the benefit of the Parties hereto and their respective</w:t>
            </w:r>
          </w:p>
        </w:tc>
      </w:tr>
    </w:tbl>
    <w:p>
      <w:pPr>
        <w:jc w:val="both"/>
        <w:spacing w:after="0" w:line="254" w:lineRule="auto"/>
        <w:rPr>
          <w:sz w:val="20"/>
          <w:szCs w:val="20"/>
          <w:color w:val="auto"/>
        </w:rPr>
      </w:pPr>
      <w:r>
        <w:rPr>
          <w:rFonts w:ascii="Arial" w:cs="Arial" w:eastAsia="Arial" w:hAnsi="Arial"/>
          <w:sz w:val="18"/>
          <w:szCs w:val="18"/>
          <w:color w:val="auto"/>
        </w:rPr>
        <w:t>successors and assigns; provided, however, that none of the Parties may, directly or indirectly, transfer, assign or otherwise dispose of, whether voluntarily, involuntarily, by operation of Law or otherwise, this Agreement or any of their rights or obligations under this Agreement without the prior written consent of the other Parties, which consent may be granted, withheld or conditioned at the applicable Party’s sole discretion; provided, further, that any permitted assignment shall protect the other Parties’ rights under this Agreement.</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6.2</w:t>
            </w:r>
          </w:p>
        </w:tc>
        <w:tc>
          <w:tcPr>
            <w:tcW w:w="9900" w:type="dxa"/>
            <w:vAlign w:val="bottom"/>
            <w:gridSpan w:val="3"/>
          </w:tcPr>
          <w:p>
            <w:pPr>
              <w:spacing w:after="0"/>
              <w:rPr>
                <w:sz w:val="20"/>
                <w:szCs w:val="20"/>
                <w:color w:val="auto"/>
              </w:rPr>
            </w:pPr>
            <w:r>
              <w:rPr>
                <w:rFonts w:ascii="Arial" w:cs="Arial" w:eastAsia="Arial" w:hAnsi="Arial"/>
                <w:sz w:val="18"/>
                <w:szCs w:val="18"/>
                <w:color w:val="auto"/>
                <w:w w:val="88"/>
              </w:rPr>
              <w:t>Expenses. Except as otherwise specified herein, each Party shall bear its own fees, costs and expenses with respect to the transactions set</w:t>
            </w:r>
          </w:p>
        </w:tc>
      </w:tr>
      <w:tr>
        <w:trPr>
          <w:trHeight w:val="20"/>
        </w:trPr>
        <w:tc>
          <w:tcPr>
            <w:tcW w:w="1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37"/>
        </w:trPr>
        <w:tc>
          <w:tcPr>
            <w:tcW w:w="11420" w:type="dxa"/>
            <w:vAlign w:val="bottom"/>
            <w:gridSpan w:val="4"/>
          </w:tcPr>
          <w:p>
            <w:pPr>
              <w:spacing w:after="0"/>
              <w:rPr>
                <w:sz w:val="20"/>
                <w:szCs w:val="20"/>
                <w:color w:val="auto"/>
              </w:rPr>
            </w:pPr>
            <w:r>
              <w:rPr>
                <w:rFonts w:ascii="Arial" w:cs="Arial" w:eastAsia="Arial" w:hAnsi="Arial"/>
                <w:sz w:val="18"/>
                <w:szCs w:val="18"/>
                <w:color w:val="auto"/>
              </w:rPr>
              <w:t>forth herein, including the fees, costs and expenses of its financial advisors, accountants and counsel.</w:t>
            </w:r>
          </w:p>
        </w:tc>
      </w:tr>
      <w:tr>
        <w:trPr>
          <w:trHeight w:val="392"/>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4"/>
                <w:szCs w:val="24"/>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2"/>
              </w:rPr>
              <w:t>Notices. All notices, requests, claims, demands and other communications hereunder shall be in writing and shall be deemed to have</w:t>
            </w:r>
          </w:p>
        </w:tc>
      </w:tr>
      <w:tr>
        <w:trPr>
          <w:trHeight w:val="20"/>
        </w:trPr>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been duly given (a) when received, if delivered personally, (b) when transmitted by e-mail (upon confirmation of receipt), (c) upon receipt, if sent by registered or certified mail (postage prepaid, return receipt requested) and (d) the day after it is sent, if sent for next-day delivery to a domestic address by overnight mail or courier, to the Parties at the following addresses: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Biotest, BPC, Biotest US or the Trust: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Biotest AG</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Landsteinerstr. 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63303 Dreieich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Bernhard Ehmer and Michael Ramroth</w:t>
      </w:r>
    </w:p>
    <w:p>
      <w:pPr>
        <w:spacing w:after="0" w:line="9" w:lineRule="exact"/>
        <w:rPr>
          <w:sz w:val="20"/>
          <w:szCs w:val="20"/>
          <w:color w:val="auto"/>
        </w:rPr>
      </w:pPr>
    </w:p>
    <w:p>
      <w:pPr>
        <w:jc w:val="right"/>
        <w:ind w:right="7420"/>
        <w:spacing w:after="0"/>
        <w:rPr>
          <w:sz w:val="20"/>
          <w:szCs w:val="20"/>
          <w:color w:val="auto"/>
        </w:rPr>
      </w:pPr>
      <w:r>
        <w:rPr>
          <w:rFonts w:ascii="Arial" w:cs="Arial" w:eastAsia="Arial" w:hAnsi="Arial"/>
          <w:sz w:val="18"/>
          <w:szCs w:val="18"/>
          <w:color w:val="auto"/>
        </w:rPr>
        <w:t>Email: Bernhard.ehmer@biotest.com</w:t>
      </w:r>
    </w:p>
    <w:p>
      <w:pPr>
        <w:spacing w:after="0" w:line="9" w:lineRule="exact"/>
        <w:rPr>
          <w:sz w:val="20"/>
          <w:szCs w:val="20"/>
          <w:color w:val="auto"/>
        </w:rPr>
      </w:pPr>
    </w:p>
    <w:p>
      <w:pPr>
        <w:jc w:val="right"/>
        <w:ind w:right="7400"/>
        <w:spacing w:after="0"/>
        <w:rPr>
          <w:sz w:val="20"/>
          <w:szCs w:val="20"/>
          <w:color w:val="auto"/>
        </w:rPr>
      </w:pPr>
      <w:r>
        <w:rPr>
          <w:rFonts w:ascii="Arial" w:cs="Arial" w:eastAsia="Arial" w:hAnsi="Arial"/>
          <w:sz w:val="18"/>
          <w:szCs w:val="18"/>
          <w:color w:val="auto"/>
        </w:rPr>
        <w:t>michael.ramroth@biotest.com</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to: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Biotest Pharmaceuticals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5800 Park of Commerce Blvd. NW</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Boca Raton, FL 33487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Ileana Carlisle, CEO; and Donna Quinn, General Counsel</w:t>
      </w:r>
    </w:p>
    <w:p>
      <w:pPr>
        <w:spacing w:after="0" w:line="9" w:lineRule="exact"/>
        <w:rPr>
          <w:sz w:val="20"/>
          <w:szCs w:val="20"/>
          <w:color w:val="auto"/>
        </w:rPr>
      </w:pPr>
    </w:p>
    <w:p>
      <w:pPr>
        <w:jc w:val="right"/>
        <w:ind w:right="7480"/>
        <w:spacing w:after="0"/>
        <w:rPr>
          <w:sz w:val="20"/>
          <w:szCs w:val="20"/>
          <w:color w:val="auto"/>
        </w:rPr>
      </w:pPr>
      <w:r>
        <w:rPr>
          <w:rFonts w:ascii="Arial" w:cs="Arial" w:eastAsia="Arial" w:hAnsi="Arial"/>
          <w:sz w:val="18"/>
          <w:szCs w:val="18"/>
          <w:color w:val="auto"/>
        </w:rPr>
        <w:t>Email: icarlisle@biotestpharma.com</w:t>
      </w:r>
    </w:p>
    <w:p>
      <w:pPr>
        <w:spacing w:after="0" w:line="9" w:lineRule="exact"/>
        <w:rPr>
          <w:sz w:val="20"/>
          <w:szCs w:val="20"/>
          <w:color w:val="auto"/>
        </w:rPr>
      </w:pPr>
    </w:p>
    <w:p>
      <w:pPr>
        <w:jc w:val="right"/>
        <w:ind w:right="7540"/>
        <w:spacing w:after="0"/>
        <w:rPr>
          <w:sz w:val="20"/>
          <w:szCs w:val="20"/>
          <w:color w:val="auto"/>
        </w:rPr>
      </w:pPr>
      <w:r>
        <w:rPr>
          <w:rFonts w:ascii="Arial" w:cs="Arial" w:eastAsia="Arial" w:hAnsi="Arial"/>
          <w:sz w:val="18"/>
          <w:szCs w:val="18"/>
          <w:u w:val="single" w:color="auto"/>
          <w:color w:val="auto"/>
        </w:rPr>
        <w:t>dquinn@biotestpharma.com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Biotest Divestiture Trust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402 Norfolk St.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Eric Rosenbach, Trustee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Eric.rosenbach@gmail.com</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with copies (which shall not constitute notice) sent concurrently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Greenberg Traurig,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3333 Piedmont Road, 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2500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Atlanta, GA 30305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Wayne H. Elowe,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elowew@gtlaw.com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ADMA Biologics, ADMA BioManufacturing or ADMA BioCenters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ADMA Biologics,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465 Route 17 South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Ramsey, NJ 07446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Adam Grossman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agrossman@admabio.com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copies (which shall not constitute notice) sent concurrently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51 John F. Kennedy Parkway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120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Short Hills, NJ 07078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david.schwartz@dlapiper.com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provided, however, that if any Party shall have designated a different address by notice to the others, then to the last address so designated.</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provision, covenant or restriction of this Agreement is held by a court of competent jurisdiction or other authority to be invalid, void, unenforceable or against its regulatory policy such determination shall not affect the enforceability of any other term, provision, covenant or restriction of this Agreement or of the remainder of this Agreement which shall remain in full force and effect and shall in no way be affected, impaired or invalidated so long as the economic or legal substance of the transactions set forth herein are not affected in any manner materially adverse to any Party. Upon such determination that any term, provision, covenant or restriction of this Agreement is invalid, void, unenforceable or against regulatory policy, the Parties shall negotiate in good faith to modify this Agreement so as to effect the original intent of the Parties as closely as possible in a mutually acceptable manner in order that the transactions set forth herein be consummated as originally contemplated to the fullest extent possible.</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Amendment; Entire Agreement</w:t>
      </w:r>
      <w:r>
        <w:rPr>
          <w:rFonts w:ascii="Arial" w:cs="Arial" w:eastAsia="Arial" w:hAnsi="Arial"/>
          <w:sz w:val="17"/>
          <w:szCs w:val="17"/>
          <w:color w:val="auto"/>
        </w:rPr>
        <w:t>. This Agreement may not be amended, supplemented or otherwise modified except by an instrument in writing signed by all of the Parties hereto. This Agreement, which amends certain provisions of the Biocenters Purchase Agreement, Stockholders Agreement and Registration Rights Agreement, and the Voting Shares Transfer Documents, Non-Voting Shares Transfer Documents, instruments, documents and certificates contemplated hereby, contain the entire agreement of the Parties hereto with respect to the transactions set forth herein, superseding all negotiations, prior discussions and prior agreements, both written and oral, made prior to the date hereof.</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6" w:name="page77"/>
    <w:bookmarkEnd w:id="76"/>
    <w:p>
      <w:pPr>
        <w:jc w:val="both"/>
        <w:ind w:firstLine="648"/>
        <w:spacing w:after="0" w:line="31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This Agreement is solely for the benefit of the Parties hereto and their respective Affiliates and permitted assignees, and no provision of this Agreement shall be deemed to confer upon any Person, other than the Parties, and their respective Affiliates and permitted assignees any remedy, claim, liability, reimbursement, cause of action or other right in excess of those existing without reference to this Agreement.</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Waiver</w:t>
      </w:r>
      <w:r>
        <w:rPr>
          <w:rFonts w:ascii="Arial" w:cs="Arial" w:eastAsia="Arial" w:hAnsi="Arial"/>
          <w:sz w:val="17"/>
          <w:szCs w:val="17"/>
          <w:color w:val="auto"/>
        </w:rPr>
        <w:t>. Waiver of any term or condition of this Agreement by any Party shall only be effective if in writing and shall not be construed as a waiver of any subsequent breach or failure of the same term or condition or a waiver of any other term or condition of this Agreement. Neither course of conduct nor the failure or delay of any Party to exercise or enforce any right, remedy, condition or part of this Agreement at any time shall be construed as a waiver of that right, remedy, condition or part, nor shall it forfeit any rights to future exercise or enforcement thereof.</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Governing Law; Consent to Jurisdiction</w:t>
      </w:r>
      <w:r>
        <w:rPr>
          <w:rFonts w:ascii="Arial" w:cs="Arial" w:eastAsia="Arial" w:hAnsi="Arial"/>
          <w:sz w:val="17"/>
          <w:szCs w:val="17"/>
          <w:color w:val="auto"/>
        </w:rPr>
        <w:t>. This Agreement (including any dispute or controversy arising out of or relating to this Agreement) shall be governed by the Law of the State of Delaware without regard to conflict of law principles that would result in the application of any Law other than the Laws of the State of Delaware. Except as otherwise expressly set forth in this Agreement, each of the Parties irrevocably agrees that any action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Articles, Sections and subsections of this Agreement are inserted for convenience only and shall not be deemed to constitute a part of or to in any way affect the meaning or interpretation of this Agreement.</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by the Parties manually or by-email as a pdf attachment, in any number of counterparts, each of which shall be deemed an original but all of which together shall constitute one and the same instrument. This Agreement, any and all agreements and instruments executed and delivered in accordance herewith, along with any amendments hereto or thereto, to the extent signed and delivered by electronic transmission, shall be treated in all manner and respects and for all purposes as an original signature, agreement or instrument and shall be considered to have the same binding legal effect as if it were the original signed version thereof delivered in person.</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Construction</w:t>
      </w:r>
      <w:r>
        <w:rPr>
          <w:rFonts w:ascii="Arial" w:cs="Arial" w:eastAsia="Arial" w:hAnsi="Arial"/>
          <w:sz w:val="18"/>
          <w:szCs w:val="18"/>
          <w:color w:val="auto"/>
        </w:rPr>
        <w:t>. The language in all parts of this Agreement shall be construed, in all cases, according to its fair meaning. The Parties acknowledge that each Party and its counsel have reviewed and revised this Agreement and that any rule of construction to the effect that any ambiguities are to be resolved against the drafting Party shall not be employed in the interpretation of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 signature page follows]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7" w:name="page78"/>
    <w:bookmarkEnd w:id="77"/>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Share Transfer, Amendment and Release Agreement to be executed by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duly authorized officers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40220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022090"/>
                    </a:xfrm>
                    <a:prstGeom prst="rect">
                      <a:avLst/>
                    </a:prstGeom>
                    <a:noFill/>
                  </pic:spPr>
                </pic:pic>
              </a:graphicData>
            </a:graphic>
          </wp:anchor>
        </w:drawing>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ADMA BIOLOGICS, INC.</w:t>
            </w:r>
          </w:p>
        </w:tc>
        <w:tc>
          <w:tcPr>
            <w:tcW w:w="5900" w:type="dxa"/>
            <w:vAlign w:val="bottom"/>
            <w:gridSpan w:val="3"/>
          </w:tcPr>
          <w:p>
            <w:pPr>
              <w:ind w:left="1800"/>
              <w:spacing w:after="0"/>
              <w:rPr>
                <w:sz w:val="20"/>
                <w:szCs w:val="20"/>
                <w:color w:val="auto"/>
              </w:rPr>
            </w:pPr>
            <w:r>
              <w:rPr>
                <w:rFonts w:ascii="Arial" w:cs="Arial" w:eastAsia="Arial" w:hAnsi="Arial"/>
                <w:sz w:val="18"/>
                <w:szCs w:val="18"/>
                <w:b w:val="1"/>
                <w:bCs w:val="1"/>
                <w:color w:val="auto"/>
              </w:rPr>
              <w:t>BIOTEST PHARMACEUTICALS CORPORATION</w:t>
            </w:r>
          </w:p>
        </w:tc>
      </w:tr>
      <w:tr>
        <w:trPr>
          <w:trHeight w:val="392"/>
        </w:trPr>
        <w:tc>
          <w:tcPr>
            <w:tcW w:w="3900" w:type="dxa"/>
            <w:vAlign w:val="bottom"/>
            <w:gridSpan w:val="3"/>
          </w:tcPr>
          <w:p>
            <w:pPr>
              <w:spacing w:after="0"/>
              <w:rPr>
                <w:sz w:val="20"/>
                <w:szCs w:val="20"/>
                <w:color w:val="auto"/>
              </w:rPr>
            </w:pPr>
            <w:r>
              <w:rPr>
                <w:rFonts w:ascii="Arial" w:cs="Arial" w:eastAsia="Arial" w:hAnsi="Arial"/>
                <w:sz w:val="18"/>
                <w:szCs w:val="18"/>
                <w:color w:val="auto"/>
              </w:rPr>
              <w:t>By: /s/Adam Grossman</w:t>
            </w:r>
          </w:p>
        </w:tc>
        <w:tc>
          <w:tcPr>
            <w:tcW w:w="5900" w:type="dxa"/>
            <w:vAlign w:val="bottom"/>
            <w:gridSpan w:val="3"/>
          </w:tcPr>
          <w:p>
            <w:pPr>
              <w:ind w:left="1800"/>
              <w:spacing w:after="0"/>
              <w:rPr>
                <w:sz w:val="20"/>
                <w:szCs w:val="20"/>
                <w:color w:val="auto"/>
              </w:rPr>
            </w:pPr>
            <w:r>
              <w:rPr>
                <w:rFonts w:ascii="Arial" w:cs="Arial" w:eastAsia="Arial" w:hAnsi="Arial"/>
                <w:sz w:val="18"/>
                <w:szCs w:val="18"/>
                <w:color w:val="auto"/>
              </w:rPr>
              <w:t>By: /s/ Ileana Carlisle</w:t>
            </w:r>
          </w:p>
        </w:tc>
      </w:tr>
      <w:tr>
        <w:trPr>
          <w:trHeight w:val="20"/>
        </w:trPr>
        <w:tc>
          <w:tcPr>
            <w:tcW w:w="3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22"/>
        </w:trPr>
        <w:tc>
          <w:tcPr>
            <w:tcW w:w="3900" w:type="dxa"/>
            <w:vAlign w:val="bottom"/>
            <w:gridSpan w:val="3"/>
          </w:tcPr>
          <w:p>
            <w:pPr>
              <w:spacing w:after="0"/>
              <w:rPr>
                <w:sz w:val="20"/>
                <w:szCs w:val="20"/>
                <w:color w:val="auto"/>
              </w:rPr>
            </w:pPr>
            <w:r>
              <w:rPr>
                <w:rFonts w:ascii="Arial" w:cs="Arial" w:eastAsia="Arial" w:hAnsi="Arial"/>
                <w:sz w:val="18"/>
                <w:szCs w:val="18"/>
                <w:color w:val="auto"/>
              </w:rPr>
              <w:t>Name: Adam Grossman</w:t>
            </w:r>
          </w:p>
        </w:tc>
        <w:tc>
          <w:tcPr>
            <w:tcW w:w="5900" w:type="dxa"/>
            <w:vAlign w:val="bottom"/>
            <w:gridSpan w:val="3"/>
          </w:tcPr>
          <w:p>
            <w:pPr>
              <w:ind w:left="1800"/>
              <w:spacing w:after="0"/>
              <w:rPr>
                <w:sz w:val="20"/>
                <w:szCs w:val="20"/>
                <w:color w:val="auto"/>
              </w:rPr>
            </w:pPr>
            <w:r>
              <w:rPr>
                <w:rFonts w:ascii="Arial" w:cs="Arial" w:eastAsia="Arial" w:hAnsi="Arial"/>
                <w:sz w:val="18"/>
                <w:szCs w:val="18"/>
                <w:color w:val="auto"/>
              </w:rPr>
              <w:t>Name: Ileana Carlisle</w:t>
            </w: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Title: President and CEO</w:t>
            </w:r>
          </w:p>
        </w:tc>
        <w:tc>
          <w:tcPr>
            <w:tcW w:w="5900" w:type="dxa"/>
            <w:vAlign w:val="bottom"/>
            <w:gridSpan w:val="3"/>
          </w:tcPr>
          <w:p>
            <w:pPr>
              <w:ind w:left="1800"/>
              <w:spacing w:after="0"/>
              <w:rPr>
                <w:sz w:val="20"/>
                <w:szCs w:val="20"/>
                <w:color w:val="auto"/>
              </w:rPr>
            </w:pPr>
            <w:r>
              <w:rPr>
                <w:rFonts w:ascii="Arial" w:cs="Arial" w:eastAsia="Arial" w:hAnsi="Arial"/>
                <w:sz w:val="18"/>
                <w:szCs w:val="18"/>
                <w:color w:val="auto"/>
              </w:rPr>
              <w:t>Title: CEO</w:t>
            </w:r>
          </w:p>
        </w:tc>
      </w:tr>
    </w:tbl>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ADMA BIOMANUFACTURING, LLC</w:t>
            </w:r>
          </w:p>
        </w:tc>
        <w:tc>
          <w:tcPr>
            <w:tcW w:w="4500" w:type="dxa"/>
            <w:vAlign w:val="bottom"/>
            <w:gridSpan w:val="3"/>
          </w:tcPr>
          <w:p>
            <w:pPr>
              <w:ind w:left="1320"/>
              <w:spacing w:after="0"/>
              <w:rPr>
                <w:sz w:val="20"/>
                <w:szCs w:val="20"/>
                <w:color w:val="auto"/>
              </w:rPr>
            </w:pPr>
            <w:r>
              <w:rPr>
                <w:rFonts w:ascii="Arial" w:cs="Arial" w:eastAsia="Arial" w:hAnsi="Arial"/>
                <w:sz w:val="18"/>
                <w:szCs w:val="18"/>
                <w:b w:val="1"/>
                <w:bCs w:val="1"/>
                <w:color w:val="auto"/>
              </w:rPr>
              <w:t>ADMA BIO CENTERS GEORGIA INC.</w:t>
            </w:r>
          </w:p>
        </w:tc>
      </w:tr>
      <w:tr>
        <w:trPr>
          <w:trHeight w:val="392"/>
        </w:trPr>
        <w:tc>
          <w:tcPr>
            <w:tcW w:w="4380" w:type="dxa"/>
            <w:vAlign w:val="bottom"/>
            <w:gridSpan w:val="3"/>
          </w:tcPr>
          <w:p>
            <w:pPr>
              <w:spacing w:after="0"/>
              <w:rPr>
                <w:sz w:val="20"/>
                <w:szCs w:val="20"/>
                <w:color w:val="auto"/>
              </w:rPr>
            </w:pPr>
            <w:r>
              <w:rPr>
                <w:rFonts w:ascii="Arial" w:cs="Arial" w:eastAsia="Arial" w:hAnsi="Arial"/>
                <w:sz w:val="18"/>
                <w:szCs w:val="18"/>
                <w:color w:val="auto"/>
              </w:rPr>
              <w:t>By: /s/Adam Grossman</w:t>
            </w:r>
          </w:p>
        </w:tc>
        <w:tc>
          <w:tcPr>
            <w:tcW w:w="4500" w:type="dxa"/>
            <w:vAlign w:val="bottom"/>
            <w:gridSpan w:val="3"/>
          </w:tcPr>
          <w:p>
            <w:pPr>
              <w:ind w:left="1320"/>
              <w:spacing w:after="0"/>
              <w:rPr>
                <w:sz w:val="20"/>
                <w:szCs w:val="20"/>
                <w:color w:val="auto"/>
              </w:rPr>
            </w:pPr>
            <w:r>
              <w:rPr>
                <w:rFonts w:ascii="Arial" w:cs="Arial" w:eastAsia="Arial" w:hAnsi="Arial"/>
                <w:sz w:val="18"/>
                <w:szCs w:val="18"/>
                <w:color w:val="auto"/>
              </w:rPr>
              <w:t>By: /s/Adam Grossman</w:t>
            </w:r>
          </w:p>
        </w:tc>
      </w:tr>
      <w:tr>
        <w:trPr>
          <w:trHeight w:val="20"/>
        </w:trPr>
        <w:tc>
          <w:tcPr>
            <w:tcW w:w="3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2"/>
        </w:trPr>
        <w:tc>
          <w:tcPr>
            <w:tcW w:w="4380" w:type="dxa"/>
            <w:vAlign w:val="bottom"/>
            <w:gridSpan w:val="3"/>
          </w:tcPr>
          <w:p>
            <w:pPr>
              <w:spacing w:after="0"/>
              <w:rPr>
                <w:sz w:val="20"/>
                <w:szCs w:val="20"/>
                <w:color w:val="auto"/>
              </w:rPr>
            </w:pPr>
            <w:r>
              <w:rPr>
                <w:rFonts w:ascii="Arial" w:cs="Arial" w:eastAsia="Arial" w:hAnsi="Arial"/>
                <w:sz w:val="18"/>
                <w:szCs w:val="18"/>
                <w:color w:val="auto"/>
              </w:rPr>
              <w:t>Name: Adam Grossman</w:t>
            </w:r>
          </w:p>
        </w:tc>
        <w:tc>
          <w:tcPr>
            <w:tcW w:w="4500" w:type="dxa"/>
            <w:vAlign w:val="bottom"/>
            <w:gridSpan w:val="3"/>
          </w:tcPr>
          <w:p>
            <w:pPr>
              <w:ind w:left="1320"/>
              <w:spacing w:after="0"/>
              <w:rPr>
                <w:sz w:val="20"/>
                <w:szCs w:val="20"/>
                <w:color w:val="auto"/>
              </w:rPr>
            </w:pPr>
            <w:r>
              <w:rPr>
                <w:rFonts w:ascii="Arial" w:cs="Arial" w:eastAsia="Arial" w:hAnsi="Arial"/>
                <w:sz w:val="18"/>
                <w:szCs w:val="18"/>
                <w:color w:val="auto"/>
              </w:rPr>
              <w:t>Name: Adam Grossman</w:t>
            </w:r>
          </w:p>
        </w:tc>
      </w:tr>
      <w:tr>
        <w:trPr>
          <w:trHeight w:val="230"/>
        </w:trPr>
        <w:tc>
          <w:tcPr>
            <w:tcW w:w="4380" w:type="dxa"/>
            <w:vAlign w:val="bottom"/>
            <w:gridSpan w:val="3"/>
          </w:tcPr>
          <w:p>
            <w:pPr>
              <w:spacing w:after="0"/>
              <w:rPr>
                <w:sz w:val="20"/>
                <w:szCs w:val="20"/>
                <w:color w:val="auto"/>
              </w:rPr>
            </w:pPr>
            <w:r>
              <w:rPr>
                <w:rFonts w:ascii="Arial" w:cs="Arial" w:eastAsia="Arial" w:hAnsi="Arial"/>
                <w:sz w:val="18"/>
                <w:szCs w:val="18"/>
                <w:color w:val="auto"/>
              </w:rPr>
              <w:t>Title: President and CEO</w:t>
            </w:r>
          </w:p>
        </w:tc>
        <w:tc>
          <w:tcPr>
            <w:tcW w:w="4500" w:type="dxa"/>
            <w:vAlign w:val="bottom"/>
            <w:gridSpan w:val="3"/>
          </w:tcPr>
          <w:p>
            <w:pPr>
              <w:ind w:left="1320"/>
              <w:spacing w:after="0"/>
              <w:rPr>
                <w:sz w:val="20"/>
                <w:szCs w:val="20"/>
                <w:color w:val="auto"/>
              </w:rPr>
            </w:pPr>
            <w:r>
              <w:rPr>
                <w:rFonts w:ascii="Arial" w:cs="Arial" w:eastAsia="Arial" w:hAnsi="Arial"/>
                <w:sz w:val="18"/>
                <w:szCs w:val="18"/>
                <w:color w:val="auto"/>
              </w:rPr>
              <w:t>Title: CEO</w:t>
            </w:r>
          </w:p>
        </w:tc>
      </w:tr>
    </w:tbl>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60" w:type="dxa"/>
            <w:vAlign w:val="bottom"/>
            <w:gridSpan w:val="4"/>
          </w:tcPr>
          <w:p>
            <w:pPr>
              <w:spacing w:after="0"/>
              <w:rPr>
                <w:sz w:val="20"/>
                <w:szCs w:val="20"/>
                <w:color w:val="auto"/>
              </w:rPr>
            </w:pPr>
            <w:r>
              <w:rPr>
                <w:rFonts w:ascii="Arial" w:cs="Arial" w:eastAsia="Arial" w:hAnsi="Arial"/>
                <w:sz w:val="18"/>
                <w:szCs w:val="18"/>
                <w:b w:val="1"/>
                <w:bCs w:val="1"/>
                <w:color w:val="auto"/>
              </w:rPr>
              <w:t>BIOTEST AG</w:t>
            </w:r>
          </w:p>
        </w:tc>
        <w:tc>
          <w:tcPr>
            <w:tcW w:w="4420" w:type="dxa"/>
            <w:vAlign w:val="bottom"/>
            <w:gridSpan w:val="3"/>
          </w:tcPr>
          <w:p>
            <w:pPr>
              <w:ind w:left="1940"/>
              <w:spacing w:after="0"/>
              <w:rPr>
                <w:sz w:val="20"/>
                <w:szCs w:val="20"/>
                <w:color w:val="auto"/>
              </w:rPr>
            </w:pPr>
            <w:r>
              <w:rPr>
                <w:rFonts w:ascii="Arial" w:cs="Arial" w:eastAsia="Arial" w:hAnsi="Arial"/>
                <w:sz w:val="18"/>
                <w:szCs w:val="18"/>
                <w:b w:val="1"/>
                <w:bCs w:val="1"/>
                <w:color w:val="auto"/>
                <w:w w:val="99"/>
              </w:rPr>
              <w:t>BIOTEST US CORPORATION</w:t>
            </w:r>
          </w:p>
        </w:tc>
      </w:tr>
      <w:tr>
        <w:trPr>
          <w:trHeight w:val="392"/>
        </w:trPr>
        <w:tc>
          <w:tcPr>
            <w:tcW w:w="3760" w:type="dxa"/>
            <w:vAlign w:val="bottom"/>
            <w:gridSpan w:val="4"/>
          </w:tcPr>
          <w:p>
            <w:pPr>
              <w:spacing w:after="0"/>
              <w:rPr>
                <w:sz w:val="20"/>
                <w:szCs w:val="20"/>
                <w:color w:val="auto"/>
              </w:rPr>
            </w:pPr>
            <w:r>
              <w:rPr>
                <w:rFonts w:ascii="Arial" w:cs="Arial" w:eastAsia="Arial" w:hAnsi="Arial"/>
                <w:sz w:val="18"/>
                <w:szCs w:val="18"/>
                <w:color w:val="auto"/>
              </w:rPr>
              <w:t>By: /s/ Bernhard Ehmer</w:t>
            </w:r>
          </w:p>
        </w:tc>
        <w:tc>
          <w:tcPr>
            <w:tcW w:w="4420" w:type="dxa"/>
            <w:vAlign w:val="bottom"/>
            <w:gridSpan w:val="3"/>
          </w:tcPr>
          <w:p>
            <w:pPr>
              <w:ind w:left="1940"/>
              <w:spacing w:after="0"/>
              <w:rPr>
                <w:sz w:val="20"/>
                <w:szCs w:val="20"/>
                <w:color w:val="auto"/>
              </w:rPr>
            </w:pPr>
            <w:r>
              <w:rPr>
                <w:rFonts w:ascii="Arial" w:cs="Arial" w:eastAsia="Arial" w:hAnsi="Arial"/>
                <w:sz w:val="18"/>
                <w:szCs w:val="18"/>
                <w:color w:val="auto"/>
              </w:rPr>
              <w:t>By: /s/ Ileana Carlisle</w:t>
            </w:r>
          </w:p>
        </w:tc>
      </w:tr>
      <w:tr>
        <w:trPr>
          <w:trHeight w:val="20"/>
        </w:trPr>
        <w:tc>
          <w:tcPr>
            <w:tcW w:w="3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2"/>
        </w:trPr>
        <w:tc>
          <w:tcPr>
            <w:tcW w:w="3760" w:type="dxa"/>
            <w:vAlign w:val="bottom"/>
            <w:gridSpan w:val="4"/>
          </w:tcPr>
          <w:p>
            <w:pPr>
              <w:spacing w:after="0"/>
              <w:rPr>
                <w:sz w:val="20"/>
                <w:szCs w:val="20"/>
                <w:color w:val="auto"/>
              </w:rPr>
            </w:pPr>
            <w:r>
              <w:rPr>
                <w:rFonts w:ascii="Arial" w:cs="Arial" w:eastAsia="Arial" w:hAnsi="Arial"/>
                <w:sz w:val="18"/>
                <w:szCs w:val="18"/>
                <w:color w:val="auto"/>
              </w:rPr>
              <w:t>Name: Bernhard Ehmer</w:t>
            </w:r>
          </w:p>
        </w:tc>
        <w:tc>
          <w:tcPr>
            <w:tcW w:w="4420" w:type="dxa"/>
            <w:vAlign w:val="bottom"/>
            <w:gridSpan w:val="3"/>
          </w:tcPr>
          <w:p>
            <w:pPr>
              <w:ind w:left="1940"/>
              <w:spacing w:after="0"/>
              <w:rPr>
                <w:sz w:val="20"/>
                <w:szCs w:val="20"/>
                <w:color w:val="auto"/>
              </w:rPr>
            </w:pPr>
            <w:r>
              <w:rPr>
                <w:rFonts w:ascii="Arial" w:cs="Arial" w:eastAsia="Arial" w:hAnsi="Arial"/>
                <w:sz w:val="18"/>
                <w:szCs w:val="18"/>
                <w:color w:val="auto"/>
              </w:rPr>
              <w:t>Name: Ileana Carlisle</w:t>
            </w:r>
          </w:p>
        </w:tc>
      </w:tr>
      <w:tr>
        <w:trPr>
          <w:trHeight w:val="230"/>
        </w:trPr>
        <w:tc>
          <w:tcPr>
            <w:tcW w:w="3760" w:type="dxa"/>
            <w:vAlign w:val="bottom"/>
            <w:gridSpan w:val="4"/>
          </w:tcPr>
          <w:p>
            <w:pPr>
              <w:spacing w:after="0"/>
              <w:rPr>
                <w:sz w:val="20"/>
                <w:szCs w:val="20"/>
                <w:color w:val="auto"/>
              </w:rPr>
            </w:pPr>
            <w:r>
              <w:rPr>
                <w:rFonts w:ascii="Arial" w:cs="Arial" w:eastAsia="Arial" w:hAnsi="Arial"/>
                <w:sz w:val="18"/>
                <w:szCs w:val="18"/>
                <w:color w:val="auto"/>
              </w:rPr>
              <w:t>Title: CEO</w:t>
            </w:r>
          </w:p>
        </w:tc>
        <w:tc>
          <w:tcPr>
            <w:tcW w:w="4420" w:type="dxa"/>
            <w:vAlign w:val="bottom"/>
            <w:gridSpan w:val="3"/>
          </w:tcPr>
          <w:p>
            <w:pPr>
              <w:ind w:left="1940"/>
              <w:spacing w:after="0"/>
              <w:rPr>
                <w:sz w:val="20"/>
                <w:szCs w:val="20"/>
                <w:color w:val="auto"/>
              </w:rPr>
            </w:pPr>
            <w:r>
              <w:rPr>
                <w:rFonts w:ascii="Arial" w:cs="Arial" w:eastAsia="Arial" w:hAnsi="Arial"/>
                <w:sz w:val="18"/>
                <w:szCs w:val="18"/>
                <w:color w:val="auto"/>
              </w:rPr>
              <w:t>Title: CEO</w:t>
            </w:r>
          </w:p>
        </w:tc>
      </w:tr>
      <w:tr>
        <w:trPr>
          <w:trHeight w:val="392"/>
        </w:trPr>
        <w:tc>
          <w:tcPr>
            <w:tcW w:w="3760" w:type="dxa"/>
            <w:vAlign w:val="bottom"/>
            <w:gridSpan w:val="4"/>
          </w:tcPr>
          <w:p>
            <w:pPr>
              <w:spacing w:after="0"/>
              <w:rPr>
                <w:sz w:val="20"/>
                <w:szCs w:val="20"/>
                <w:color w:val="auto"/>
              </w:rPr>
            </w:pPr>
            <w:r>
              <w:rPr>
                <w:rFonts w:ascii="Arial" w:cs="Arial" w:eastAsia="Arial" w:hAnsi="Arial"/>
                <w:sz w:val="18"/>
                <w:szCs w:val="18"/>
                <w:color w:val="auto"/>
              </w:rPr>
              <w:t>By: /s/ Michael Ramroth</w:t>
            </w:r>
          </w:p>
        </w:tc>
        <w:tc>
          <w:tcPr>
            <w:tcW w:w="2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2"/>
        </w:trPr>
        <w:tc>
          <w:tcPr>
            <w:tcW w:w="3760" w:type="dxa"/>
            <w:vAlign w:val="bottom"/>
            <w:gridSpan w:val="4"/>
          </w:tcPr>
          <w:p>
            <w:pPr>
              <w:spacing w:after="0"/>
              <w:rPr>
                <w:sz w:val="20"/>
                <w:szCs w:val="20"/>
                <w:color w:val="auto"/>
              </w:rPr>
            </w:pPr>
            <w:r>
              <w:rPr>
                <w:rFonts w:ascii="Arial" w:cs="Arial" w:eastAsia="Arial" w:hAnsi="Arial"/>
                <w:sz w:val="18"/>
                <w:szCs w:val="18"/>
                <w:color w:val="auto"/>
              </w:rPr>
              <w:t>Name: Michael Ramroth</w:t>
            </w:r>
          </w:p>
        </w:tc>
        <w:tc>
          <w:tcPr>
            <w:tcW w:w="2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760" w:type="dxa"/>
            <w:vAlign w:val="bottom"/>
            <w:gridSpan w:val="4"/>
          </w:tcPr>
          <w:p>
            <w:pPr>
              <w:spacing w:after="0"/>
              <w:rPr>
                <w:sz w:val="20"/>
                <w:szCs w:val="20"/>
                <w:color w:val="auto"/>
              </w:rPr>
            </w:pPr>
            <w:r>
              <w:rPr>
                <w:rFonts w:ascii="Arial" w:cs="Arial" w:eastAsia="Arial" w:hAnsi="Arial"/>
                <w:sz w:val="18"/>
                <w:szCs w:val="18"/>
                <w:color w:val="auto"/>
              </w:rPr>
              <w:t>Title: CFO</w:t>
            </w:r>
          </w:p>
        </w:tc>
        <w:tc>
          <w:tcPr>
            <w:tcW w:w="2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65"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THE BIOTEST DIVESTITURE TRUST</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Eric Rosenbach</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Eric Rosenbach</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Trustee</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Share Transfer, Amendment and Release Agreement]</w:t>
      </w:r>
    </w:p>
    <w:p>
      <w:pPr>
        <w:sectPr>
          <w:pgSz w:w="11900" w:h="16838" w:orient="portrait"/>
          <w:cols w:equalWidth="0" w:num="1">
            <w:col w:w="11400"/>
          </w:cols>
          <w:pgMar w:left="240" w:top="337" w:right="259" w:bottom="1440" w:gutter="0" w:footer="0" w:header="0"/>
        </w:sectPr>
      </w:pPr>
    </w:p>
    <w:bookmarkStart w:id="78" w:name="page79"/>
    <w:bookmarkEnd w:id="78"/>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#1 TO THE PLASMA SUPPLY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(HEPATITIS B PLASMA – BPC TO ADMA)</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This Amendment #1 to the Plasma Supply Agreement (this “</w:t>
      </w:r>
      <w:r>
        <w:rPr>
          <w:rFonts w:ascii="Arial" w:cs="Arial" w:eastAsia="Arial" w:hAnsi="Arial"/>
          <w:sz w:val="18"/>
          <w:szCs w:val="18"/>
          <w:b w:val="1"/>
          <w:bCs w:val="1"/>
          <w:color w:val="auto"/>
        </w:rPr>
        <w:t>Amendment #1</w:t>
      </w:r>
      <w:r>
        <w:rPr>
          <w:rFonts w:ascii="Arial" w:cs="Arial" w:eastAsia="Arial" w:hAnsi="Arial"/>
          <w:sz w:val="18"/>
          <w:szCs w:val="18"/>
          <w:color w:val="auto"/>
        </w:rPr>
        <w:t>”), effective as of July 19, 2018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is by and between </w:t>
      </w:r>
      <w:r>
        <w:rPr>
          <w:rFonts w:ascii="Arial" w:cs="Arial" w:eastAsia="Arial" w:hAnsi="Arial"/>
          <w:sz w:val="18"/>
          <w:szCs w:val="18"/>
          <w:b w:val="1"/>
          <w:bCs w:val="1"/>
          <w:color w:val="auto"/>
        </w:rPr>
        <w:t>Biotest Pharmaceuticals Corporation</w:t>
      </w:r>
      <w:r>
        <w:rPr>
          <w:rFonts w:ascii="Arial" w:cs="Arial" w:eastAsia="Arial" w:hAnsi="Arial"/>
          <w:sz w:val="18"/>
          <w:szCs w:val="18"/>
          <w:color w:val="auto"/>
        </w:rPr>
        <w:t>, a Delaware corporation, having a place of business at 901 Yamato Road, Suite 101, Boca Raton, Florida 33431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BPC</w:t>
      </w:r>
      <w:r>
        <w:rPr>
          <w:rFonts w:ascii="Arial" w:cs="Arial" w:eastAsia="Arial" w:hAnsi="Arial"/>
          <w:sz w:val="18"/>
          <w:szCs w:val="18"/>
          <w:color w:val="auto"/>
        </w:rPr>
        <w:t xml:space="preserve">”) and </w:t>
      </w:r>
      <w:r>
        <w:rPr>
          <w:rFonts w:ascii="Arial" w:cs="Arial" w:eastAsia="Arial" w:hAnsi="Arial"/>
          <w:sz w:val="18"/>
          <w:szCs w:val="18"/>
          <w:b w:val="1"/>
          <w:bCs w:val="1"/>
          <w:color w:val="auto"/>
        </w:rPr>
        <w:t>ADMA BioManufacturing, LLC</w:t>
      </w:r>
      <w:r>
        <w:rPr>
          <w:rFonts w:ascii="Arial" w:cs="Arial" w:eastAsia="Arial" w:hAnsi="Arial"/>
          <w:sz w:val="18"/>
          <w:szCs w:val="18"/>
          <w:color w:val="auto"/>
        </w:rPr>
        <w:t>, a Delaware limited liability company, having a place of business at 5800 Park of Commerce Boulevard NW, Boca Raton, Florida 33487 (</w:t>
      </w:r>
      <w:r>
        <w:rPr>
          <w:rFonts w:ascii="Arial" w:cs="Arial" w:eastAsia="Arial" w:hAnsi="Arial"/>
          <w:sz w:val="18"/>
          <w:szCs w:val="18"/>
          <w:b w:val="1"/>
          <w:bCs w:val="1"/>
          <w:color w:val="auto"/>
        </w:rPr>
        <w:t>“ADMA”</w:t>
      </w:r>
      <w:r>
        <w:rPr>
          <w:rFonts w:ascii="Arial" w:cs="Arial" w:eastAsia="Arial" w:hAnsi="Arial"/>
          <w:sz w:val="18"/>
          <w:szCs w:val="18"/>
          <w:color w:val="auto"/>
        </w:rPr>
        <w: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BPC and ADMA are Parties to that certain Plasma Supply Agreement, with an effective date of June 6, 2017, for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hyperimmune plasma containing antibodies to the hepatitis B virus (“</w:t>
      </w:r>
      <w:r>
        <w:rPr>
          <w:rFonts w:ascii="Arial" w:cs="Arial" w:eastAsia="Arial" w:hAnsi="Arial"/>
          <w:sz w:val="18"/>
          <w:szCs w:val="18"/>
          <w:b w:val="1"/>
          <w:bCs w:val="1"/>
          <w:color w:val="auto"/>
        </w:rPr>
        <w:t>HEPATITIS B PLASMA</w:t>
      </w:r>
      <w:r>
        <w:rPr>
          <w:rFonts w:ascii="Arial" w:cs="Arial" w:eastAsia="Arial" w:hAnsi="Arial"/>
          <w:sz w:val="18"/>
          <w:szCs w:val="18"/>
          <w:color w:val="auto"/>
        </w:rPr>
        <w:t>”) (the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wish to clarify and amend certain terms and conditions of the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respective promises contained herein and other valuable consideration, the receipt and sufficiency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hereby acknowledged, and intending to be legally bound hereby, the Parties hereto agree as follows: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w:t>
      </w:r>
    </w:p>
    <w:p>
      <w:pPr>
        <w:spacing w:after="0" w:line="229"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Section A.2.b., shall be deleted in its entirety and replaced with the following:</w:t>
      </w:r>
    </w:p>
    <w:p>
      <w:pPr>
        <w:spacing w:after="0" w:line="225" w:lineRule="exact"/>
        <w:rPr>
          <w:rFonts w:ascii="Arial" w:cs="Arial" w:eastAsia="Arial" w:hAnsi="Arial"/>
          <w:sz w:val="18"/>
          <w:szCs w:val="18"/>
          <w:color w:val="auto"/>
        </w:rPr>
      </w:pPr>
    </w:p>
    <w:p>
      <w:pPr>
        <w:jc w:val="both"/>
        <w:ind w:left="1360" w:hanging="1"/>
        <w:spacing w:after="0" w:line="270" w:lineRule="auto"/>
        <w:tabs>
          <w:tab w:leader="none" w:pos="1927" w:val="left"/>
        </w:tabs>
        <w:numPr>
          <w:ilvl w:val="1"/>
          <w:numId w:val="39"/>
        </w:numPr>
        <w:rPr>
          <w:rFonts w:ascii="Arial" w:cs="Arial" w:eastAsia="Arial" w:hAnsi="Arial"/>
          <w:sz w:val="17"/>
          <w:szCs w:val="17"/>
          <w:color w:val="auto"/>
        </w:rPr>
      </w:pPr>
      <w:r>
        <w:rPr>
          <w:rFonts w:ascii="Arial" w:cs="Arial" w:eastAsia="Arial" w:hAnsi="Arial"/>
          <w:sz w:val="17"/>
          <w:szCs w:val="17"/>
          <w:color w:val="auto"/>
        </w:rPr>
        <w:t>Notwithstanding the foregoing, during the Term, ADMA agrees to purchase its requirements for HEPATITIS B PLASMA needed for the production of the Product exclusively from BPC unless (i) ADMA’s production of the Product requires in excess of [***] of HEPATITIS B PLASMA annually (with the first annual period commencing on the Effective Date and each one-year period thereafter commencing on the applicable anniversary of the Effective Date), (ii) BPC is unable to supply ADMA’s requirements for HEPATITIS B PLASMA needed for the production of the Product or (iii) BPC elects not to supply in excess of [***] of HEPATITIS B PLASMA, then ADMA shall have the right to purchase from third parties such excess quantities, or for the avoidance of doubt, supply such excess quantities itself from any ADMA owned plasma center. If ADMA is unable to secure HEPATITIS B PLASMA at a price which is within [***]% of the price ADMA pays to BPC, and BPC has elected to not supply such quantities of HEPATITIS B PLASMA to ADMA, BPC agrees to reimburse ADMA for the difference in price ADMA will incur due to BPC’s election to not supply.</w:t>
      </w:r>
    </w:p>
    <w:p>
      <w:pPr>
        <w:spacing w:after="0" w:line="181"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Section A.3, entitled, “PAYMENT TERMS” is hereby amended by deleting the address for Biotest Pharmaceuticals Corporation and replacing it with the following:</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Biotest Pharmaceuticals Corporation</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901 Yamato Road, Suite 101</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Boca Raton, Florida 33431</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Email: accountspayable@biotestpharma.com</w:t>
      </w:r>
    </w:p>
    <w:p>
      <w:pPr>
        <w:spacing w:after="0" w:line="211"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Section K, entitled “NOTICES,” is hereby amended by deleting “to BPC” notice section and replacing it with the following:</w:t>
      </w:r>
    </w:p>
    <w:p>
      <w:pPr>
        <w:spacing w:after="0" w:line="225"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BPC Initials ______</w:t>
      </w:r>
    </w:p>
    <w:p>
      <w:pPr>
        <w:spacing w:after="0" w:line="46"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ADMA Initials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9" w:name="page80"/>
    <w:bookmarkEnd w:id="79"/>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24" w:lineRule="exact"/>
        <w:rPr>
          <w:sz w:val="20"/>
          <w:szCs w:val="20"/>
          <w:color w:val="auto"/>
        </w:rPr>
      </w:pPr>
    </w:p>
    <w:p>
      <w:pPr>
        <w:ind w:left="1360"/>
        <w:spacing w:after="0"/>
        <w:rPr>
          <w:sz w:val="20"/>
          <w:szCs w:val="20"/>
          <w:color w:val="auto"/>
        </w:rPr>
      </w:pPr>
      <w:r>
        <w:rPr>
          <w:rFonts w:ascii="Arial" w:cs="Arial" w:eastAsia="Arial" w:hAnsi="Arial"/>
          <w:sz w:val="18"/>
          <w:szCs w:val="18"/>
          <w:u w:val="single" w:color="auto"/>
          <w:color w:val="auto"/>
        </w:rPr>
        <w:t>To BPC:</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Ileana Carlisle</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Biotest Pharmaceuticals Corporation</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901 Yamato Road, Suite 101</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Boca Raton, FL 33431</w:t>
      </w:r>
    </w:p>
    <w:p>
      <w:pPr>
        <w:spacing w:after="0" w:line="211" w:lineRule="exact"/>
        <w:rPr>
          <w:sz w:val="20"/>
          <w:szCs w:val="20"/>
          <w:color w:val="auto"/>
        </w:rPr>
      </w:pPr>
    </w:p>
    <w:p>
      <w:pPr>
        <w:ind w:left="1360"/>
        <w:spacing w:after="0"/>
        <w:rPr>
          <w:sz w:val="20"/>
          <w:szCs w:val="20"/>
          <w:color w:val="auto"/>
        </w:rPr>
      </w:pPr>
      <w:r>
        <w:rPr>
          <w:rFonts w:ascii="Arial" w:cs="Arial" w:eastAsia="Arial" w:hAnsi="Arial"/>
          <w:sz w:val="18"/>
          <w:szCs w:val="18"/>
          <w:u w:val="single" w:color="auto"/>
          <w:color w:val="auto"/>
        </w:rPr>
        <w:t>With a copy to:</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Legal Department</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Biotest Pharmaceuticals Corporation</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901 Yamato Road, Suite 101</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Boca Raton, FL 33431</w:t>
      </w:r>
    </w:p>
    <w:p>
      <w:pPr>
        <w:spacing w:after="0" w:line="211"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Exhibit “A,” entitled “PLASMA SPECIFICATION and QUALITY AGREEMENT,” is attached hereto.</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party certifies that each of its representations and warranties set forth in this Amendment #1 is true and correct as of the date hereof as though made on the date hereof.</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Except as expressly provided herein, all terms and conditions set forth in the Agreement remain unchanged and continue in full force and effect. This Amendment #1 shall govern in the event of any conflict between this Amendment #1 and the Agreement. Capitalized terms not otherwise defined herein have the meanings ascribed thereto in the Agreement. It is agreed by the parties that all references to the Agreement hereafter made by them in any document or instrument delivered pursuant to or in connection with the Agreement shall be deemed to refer to the Agreement as amended hereby.</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Amendment #1 and the Agreement embody the entire agreement and understanding between the parties hereto with respect to the subject matter hereof and supersede all prior agreements and understandings relating to the subject matter.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Amendment #1 may be executed in any number of counterparts, each of which shall be deemed an original but all of which together shall constitute one and the same single document, and any such counterpart containing an electronically scanned or facsimile signature will have the same effect as original manual signatures.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Parties agree that they and their employees shall execute all documents and do all other things necessary to carry out the intent to implement the provisions of this Amendment #1.</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hereby have caused this Amendment #1 to the Agreement to be executed and the persons signing below warrant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they are duly authorized to sign for and on behalf of their respective Parties.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ADMA BioManufacturing, LLC</w:t>
            </w:r>
          </w:p>
        </w:tc>
        <w:tc>
          <w:tcPr>
            <w:tcW w:w="6300" w:type="dxa"/>
            <w:vAlign w:val="bottom"/>
            <w:gridSpan w:val="2"/>
          </w:tcPr>
          <w:p>
            <w:pPr>
              <w:ind w:left="1120"/>
              <w:spacing w:after="0"/>
              <w:rPr>
                <w:sz w:val="20"/>
                <w:szCs w:val="20"/>
                <w:color w:val="auto"/>
              </w:rPr>
            </w:pPr>
            <w:r>
              <w:rPr>
                <w:rFonts w:ascii="Arial" w:cs="Arial" w:eastAsia="Arial" w:hAnsi="Arial"/>
                <w:sz w:val="18"/>
                <w:szCs w:val="18"/>
                <w:b w:val="1"/>
                <w:bCs w:val="1"/>
                <w:color w:val="auto"/>
              </w:rPr>
              <w:t>Biotest Pharmaceuticals Corporation</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Grossman</w:t>
            </w:r>
          </w:p>
        </w:tc>
        <w:tc>
          <w:tcPr>
            <w:tcW w:w="1700" w:type="dxa"/>
            <w:vAlign w:val="bottom"/>
          </w:tcPr>
          <w:p>
            <w:pPr>
              <w:ind w:left="112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Donna Quinn</w:t>
            </w:r>
          </w:p>
        </w:tc>
      </w:tr>
      <w:tr>
        <w:trPr>
          <w:trHeight w:val="426"/>
        </w:trPr>
        <w:tc>
          <w:tcPr>
            <w:tcW w:w="5120" w:type="dxa"/>
            <w:vAlign w:val="bottom"/>
            <w:gridSpan w:val="2"/>
          </w:tcPr>
          <w:p>
            <w:pPr>
              <w:spacing w:after="0"/>
              <w:rPr>
                <w:sz w:val="20"/>
                <w:szCs w:val="20"/>
                <w:color w:val="auto"/>
              </w:rPr>
            </w:pPr>
            <w:r>
              <w:rPr>
                <w:rFonts w:ascii="Arial" w:cs="Arial" w:eastAsia="Arial" w:hAnsi="Arial"/>
                <w:sz w:val="18"/>
                <w:szCs w:val="18"/>
                <w:color w:val="auto"/>
              </w:rPr>
              <w:t>Name: Adam Grossman</w:t>
            </w:r>
          </w:p>
        </w:tc>
        <w:tc>
          <w:tcPr>
            <w:tcW w:w="1700" w:type="dxa"/>
            <w:vAlign w:val="bottom"/>
          </w:tcPr>
          <w:p>
            <w:pPr>
              <w:ind w:left="1120"/>
              <w:spacing w:after="0"/>
              <w:rPr>
                <w:sz w:val="20"/>
                <w:szCs w:val="20"/>
                <w:color w:val="auto"/>
              </w:rPr>
            </w:pPr>
            <w:r>
              <w:rPr>
                <w:rFonts w:ascii="Arial" w:cs="Arial" w:eastAsia="Arial" w:hAnsi="Arial"/>
                <w:sz w:val="18"/>
                <w:szCs w:val="18"/>
                <w:color w:val="auto"/>
              </w:rPr>
              <w:t>Name:</w:t>
            </w:r>
          </w:p>
        </w:tc>
        <w:tc>
          <w:tcPr>
            <w:tcW w:w="4600" w:type="dxa"/>
            <w:vAlign w:val="bottom"/>
          </w:tcPr>
          <w:p>
            <w:pPr>
              <w:spacing w:after="0"/>
              <w:rPr>
                <w:sz w:val="20"/>
                <w:szCs w:val="20"/>
                <w:color w:val="auto"/>
              </w:rPr>
            </w:pPr>
            <w:r>
              <w:rPr>
                <w:rFonts w:ascii="Arial" w:cs="Arial" w:eastAsia="Arial" w:hAnsi="Arial"/>
                <w:sz w:val="18"/>
                <w:szCs w:val="18"/>
                <w:color w:val="auto"/>
              </w:rPr>
              <w:t>Donna Quinn</w:t>
            </w:r>
          </w:p>
        </w:tc>
      </w:tr>
      <w:tr>
        <w:trPr>
          <w:trHeight w:val="42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President and CEO</w:t>
            </w:r>
          </w:p>
        </w:tc>
        <w:tc>
          <w:tcPr>
            <w:tcW w:w="1700" w:type="dxa"/>
            <w:vAlign w:val="bottom"/>
          </w:tcPr>
          <w:p>
            <w:pPr>
              <w:ind w:left="1120"/>
              <w:spacing w:after="0"/>
              <w:rPr>
                <w:sz w:val="20"/>
                <w:szCs w:val="20"/>
                <w:color w:val="auto"/>
              </w:rPr>
            </w:pPr>
            <w:r>
              <w:rPr>
                <w:rFonts w:ascii="Arial" w:cs="Arial" w:eastAsia="Arial" w:hAnsi="Arial"/>
                <w:sz w:val="18"/>
                <w:szCs w:val="18"/>
                <w:color w:val="auto"/>
              </w:rPr>
              <w:t>Title:</w:t>
            </w:r>
          </w:p>
        </w:tc>
        <w:tc>
          <w:tcPr>
            <w:tcW w:w="4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Vice President and General Counsel</w:t>
            </w:r>
          </w:p>
        </w:tc>
      </w:tr>
      <w:tr>
        <w:trPr>
          <w:trHeight w:val="426"/>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July 19, 2018</w:t>
            </w:r>
          </w:p>
        </w:tc>
        <w:tc>
          <w:tcPr>
            <w:tcW w:w="1700" w:type="dxa"/>
            <w:vAlign w:val="bottom"/>
          </w:tcPr>
          <w:p>
            <w:pPr>
              <w:ind w:left="1120"/>
              <w:spacing w:after="0"/>
              <w:rPr>
                <w:sz w:val="20"/>
                <w:szCs w:val="20"/>
                <w:color w:val="auto"/>
              </w:rPr>
            </w:pPr>
            <w:r>
              <w:rPr>
                <w:rFonts w:ascii="Arial" w:cs="Arial" w:eastAsia="Arial" w:hAnsi="Arial"/>
                <w:sz w:val="18"/>
                <w:szCs w:val="18"/>
                <w:color w:val="auto"/>
              </w:rPr>
              <w:t>Date:</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July 19, 2018</w:t>
            </w:r>
          </w:p>
        </w:tc>
      </w:tr>
      <w:tr>
        <w:trPr>
          <w:trHeight w:val="325"/>
        </w:trPr>
        <w:tc>
          <w:tcPr>
            <w:tcW w:w="5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80" w:name="page81"/>
    <w:bookmarkEnd w:id="80"/>
    <w:p>
      <w:pPr>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PLASMA SPECIFICATION and QUALITY AGREEMENT</w:t>
      </w:r>
    </w:p>
    <w:p>
      <w:pPr>
        <w:sectPr>
          <w:pgSz w:w="11900" w:h="16838" w:orient="portrait"/>
          <w:cols w:equalWidth="0" w:num="1">
            <w:col w:w="11340"/>
          </w:cols>
          <w:pgMar w:left="240" w:top="341" w:right="319" w:bottom="1440" w:gutter="0" w:footer="0" w:header="0"/>
        </w:sectPr>
      </w:pPr>
    </w:p>
    <w:bookmarkStart w:id="81" w:name="page82"/>
    <w:bookmarkEnd w:id="81"/>
    <w:p>
      <w:pPr>
        <w:ind w:right="80"/>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87630</wp:posOffset>
            </wp:positionV>
            <wp:extent cx="1475105" cy="6343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7510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Biotest Pharmaceuticals Corporation </w:t>
      </w:r>
      <w:r>
        <w:rPr>
          <w:rFonts w:ascii="Arial" w:cs="Arial" w:eastAsia="Arial" w:hAnsi="Arial"/>
          <w:sz w:val="18"/>
          <w:szCs w:val="18"/>
          <w:color w:val="auto"/>
        </w:rPr>
        <w:t>· 901 Yamato Road, Suite 101 Boca Raton, FL 33431-4409</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July 19,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Adam Grossman, 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ADMA BioManufacturing,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5800 Park of Commerce Blvd.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Boca Raton, FL 33431</w:t>
      </w:r>
    </w:p>
    <w:p>
      <w:pPr>
        <w:sectPr>
          <w:pgSz w:w="11900" w:h="16838" w:orient="portrait"/>
          <w:cols w:equalWidth="0" w:num="1">
            <w:col w:w="11420"/>
          </w:cols>
          <w:pgMar w:left="240" w:top="368"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Amendment - Plasma Purchase Agreement, Normal Source Plasma Purchase From BPC to ADMA, by and between ADMA BioManufacturing, LLC. (“ADMA”) and Biotest Pharmaceuticals Corporation (“BPC”), with an effective date of June 6, 2017 (the “Agreement”)</w:t>
      </w:r>
    </w:p>
    <w:p>
      <w:pPr>
        <w:spacing w:after="0" w:line="147" w:lineRule="exact"/>
        <w:rPr>
          <w:sz w:val="20"/>
          <w:szCs w:val="20"/>
          <w:color w:val="auto"/>
        </w:rPr>
      </w:pPr>
    </w:p>
    <w:p>
      <w:pPr>
        <w:sectPr>
          <w:pgSz w:w="11900" w:h="16838" w:orient="portrait"/>
          <w:cols w:equalWidth="0" w:num="2">
            <w:col w:w="260" w:space="400"/>
            <w:col w:w="10760"/>
          </w:cols>
          <w:pgMar w:left="240" w:top="368"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Dear Adam,</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accordance with Section 2.a. of the above referenced Agreement, BPC (or its successor in interest) shall, for calendar year 2019, supply up to [***] liters (Quantity) of NSP at a price of $[***] per liter; provided ADMA delivers a valid Purchase Order to BPC setting forth requested amounts, no later than [***], 2018. For calendar years 2020 and 2021, BPC further agrees that it (or its successor in interest) shall supply no less than at least [***] percent ([***]%) of ADMA’s requested NSP amounts; provided such requested NSP volumes are between the ranges of [***] – [***] liters. Prices for such NSP shall be set in accordance with the terms and conditions of the Agreement and the historical ordinary course business practices between the parties.</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event BPC (or its successors in interest) fails to supply ADMA with at least at least [***] percent ([***]%) of ADMA’s requested NSP (as described above), BPC agrees to promptly reimburse ADMA (in a lump sum payment) the difference in price ADMA will incur due to BPC’s election to not supply NSP to ADMA in such amounts as requested by ADMA. The parties agree that the foregoing amount is not a penalty but an approximation of damages that ADMA would incur in the event of such non-supply. Notwithstanding the foregoing, all other remedies available under the Agreement shall remain intact.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set forth in the Agreement remain unchanged and continue in full force and effect.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Biotest Pharmaceuticals Corporation </w:t>
      </w:r>
      <w:r>
        <w:rPr>
          <w:rFonts w:ascii="Arial" w:cs="Arial" w:eastAsia="Arial" w:hAnsi="Arial"/>
          <w:sz w:val="18"/>
          <w:szCs w:val="18"/>
          <w:b w:val="1"/>
          <w:bCs w:val="1"/>
          <w:color w:val="auto"/>
        </w:rPr>
        <w:t>· 901 Yamato Road, Suite 101 Boca Raton, FL 33431-4409 561.569.3100 www.biotestpharma.com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color w:val="auto"/>
        </w:rPr>
        <w:t>ADMA BioManufacturing,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19,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Confidential treatment has been requested with respect to portions of this agreement as indicated by “[***]” and such confidential portions have been deleted and filed separately with the Securities and Exchange Commission pursuant to Rule 24b-2 of the Securities Exchange Act of 1934, as amended.</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Please provide your acknowledgment and agreement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BIOTEST PHARMACEUTICALS CORPORATION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Donna A. Quinn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Donna A. Quinn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General Counsel</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undersigned, having full power, authority and legal right to execute, deliver and perform this Amendment on behalf of ADMA.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Adam Grossman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Adam Grossman,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Adam S. Grossman, certify that:</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40" w:hanging="322"/>
        <w:spacing w:after="0" w:line="308" w:lineRule="auto"/>
        <w:tabs>
          <w:tab w:leader="none" w:pos="1140" w:val="left"/>
        </w:tabs>
        <w:numPr>
          <w:ilvl w:val="2"/>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40" w:hanging="322"/>
        <w:spacing w:after="0" w:line="264" w:lineRule="auto"/>
        <w:tabs>
          <w:tab w:leader="none" w:pos="11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hanging="322"/>
        <w:spacing w:after="0" w:line="308" w:lineRule="auto"/>
        <w:tabs>
          <w:tab w:leader="none" w:pos="1140" w:val="left"/>
        </w:tabs>
        <w:numPr>
          <w:ilvl w:val="2"/>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322"/>
        <w:spacing w:after="0" w:line="277" w:lineRule="auto"/>
        <w:tabs>
          <w:tab w:leader="none" w:pos="11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Date: August 10, 2018</w:t>
            </w:r>
          </w:p>
        </w:tc>
        <w:tc>
          <w:tcPr>
            <w:tcW w:w="3200" w:type="dxa"/>
            <w:vAlign w:val="bottom"/>
          </w:tcPr>
          <w:p>
            <w:pPr>
              <w:ind w:left="254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4180" w:type="dxa"/>
            <w:vAlign w:val="bottom"/>
          </w:tcPr>
          <w:p>
            <w:pPr>
              <w:spacing w:after="0"/>
              <w:rPr>
                <w:sz w:val="16"/>
                <w:szCs w:val="16"/>
                <w:color w:val="auto"/>
              </w:rPr>
            </w:pPr>
          </w:p>
        </w:tc>
        <w:tc>
          <w:tcPr>
            <w:tcW w:w="3200" w:type="dxa"/>
            <w:vAlign w:val="bottom"/>
          </w:tcPr>
          <w:p>
            <w:pPr>
              <w:ind w:left="2540"/>
              <w:spacing w:after="0" w:line="195" w:lineRule="exact"/>
              <w:rPr>
                <w:sz w:val="20"/>
                <w:szCs w:val="20"/>
                <w:color w:val="auto"/>
              </w:rPr>
            </w:pPr>
            <w:r>
              <w:rPr>
                <w:rFonts w:ascii="Arial" w:cs="Arial" w:eastAsia="Arial" w:hAnsi="Arial"/>
                <w:sz w:val="18"/>
                <w:szCs w:val="18"/>
                <w:color w:val="auto"/>
              </w:rPr>
              <w:t>Name:</w:t>
            </w: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4180" w:type="dxa"/>
            <w:vAlign w:val="bottom"/>
          </w:tcPr>
          <w:p>
            <w:pPr>
              <w:spacing w:after="0"/>
              <w:rPr>
                <w:sz w:val="18"/>
                <w:szCs w:val="18"/>
                <w:color w:val="auto"/>
              </w:rPr>
            </w:pPr>
          </w:p>
        </w:tc>
        <w:tc>
          <w:tcPr>
            <w:tcW w:w="3200" w:type="dxa"/>
            <w:vAlign w:val="bottom"/>
          </w:tcPr>
          <w:p>
            <w:pPr>
              <w:ind w:left="2540"/>
              <w:spacing w:after="0"/>
              <w:rPr>
                <w:sz w:val="20"/>
                <w:szCs w:val="20"/>
                <w:color w:val="auto"/>
              </w:rPr>
            </w:pPr>
            <w:r>
              <w:rPr>
                <w:rFonts w:ascii="Arial" w:cs="Arial" w:eastAsia="Arial" w:hAnsi="Arial"/>
                <w:sz w:val="18"/>
                <w:szCs w:val="18"/>
                <w:color w:val="auto"/>
              </w:rPr>
              <w:t>Title:</w:t>
            </w:r>
          </w:p>
        </w:tc>
        <w:tc>
          <w:tcPr>
            <w:tcW w:w="4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1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6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Lenz, certify that:</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2"/>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2"/>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40" w:hanging="322"/>
        <w:spacing w:after="0" w:line="308" w:lineRule="auto"/>
        <w:tabs>
          <w:tab w:leader="none" w:pos="1140" w:val="left"/>
        </w:tabs>
        <w:numPr>
          <w:ilvl w:val="2"/>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40" w:hanging="322"/>
        <w:spacing w:after="0" w:line="264" w:lineRule="auto"/>
        <w:tabs>
          <w:tab w:leader="none" w:pos="1140" w:val="left"/>
        </w:tabs>
        <w:numPr>
          <w:ilvl w:val="2"/>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hanging="322"/>
        <w:spacing w:after="0" w:line="308" w:lineRule="auto"/>
        <w:tabs>
          <w:tab w:leader="none" w:pos="1140" w:val="left"/>
        </w:tabs>
        <w:numPr>
          <w:ilvl w:val="2"/>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322"/>
        <w:spacing w:after="0" w:line="277" w:lineRule="auto"/>
        <w:tabs>
          <w:tab w:leader="none" w:pos="1140" w:val="left"/>
        </w:tabs>
        <w:numPr>
          <w:ilvl w:val="2"/>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Date: August 10, 2018</w:t>
            </w:r>
          </w:p>
        </w:tc>
        <w:tc>
          <w:tcPr>
            <w:tcW w:w="3200" w:type="dxa"/>
            <w:vAlign w:val="bottom"/>
          </w:tcPr>
          <w:p>
            <w:pPr>
              <w:ind w:left="254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4180" w:type="dxa"/>
            <w:vAlign w:val="bottom"/>
          </w:tcPr>
          <w:p>
            <w:pPr>
              <w:spacing w:after="0"/>
              <w:rPr>
                <w:sz w:val="16"/>
                <w:szCs w:val="16"/>
                <w:color w:val="auto"/>
              </w:rPr>
            </w:pPr>
          </w:p>
        </w:tc>
        <w:tc>
          <w:tcPr>
            <w:tcW w:w="3200" w:type="dxa"/>
            <w:vAlign w:val="bottom"/>
          </w:tcPr>
          <w:p>
            <w:pPr>
              <w:ind w:left="2540"/>
              <w:spacing w:after="0" w:line="195" w:lineRule="exact"/>
              <w:rPr>
                <w:sz w:val="20"/>
                <w:szCs w:val="20"/>
                <w:color w:val="auto"/>
              </w:rPr>
            </w:pPr>
            <w:r>
              <w:rPr>
                <w:rFonts w:ascii="Arial" w:cs="Arial" w:eastAsia="Arial" w:hAnsi="Arial"/>
                <w:sz w:val="18"/>
                <w:szCs w:val="18"/>
                <w:color w:val="auto"/>
              </w:rPr>
              <w:t>Name:</w:t>
            </w: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4180" w:type="dxa"/>
            <w:vAlign w:val="bottom"/>
          </w:tcPr>
          <w:p>
            <w:pPr>
              <w:spacing w:after="0"/>
              <w:rPr>
                <w:sz w:val="18"/>
                <w:szCs w:val="18"/>
                <w:color w:val="auto"/>
              </w:rPr>
            </w:pPr>
          </w:p>
        </w:tc>
        <w:tc>
          <w:tcPr>
            <w:tcW w:w="3200" w:type="dxa"/>
            <w:vAlign w:val="bottom"/>
          </w:tcPr>
          <w:p>
            <w:pPr>
              <w:ind w:left="2540"/>
              <w:spacing w:after="0"/>
              <w:rPr>
                <w:sz w:val="20"/>
                <w:szCs w:val="20"/>
                <w:color w:val="auto"/>
              </w:rPr>
            </w:pPr>
            <w:r>
              <w:rPr>
                <w:rFonts w:ascii="Arial" w:cs="Arial" w:eastAsia="Arial" w:hAnsi="Arial"/>
                <w:sz w:val="18"/>
                <w:szCs w:val="18"/>
                <w:color w:val="auto"/>
              </w:rPr>
              <w:t>Title:</w:t>
            </w:r>
          </w:p>
        </w:tc>
        <w:tc>
          <w:tcPr>
            <w:tcW w:w="4040" w:type="dxa"/>
            <w:vAlign w:val="bottom"/>
          </w:tcPr>
          <w:p>
            <w:pPr>
              <w:spacing w:after="0"/>
              <w:rPr>
                <w:sz w:val="20"/>
                <w:szCs w:val="20"/>
                <w:color w:val="auto"/>
              </w:rPr>
            </w:pPr>
            <w:r>
              <w:rPr>
                <w:rFonts w:ascii="Arial" w:cs="Arial" w:eastAsia="Arial" w:hAnsi="Arial"/>
                <w:sz w:val="18"/>
                <w:szCs w:val="18"/>
                <w:color w:val="auto"/>
                <w:w w:val="96"/>
              </w:rPr>
              <w:t>Executive Vice President and Chief Financial Officer</w:t>
            </w:r>
          </w:p>
        </w:tc>
      </w:tr>
      <w:tr>
        <w:trPr>
          <w:trHeight w:val="230"/>
        </w:trPr>
        <w:tc>
          <w:tcPr>
            <w:tcW w:w="41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364"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connection with the Quarterly Report of ADMA Biologics, Inc., a Delaware corporation (the “Company”), on Form 10-Q for the quarter ended June 30, 2018,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14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Date: August 10, 2018</w:t>
            </w:r>
          </w:p>
        </w:tc>
        <w:tc>
          <w:tcPr>
            <w:tcW w:w="3200" w:type="dxa"/>
            <w:vAlign w:val="bottom"/>
          </w:tcPr>
          <w:p>
            <w:pPr>
              <w:ind w:left="254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4180" w:type="dxa"/>
            <w:vAlign w:val="bottom"/>
          </w:tcPr>
          <w:p>
            <w:pPr>
              <w:spacing w:after="0"/>
              <w:rPr>
                <w:sz w:val="16"/>
                <w:szCs w:val="16"/>
                <w:color w:val="auto"/>
              </w:rPr>
            </w:pPr>
          </w:p>
        </w:tc>
        <w:tc>
          <w:tcPr>
            <w:tcW w:w="3200" w:type="dxa"/>
            <w:vAlign w:val="bottom"/>
          </w:tcPr>
          <w:p>
            <w:pPr>
              <w:ind w:left="2540"/>
              <w:spacing w:after="0" w:line="195" w:lineRule="exact"/>
              <w:rPr>
                <w:sz w:val="20"/>
                <w:szCs w:val="20"/>
                <w:color w:val="auto"/>
              </w:rPr>
            </w:pPr>
            <w:r>
              <w:rPr>
                <w:rFonts w:ascii="Arial" w:cs="Arial" w:eastAsia="Arial" w:hAnsi="Arial"/>
                <w:sz w:val="18"/>
                <w:szCs w:val="18"/>
                <w:color w:val="auto"/>
              </w:rPr>
              <w:t>Name:</w:t>
            </w: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4180" w:type="dxa"/>
            <w:vAlign w:val="bottom"/>
          </w:tcPr>
          <w:p>
            <w:pPr>
              <w:spacing w:after="0"/>
              <w:rPr>
                <w:sz w:val="18"/>
                <w:szCs w:val="18"/>
                <w:color w:val="auto"/>
              </w:rPr>
            </w:pPr>
          </w:p>
        </w:tc>
        <w:tc>
          <w:tcPr>
            <w:tcW w:w="3200" w:type="dxa"/>
            <w:vAlign w:val="bottom"/>
          </w:tcPr>
          <w:p>
            <w:pPr>
              <w:ind w:left="2540"/>
              <w:spacing w:after="0"/>
              <w:rPr>
                <w:sz w:val="20"/>
                <w:szCs w:val="20"/>
                <w:color w:val="auto"/>
              </w:rPr>
            </w:pPr>
            <w:r>
              <w:rPr>
                <w:rFonts w:ascii="Arial" w:cs="Arial" w:eastAsia="Arial" w:hAnsi="Arial"/>
                <w:sz w:val="18"/>
                <w:szCs w:val="18"/>
                <w:color w:val="auto"/>
              </w:rPr>
              <w:t>Title:</w:t>
            </w:r>
          </w:p>
        </w:tc>
        <w:tc>
          <w:tcPr>
            <w:tcW w:w="4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1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64"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Quarterly Report of ADMA Biologics, Inc., a Delaware corporation (the “Company”), on Form 10-Q for the quarter ended June 30, 2018, as filed with the Securities and Exchange Commission on the date hereof (the “Report”), I, Brian Lenz, Chief Financial Officer of the Company, hereby certify, pursuant to 18 U.S.C. §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Date: August 10, 2018</w:t>
            </w:r>
          </w:p>
        </w:tc>
        <w:tc>
          <w:tcPr>
            <w:tcW w:w="3200" w:type="dxa"/>
            <w:vAlign w:val="bottom"/>
          </w:tcPr>
          <w:p>
            <w:pPr>
              <w:ind w:left="254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4180" w:type="dxa"/>
            <w:vAlign w:val="bottom"/>
          </w:tcPr>
          <w:p>
            <w:pPr>
              <w:spacing w:after="0"/>
              <w:rPr>
                <w:sz w:val="16"/>
                <w:szCs w:val="16"/>
                <w:color w:val="auto"/>
              </w:rPr>
            </w:pPr>
          </w:p>
        </w:tc>
        <w:tc>
          <w:tcPr>
            <w:tcW w:w="3200" w:type="dxa"/>
            <w:vAlign w:val="bottom"/>
          </w:tcPr>
          <w:p>
            <w:pPr>
              <w:ind w:left="2540"/>
              <w:spacing w:after="0" w:line="195" w:lineRule="exact"/>
              <w:rPr>
                <w:sz w:val="20"/>
                <w:szCs w:val="20"/>
                <w:color w:val="auto"/>
              </w:rPr>
            </w:pPr>
            <w:r>
              <w:rPr>
                <w:rFonts w:ascii="Arial" w:cs="Arial" w:eastAsia="Arial" w:hAnsi="Arial"/>
                <w:sz w:val="18"/>
                <w:szCs w:val="18"/>
                <w:color w:val="auto"/>
              </w:rPr>
              <w:t>Name:</w:t>
            </w: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4180" w:type="dxa"/>
            <w:vAlign w:val="bottom"/>
          </w:tcPr>
          <w:p>
            <w:pPr>
              <w:spacing w:after="0"/>
              <w:rPr>
                <w:sz w:val="18"/>
                <w:szCs w:val="18"/>
                <w:color w:val="auto"/>
              </w:rPr>
            </w:pPr>
          </w:p>
        </w:tc>
        <w:tc>
          <w:tcPr>
            <w:tcW w:w="3200" w:type="dxa"/>
            <w:vAlign w:val="bottom"/>
          </w:tcPr>
          <w:p>
            <w:pPr>
              <w:ind w:left="2540"/>
              <w:spacing w:after="0"/>
              <w:rPr>
                <w:sz w:val="20"/>
                <w:szCs w:val="20"/>
                <w:color w:val="auto"/>
              </w:rPr>
            </w:pPr>
            <w:r>
              <w:rPr>
                <w:rFonts w:ascii="Arial" w:cs="Arial" w:eastAsia="Arial" w:hAnsi="Arial"/>
                <w:sz w:val="18"/>
                <w:szCs w:val="18"/>
                <w:color w:val="auto"/>
              </w:rPr>
              <w:t>Title:</w:t>
            </w:r>
          </w:p>
        </w:tc>
        <w:tc>
          <w:tcPr>
            <w:tcW w:w="4040" w:type="dxa"/>
            <w:vAlign w:val="bottom"/>
          </w:tcPr>
          <w:p>
            <w:pPr>
              <w:spacing w:after="0"/>
              <w:rPr>
                <w:sz w:val="20"/>
                <w:szCs w:val="20"/>
                <w:color w:val="auto"/>
              </w:rPr>
            </w:pPr>
            <w:r>
              <w:rPr>
                <w:rFonts w:ascii="Arial" w:cs="Arial" w:eastAsia="Arial" w:hAnsi="Arial"/>
                <w:sz w:val="18"/>
                <w:szCs w:val="18"/>
                <w:color w:val="auto"/>
                <w:w w:val="96"/>
              </w:rPr>
              <w:t>Executive Vice President and Chief Financial Officer</w:t>
            </w:r>
          </w:p>
        </w:tc>
      </w:tr>
      <w:tr>
        <w:trPr>
          <w:trHeight w:val="230"/>
        </w:trPr>
        <w:tc>
          <w:tcPr>
            <w:tcW w:w="41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ý"/>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2"/>
    </w:lvl>
  </w:abstractNum>
  <w:abstractNum w:abstractNumId="6">
    <w:nsid w:val="B03E0C6"/>
    <w:multiLevelType w:val="hybridMultilevel"/>
    <w:lvl w:ilvl="0">
      <w:lvlJc w:val="left"/>
      <w:lvlText w:val="%1."/>
      <w:numFmt w:val="decimal"/>
      <w:start w:val="3"/>
    </w:lvl>
  </w:abstractNum>
  <w:abstractNum w:abstractNumId="7">
    <w:nsid w:val="189A769B"/>
    <w:multiLevelType w:val="hybridMultilevel"/>
    <w:lvl w:ilvl="0">
      <w:lvlJc w:val="left"/>
      <w:lvlText w:val="%1."/>
      <w:numFmt w:val="decimal"/>
      <w:start w:val="4"/>
    </w:lvl>
  </w:abstractNum>
  <w:abstractNum w:abstractNumId="8">
    <w:nsid w:val="54E49EB4"/>
    <w:multiLevelType w:val="hybridMultilevel"/>
    <w:lvl w:ilvl="0">
      <w:lvlJc w:val="left"/>
      <w:lvlText w:val="%1."/>
      <w:numFmt w:val="decimal"/>
      <w:start w:val="5"/>
    </w:lvl>
  </w:abstractNum>
  <w:abstractNum w:abstractNumId="9">
    <w:nsid w:val="71F32454"/>
    <w:multiLevelType w:val="hybridMultilevel"/>
    <w:lvl w:ilvl="0">
      <w:lvlJc w:val="left"/>
      <w:lvlText w:val="%1."/>
      <w:numFmt w:val="decimal"/>
      <w:start w:val="6"/>
    </w:lvl>
  </w:abstractNum>
  <w:abstractNum w:abstractNumId="10">
    <w:nsid w:val="2CA88611"/>
    <w:multiLevelType w:val="hybridMultilevel"/>
    <w:lvl w:ilvl="0">
      <w:lvlJc w:val="left"/>
      <w:lvlText w:val="%1."/>
      <w:numFmt w:val="decimal"/>
      <w:start w:val="7"/>
    </w:lvl>
  </w:abstractNum>
  <w:abstractNum w:abstractNumId="11">
    <w:nsid w:val="836C40E"/>
    <w:multiLevelType w:val="hybridMultilevel"/>
    <w:lvl w:ilvl="0">
      <w:lvlJc w:val="left"/>
      <w:lvlText w:val="%1."/>
      <w:numFmt w:val="decimal"/>
      <w:start w:val="8"/>
    </w:lvl>
  </w:abstractNum>
  <w:abstractNum w:abstractNumId="12">
    <w:nsid w:val="2901D82"/>
    <w:multiLevelType w:val="hybridMultilevel"/>
    <w:lvl w:ilvl="0">
      <w:lvlJc w:val="left"/>
      <w:lvlText w:val="%1."/>
      <w:numFmt w:val="decimal"/>
      <w:start w:val="9"/>
    </w:lvl>
  </w:abstractNum>
  <w:abstractNum w:abstractNumId="13">
    <w:nsid w:val="3A95F874"/>
    <w:multiLevelType w:val="hybridMultilevel"/>
    <w:lvl w:ilvl="0">
      <w:lvlJc w:val="left"/>
      <w:lvlText w:val="%1."/>
      <w:numFmt w:val="decimal"/>
      <w:start w:val="10"/>
    </w:lvl>
  </w:abstractNum>
  <w:abstractNum w:abstractNumId="14">
    <w:nsid w:val="8138641"/>
    <w:multiLevelType w:val="hybridMultilevel"/>
    <w:lvl w:ilvl="0">
      <w:lvlJc w:val="left"/>
      <w:lvlText w:val="%1."/>
      <w:numFmt w:val="decimal"/>
      <w:start w:val="11"/>
    </w:lvl>
  </w:abstractNum>
  <w:abstractNum w:abstractNumId="15">
    <w:nsid w:val="1E7FF521"/>
    <w:multiLevelType w:val="hybridMultilevel"/>
    <w:lvl w:ilvl="0">
      <w:lvlJc w:val="left"/>
      <w:lvlText w:val="%1."/>
      <w:numFmt w:val="decimal"/>
      <w:start w:val="12"/>
    </w:lvl>
  </w:abstractNum>
  <w:abstractNum w:abstractNumId="16">
    <w:nsid w:val="7C3DBD3D"/>
    <w:multiLevelType w:val="hybridMultilevel"/>
    <w:lvl w:ilvl="0">
      <w:lvlJc w:val="left"/>
      <w:lvlText w:val="%1."/>
      <w:numFmt w:val="decimal"/>
      <w:start w:val="13"/>
    </w:lvl>
  </w:abstractNum>
  <w:abstractNum w:abstractNumId="17">
    <w:nsid w:val="737B8DDC"/>
    <w:multiLevelType w:val="hybridMultilevel"/>
    <w:lvl w:ilvl="0">
      <w:lvlJc w:val="left"/>
      <w:lvlText w:val="(%1)"/>
      <w:numFmt w:val="lowerRoman"/>
      <w:start w:val="2"/>
    </w:lvl>
  </w:abstractNum>
  <w:abstractNum w:abstractNumId="18">
    <w:nsid w:val="6CEAF087"/>
    <w:multiLevelType w:val="hybridMultilevel"/>
    <w:lvl w:ilvl="0">
      <w:lvlJc w:val="left"/>
      <w:lvlText w:val="(%1)"/>
      <w:numFmt w:val="lowerRoman"/>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lvl w:ilvl="1">
      <w:lvlJc w:val="left"/>
      <w:lvlText w:val="(%2)"/>
      <w:numFmt w:val="lowerRoman"/>
      <w:start w:val="5"/>
    </w:lvl>
  </w:abstractNum>
  <w:abstractNum w:abstractNumId="31">
    <w:nsid w:val="2463B9EA"/>
    <w:multiLevelType w:val="hybridMultilevel"/>
    <w:lvl w:ilvl="0">
      <w:lvlJc w:val="left"/>
      <w:lvlText w:val="**"/>
      <w:numFmt w:val="bullet"/>
      <w:start w:val="1"/>
    </w:lvl>
    <w:lvl w:ilvl="1">
      <w:lvlJc w:val="left"/>
      <w:lvlText w:val="%2"/>
      <w:numFmt w:val="lowerRoman"/>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lowerLetter"/>
      <w:start w:val="3"/>
    </w:lvl>
  </w:abstractNum>
  <w:abstractNum w:abstractNumId="36">
    <w:nsid w:val="153EA438"/>
    <w:multiLevelType w:val="hybridMultilevel"/>
    <w:lvl w:ilvl="0">
      <w:lvlJc w:val="left"/>
      <w:lvlText w:val="(%1)"/>
      <w:numFmt w:val="lowerRoman"/>
      <w:start w:val="2"/>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decimal"/>
      <w:start w:val="1"/>
    </w:lvl>
    <w:lvl w:ilvl="1">
      <w:lvlJc w:val="left"/>
      <w:lvlText w:val="%2."/>
      <w:numFmt w:val="lowerLetter"/>
      <w:start w:val="2"/>
    </w:lvl>
  </w:abstractNum>
  <w:abstractNum w:abstractNumId="39">
    <w:nsid w:val="6A2342EC"/>
    <w:multiLevelType w:val="hybridMultilevel"/>
    <w:lvl w:ilvl="0">
      <w:lvlJc w:val="left"/>
      <w:lvlText w:val="%1."/>
      <w:numFmt w:val="decimal"/>
      <w:start w:val="3"/>
    </w:lvl>
  </w:abstractNum>
  <w:abstractNum w:abstractNumId="40">
    <w:nsid w:val="2A487CB0"/>
    <w:multiLevelType w:val="hybridMultilevel"/>
    <w:lvl w:ilvl="0">
      <w:lvlJc w:val="left"/>
      <w:lvlText w:val="%1."/>
      <w:numFmt w:val="decimal"/>
      <w:start w:val="4"/>
    </w:lvl>
  </w:abstractNum>
  <w:abstractNum w:abstractNumId="41">
    <w:nsid w:val="1D4ED43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2">
    <w:nsid w:val="725A06F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2020-01-13T07:39:07Z</dcterms:created>
  <dcterms:modified xsi:type="dcterms:W3CDTF">2020-01-13T07:39:07Z</dcterms:modified>
</cp:coreProperties>
</file>