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Delaware</w:t>
            </w:r>
          </w:p>
        </w:tc>
        <w:tc>
          <w:tcPr>
            <w:tcW w:w="4720" w:type="dxa"/>
            <w:vAlign w:val="bottom"/>
            <w:gridSpan w:val="6"/>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5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600" w:type="dxa"/>
            <w:vAlign w:val="bottom"/>
            <w:gridSpan w:val="5"/>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465 State Route 17, Ramsey, New Jersey</w:t>
            </w:r>
          </w:p>
        </w:tc>
        <w:tc>
          <w:tcPr>
            <w:tcW w:w="3840" w:type="dxa"/>
            <w:vAlign w:val="bottom"/>
            <w:gridSpan w:val="5"/>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81" w:lineRule="exact"/>
        <w:rPr>
          <w:sz w:val="24"/>
          <w:szCs w:val="24"/>
          <w:color w:val="auto"/>
        </w:rPr>
      </w:pPr>
    </w:p>
    <w:p>
      <w:pPr>
        <w:ind w:left="13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Accelerated filer</w:t>
        <w:tab/>
        <w:t>ý</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ý</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3000" w:space="80"/>
            <w:col w:w="3860" w:space="720"/>
            <w:col w:w="1980" w:space="180"/>
            <w:col w:w="1600"/>
          </w:cols>
          <w:pgMar w:left="240" w:top="468" w:right="239" w:bottom="1440" w:gutter="0" w:footer="0" w:header="0"/>
          <w:type w:val="continuous"/>
        </w:sectPr>
      </w:pPr>
    </w:p>
    <w:p>
      <w:pPr>
        <w:spacing w:after="0" w:line="61"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6, 2019, there were 59,317,806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20" w:type="dxa"/>
            <w:vAlign w:val="bottom"/>
            <w:gridSpan w:val="7"/>
          </w:tcPr>
          <w:p>
            <w:pPr>
              <w:jc w:val="center"/>
              <w:ind w:right="2820"/>
              <w:spacing w:after="0"/>
              <w:rPr>
                <w:sz w:val="20"/>
                <w:szCs w:val="20"/>
                <w:color w:val="auto"/>
              </w:rPr>
            </w:pPr>
            <w:r>
              <w:rPr>
                <w:rFonts w:ascii="Arial" w:cs="Arial" w:eastAsia="Arial" w:hAnsi="Arial"/>
                <w:sz w:val="18"/>
                <w:szCs w:val="18"/>
                <w:b w:val="1"/>
                <w:bCs w:val="1"/>
                <w:color w:val="auto"/>
              </w:rPr>
              <w:t>ADMA BIOLOGICS, INC. AND SUBSIDIARIES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20" w:type="dxa"/>
            <w:vAlign w:val="bottom"/>
            <w:gridSpan w:val="7"/>
          </w:tcPr>
          <w:p>
            <w:pPr>
              <w:jc w:val="center"/>
              <w:ind w:right="282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948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2019 (Unaudited) and December 31, 2018</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80" w:type="dxa"/>
            <w:vAlign w:val="bottom"/>
            <w:gridSpan w:val="15"/>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Operations (Unaudited) for the Three and Six Months Ended June 30, 2019 and 2018</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Stockholders’ Equity (Unaudited) for the Three and Six Months Ended June 30,</w:t>
              </w:r>
            </w:hyperlink>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80" w:type="dxa"/>
            <w:vAlign w:val="bottom"/>
            <w:gridSpan w:val="15"/>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2019 and 2018</w:t>
              </w:r>
            </w:hyperlink>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80" w:type="dxa"/>
            <w:vAlign w:val="bottom"/>
            <w:gridSpan w:val="1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for the Six Months Ended June 30, 2019 and 2018</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4.</w:t>
            </w:r>
          </w:p>
        </w:tc>
        <w:tc>
          <w:tcPr>
            <w:tcW w:w="44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080" w:type="dxa"/>
            <w:vAlign w:val="bottom"/>
            <w:tcBorders>
              <w:top w:val="single" w:sz="8" w:color="CCEEFF"/>
            </w:tcBorders>
            <w:gridSpan w:val="6"/>
          </w:tcPr>
          <w:p>
            <w:pPr>
              <w:spacing w:after="0"/>
              <w:rPr>
                <w:sz w:val="15"/>
                <w:szCs w:val="15"/>
                <w:color w:val="auto"/>
              </w:rPr>
            </w:pPr>
          </w:p>
        </w:tc>
        <w:tc>
          <w:tcPr>
            <w:tcW w:w="7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PART II OTHER INFORMATION</w:t>
              </w:r>
            </w:hyperlink>
          </w:p>
        </w:tc>
        <w:tc>
          <w:tcPr>
            <w:tcW w:w="8140" w:type="dxa"/>
            <w:vAlign w:val="bottom"/>
            <w:tcBorders>
              <w:bottom w:val="single" w:sz="8" w:color="CCEEFF"/>
            </w:tcBorders>
            <w:gridSpan w:val="11"/>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15"/>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4.</w:t>
            </w:r>
          </w:p>
        </w:tc>
        <w:tc>
          <w:tcPr>
            <w:tcW w:w="23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7120" w:type="dxa"/>
            <w:vAlign w:val="bottom"/>
            <w:tcBorders>
              <w:top w:val="single" w:sz="8" w:color="CCEEFF"/>
            </w:tcBorders>
            <w:gridSpan w:val="7"/>
          </w:tcPr>
          <w:p>
            <w:pPr>
              <w:spacing w:after="0"/>
              <w:rPr>
                <w:sz w:val="15"/>
                <w:szCs w:val="15"/>
                <w:color w:val="auto"/>
              </w:rPr>
            </w:pPr>
          </w:p>
        </w:tc>
        <w:tc>
          <w:tcPr>
            <w:tcW w:w="7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Other Information.</w:t>
              </w:r>
            </w:hyperlink>
          </w:p>
        </w:tc>
        <w:tc>
          <w:tcPr>
            <w:tcW w:w="8120" w:type="dxa"/>
            <w:vAlign w:val="bottom"/>
            <w:tcBorders>
              <w:bottom w:val="single" w:sz="8" w:color="CCEEFF"/>
            </w:tcBorders>
            <w:gridSpan w:val="10"/>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6.</w:t>
            </w:r>
          </w:p>
        </w:tc>
        <w:tc>
          <w:tcPr>
            <w:tcW w:w="9480" w:type="dxa"/>
            <w:vAlign w:val="bottom"/>
            <w:gridSpan w:val="15"/>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2"/>
            <w:shd w:val="clear" w:color="auto" w:fill="CCEEFF"/>
          </w:tcPr>
          <w:p>
            <w:pPr>
              <w:spacing w:after="0" w:line="17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SIGNATURES</w:t>
              </w:r>
            </w:hyperlink>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 “Nabi-HB®” and “BIVIGAM®,” which are protected under applicable intellectual property laws and are the property of ADMA Biologics, Inc., or its subsidiaries. Solely for</w:t>
      </w:r>
    </w:p>
    <w:p>
      <w:pPr>
        <w:ind w:right="80"/>
        <w:spacing w:after="0" w:line="259"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 ™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1" w:lineRule="exact"/>
        <w:rPr>
          <w:sz w:val="20"/>
          <w:szCs w:val="20"/>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 a commercial scale and commercialize this product as a result of the approval of the Prior Approval Supplement for BIVIGAM by the U.S. Food and Drug Administration (the “FDA”) on May 9,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ASCENIV on a commercial scale and commercialize this product as a result of the approval of the approval by the FDA on April 1, 2019;</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by physicians, patients or payers;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Immune Deficiency Disease or other immune deficiencies;</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97"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manufacturing, supply and other collaborative agreements;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and availability of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ASCENIV;</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“should,” or “will”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2018. Any forward-looking statement included or incorporated by reference in this Quarterly Report on Form 10-Q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6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In addition to the foregoing, you should also consider carefully the statements under the section entitled “Risk Factors” and other sections of this Quarterly Report on Form 10-Q, which address additional factors that could cause our actual results to differ from those set forth in the forward-looking statements. Any forward-looking statements that we make in this Quarterly Report on Form 10-Q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jc w:val="center"/>
              <w:ind w:left="1910"/>
              <w:spacing w:after="0"/>
              <w:rPr>
                <w:sz w:val="20"/>
                <w:szCs w:val="20"/>
                <w:color w:val="auto"/>
              </w:rPr>
            </w:pPr>
            <w:r>
              <w:rPr>
                <w:rFonts w:ascii="Arial" w:cs="Arial" w:eastAsia="Arial" w:hAnsi="Arial"/>
                <w:sz w:val="18"/>
                <w:szCs w:val="18"/>
                <w:b w:val="1"/>
                <w:bCs w:val="1"/>
                <w:color w:val="auto"/>
              </w:rPr>
              <w:t>ADMA BIOLOGICS, INC. AND SUBSIDIARIES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4"/>
                <w:szCs w:val="24"/>
                <w:color w:val="auto"/>
              </w:rPr>
            </w:pPr>
          </w:p>
        </w:tc>
        <w:tc>
          <w:tcPr>
            <w:tcW w:w="13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5"/>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5"/>
              </w:rPr>
              <w:t>Current assets:</w:t>
            </w:r>
          </w:p>
        </w:tc>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73,615,909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22,754,852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5,086,663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1,392,441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7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23,589,750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18,616,169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1,596,671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1,766,163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103,888,993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44,529,625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29,444,489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30,115,730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3,581,943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Goodwill</w:t>
            </w:r>
          </w:p>
        </w:tc>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to be transferred under purchase agreement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3"/>
              </w:rPr>
              <w:t>Restricted cash</w:t>
            </w:r>
          </w:p>
        </w:tc>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2,829,186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1,543,737</w:t>
            </w:r>
          </w:p>
        </w:tc>
        <w:tc>
          <w:tcPr>
            <w:tcW w:w="0" w:type="dxa"/>
            <w:vAlign w:val="bottom"/>
          </w:tcPr>
          <w:p>
            <w:pPr>
              <w:spacing w:after="0"/>
              <w:rPr>
                <w:sz w:val="1"/>
                <w:szCs w:val="1"/>
                <w:color w:val="auto"/>
              </w:rPr>
            </w:pPr>
          </w:p>
        </w:tc>
      </w:tr>
      <w:tr>
        <w:trPr>
          <w:trHeight w:val="263"/>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143,274,120</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6,788,144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5,900,394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2,974,476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3,551,835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223,114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10,128,568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9,625,046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payable, net of discount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67,468,637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26,440,830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End of term liability, notes payable</w:t>
            </w:r>
          </w:p>
        </w:tc>
        <w:tc>
          <w:tcPr>
            <w:tcW w:w="2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2,332,949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Subordinated note payable, net of discount</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14,890,711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14,874,184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2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1,414,976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119,080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132,418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260,734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96,368,259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69,106,083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 voting, $0.0001 par value, 75,000,000 shares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authorized, 59,317,806 and 46,353,068 shares issued and outstanding</w:t>
            </w:r>
          </w:p>
        </w:tc>
        <w:tc>
          <w:tcPr>
            <w:tcW w:w="2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289,616,994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236,203,041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(242,717,065)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(216,437,238)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46,905,861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23"/>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143,274,120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020" w:type="dxa"/>
            <w:vAlign w:val="bottom"/>
            <w:gridSpan w:val="6"/>
          </w:tcPr>
          <w:p>
            <w:pPr>
              <w:jc w:val="center"/>
              <w:ind w:left="329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June 30,</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6,525,233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4,620,841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10,018,114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8,627,139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6,560,942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4,656,550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10,089,531</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8,698,556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Cost of product revenue (exclusive of amortization expense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below)</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10,491,236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9,645,662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19,896,415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21,888,410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516,986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1,040,427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1,387,621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2,005,998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594,113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1,738,128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1,248,599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3,571,902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422,469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422,469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6,086,047</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5,438,480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11,681,517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10,759,661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17,899,616</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18,073,931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34,636,621</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38,648,440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(11,338,674)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(13,417,381)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(24,547,090)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(29,949,884)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209,808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33,070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(2,072,578)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(1,359,188)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(3,613,085)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(2,682,340)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Gain on transfer of plasma center assets</w:t>
            </w:r>
          </w:p>
        </w:tc>
        <w:tc>
          <w:tcPr>
            <w:tcW w:w="2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Other expense,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(1,873,198)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(1,330,450)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(1,732,737)</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(2,620,089)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(13,211,872)</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(14,747,831)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(26,279,827)</w:t>
            </w:r>
          </w:p>
        </w:tc>
        <w:tc>
          <w:tcPr>
            <w:tcW w:w="2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(32,569,973)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COMMON SHARES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52,206,204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42,712,168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49,295,805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44,007,409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Common Stock</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0"/>
              </w:rPr>
              <w:t>Deficit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46,353,068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4,635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236,203,041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(216,437,238)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637,263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637,263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Warrants issued in connection with note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2,699,208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2,699,208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(13,067,955)</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(13,067,955)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46,353,068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4,635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239,539,512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(229,505,193)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10,038,954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75,045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net of offering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12,937,500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1,294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7"/>
              </w:rPr>
              <w:t>48,395,794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48,397,088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3"/>
          </w:tcPr>
          <w:p>
            <w:pPr>
              <w:spacing w:after="0" w:line="201" w:lineRule="exact"/>
              <w:rPr>
                <w:sz w:val="20"/>
                <w:szCs w:val="20"/>
                <w:color w:val="auto"/>
              </w:rPr>
            </w:pPr>
            <w:r>
              <w:rPr>
                <w:rFonts w:ascii="Arial" w:cs="Arial" w:eastAsia="Arial" w:hAnsi="Arial"/>
                <w:sz w:val="18"/>
                <w:szCs w:val="18"/>
                <w:color w:val="auto"/>
              </w:rPr>
              <w:t>Warrants issued in connection with note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879,907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879,907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726,736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726,736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(13,211,872)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(13,211,872)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59,317,806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5,932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289,616,994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(242,717,065)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46,905,861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7"/>
          </w:tcPr>
          <w:p>
            <w:pPr>
              <w:jc w:val="right"/>
              <w:ind w:right="490"/>
              <w:spacing w:after="0"/>
              <w:rPr>
                <w:sz w:val="20"/>
                <w:szCs w:val="20"/>
                <w:color w:val="auto"/>
              </w:rPr>
            </w:pPr>
            <w:r>
              <w:rPr>
                <w:rFonts w:ascii="Arial" w:cs="Arial" w:eastAsia="Arial" w:hAnsi="Arial"/>
                <w:sz w:val="18"/>
                <w:szCs w:val="18"/>
                <w:b w:val="1"/>
                <w:bCs w:val="1"/>
                <w:color w:val="auto"/>
                <w:w w:val="91"/>
              </w:rPr>
              <w:t>For the Three and Six Months Ended June 30, 2018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540" w:type="dxa"/>
            <w:vAlign w:val="bottom"/>
            <w:gridSpan w:val="9"/>
          </w:tcPr>
          <w:p>
            <w:pPr>
              <w:ind w:left="860"/>
              <w:spacing w:after="0" w:line="205" w:lineRule="exact"/>
              <w:rPr>
                <w:sz w:val="20"/>
                <w:szCs w:val="20"/>
                <w:color w:val="auto"/>
              </w:rPr>
            </w:pPr>
            <w:r>
              <w:rPr>
                <w:rFonts w:ascii="Arial" w:cs="Arial" w:eastAsia="Arial" w:hAnsi="Arial"/>
                <w:sz w:val="18"/>
                <w:szCs w:val="18"/>
                <w:b w:val="1"/>
                <w:bCs w:val="1"/>
                <w:color w:val="auto"/>
              </w:rPr>
              <w:t>Voting</w:t>
            </w:r>
          </w:p>
        </w:tc>
        <w:tc>
          <w:tcPr>
            <w:tcW w:w="1540" w:type="dxa"/>
            <w:vAlign w:val="bottom"/>
            <w:gridSpan w:val="5"/>
          </w:tcPr>
          <w:p>
            <w:pPr>
              <w:ind w:left="560"/>
              <w:spacing w:after="0" w:line="205" w:lineRule="exact"/>
              <w:rPr>
                <w:sz w:val="20"/>
                <w:szCs w:val="20"/>
                <w:color w:val="auto"/>
              </w:rPr>
            </w:pPr>
            <w:r>
              <w:rPr>
                <w:rFonts w:ascii="Arial" w:cs="Arial" w:eastAsia="Arial" w:hAnsi="Arial"/>
                <w:sz w:val="18"/>
                <w:szCs w:val="18"/>
                <w:b w:val="1"/>
                <w:bCs w:val="1"/>
                <w:color w:val="auto"/>
                <w:w w:val="98"/>
              </w:rPr>
              <w:t>Non-Voting</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220"/>
              <w:spacing w:after="0" w:line="205" w:lineRule="exact"/>
              <w:rPr>
                <w:sz w:val="20"/>
                <w:szCs w:val="20"/>
                <w:color w:val="auto"/>
              </w:rPr>
            </w:pPr>
            <w:r>
              <w:rPr>
                <w:rFonts w:ascii="Arial" w:cs="Arial" w:eastAsia="Arial" w:hAnsi="Arial"/>
                <w:sz w:val="18"/>
                <w:szCs w:val="18"/>
                <w:b w:val="1"/>
                <w:bCs w:val="1"/>
                <w:color w:val="auto"/>
              </w:rPr>
              <w:t>Paid-in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40"/>
              <w:spacing w:after="0" w:line="205" w:lineRule="exact"/>
              <w:rPr>
                <w:sz w:val="20"/>
                <w:szCs w:val="20"/>
                <w:color w:val="auto"/>
              </w:rPr>
            </w:pPr>
            <w:r>
              <w:rPr>
                <w:rFonts w:ascii="Arial" w:cs="Arial" w:eastAsia="Arial" w:hAnsi="Arial"/>
                <w:sz w:val="18"/>
                <w:szCs w:val="18"/>
                <w:b w:val="1"/>
                <w:bCs w:val="1"/>
                <w:color w:val="auto"/>
                <w:w w:val="95"/>
              </w:rPr>
              <w:t>Accumulated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36,725,499</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8,591,160</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3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$ 191,022,018</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(150,693,793)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$ 40,332,757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514,784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514,784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(17,822,142)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(17,822,142)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2018</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36,726,084</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8,591,160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191,536,802</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(168,515,935)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23,025,399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offering expenses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9,623,430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42,945,149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42,946,111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535,391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535,391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9"/>
              </w:rPr>
              <w:t>Retirement of non-voting common</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stock</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1"/>
              </w:rPr>
              <w:t>(8,591,160)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859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Balance - June 30, 2018</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46,349,514</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235,018,201</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(183,263,766)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51,759,070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17145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jc w:val="both"/>
        <w:ind w:left="8800"/>
        <w:spacing w:after="0"/>
        <w:tabs>
          <w:tab w:leader="none" w:pos="105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ectPr>
          <w:pgSz w:w="11900" w:h="16838" w:orient="portrait"/>
          <w:cols w:equalWidth="0" w:num="1">
            <w:col w:w="11420"/>
          </w:cols>
          <w:pgMar w:left="240" w:top="229" w:right="2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cash used in 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Loss on disposal of property and equipment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transfer of plasma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on extinguishment of debt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 and other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(26,279,827)</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(32,569,973)</w:t>
            </w:r>
          </w:p>
        </w:tc>
      </w:tr>
      <w:tr>
        <w:trPr>
          <w:trHeight w:val="661"/>
        </w:trPr>
        <w:tc>
          <w:tcPr>
            <w:tcW w:w="3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1,611,422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1,675,439</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2,459</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1,363,999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1,050,175</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340,481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525,135</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9,962,495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(71,417)</w:t>
            </w:r>
          </w:p>
        </w:tc>
      </w:tr>
      <w:tr>
        <w:trPr>
          <w:trHeight w:val="445"/>
        </w:trPr>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(3,694,222)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82,960</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(5,175,148)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381,213</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163,747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(380,626)</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118,832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(23,365)</w:t>
            </w:r>
          </w:p>
        </w:tc>
      </w:tr>
      <w:tr>
        <w:trPr>
          <w:trHeight w:val="230"/>
        </w:trPr>
        <w:tc>
          <w:tcPr>
            <w:tcW w:w="3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887,753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(2,819,792)</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(529,589)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554,885</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250,754</w:t>
            </w:r>
          </w:p>
        </w:tc>
      </w:tr>
      <w:tr>
        <w:trPr>
          <w:trHeight w:val="210"/>
        </w:trPr>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(32,911,136)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(31,342,153)</w:t>
            </w:r>
          </w:p>
        </w:tc>
      </w:tr>
    </w:tbl>
    <w:p>
      <w:pPr>
        <w:spacing w:after="0" w:line="20" w:lineRule="exact"/>
        <w:rPr>
          <w:sz w:val="20"/>
          <w:szCs w:val="20"/>
          <w:color w:val="auto"/>
        </w:rPr>
      </w:pPr>
    </w:p>
    <w:p>
      <w:pPr>
        <w:sectPr>
          <w:pgSz w:w="11900" w:h="16838" w:orient="portrait"/>
          <w:cols w:equalWidth="0" w:num="2">
            <w:col w:w="7520" w:space="720"/>
            <w:col w:w="31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(245,675)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(245,675)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notes payable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Payment of end of term fee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debt refinancing fees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(6,499,867)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issuance of common stock, net of offering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48,397,088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42,946,111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issuance of note payable</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72,500,000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Payments on finance lease obligations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leasehold improvement loan</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80,017,868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42,934,929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46,861,057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10,546,401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48,607,574</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including restricted cash - end of period</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73,615,909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59,153,975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ADMA Biologics, Inc. (“ADMA” or the “Company”) is a vertically integrated commercial biopharmaceutical and specialty immunoglobulin company that manufactures, markets and develops specialty plasma-derived biologics for the treatment of immune deficiencies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as more fully described below. BTBU had been the Company’s third-party manufacturer for its then-lead pipeline product candidate, ASCENIV, previously referred to as “RI-002.” ADMA Bio Centers is the Company’s source plasma collection business with a plasma collection facility located in Kennesaw, GA, which holds an approved license with the U.S. Food and Drug Administration (the “FDA”). Effective January 1, 2019, in connection with the Biotest Transaction defined below, the Company transferred its FDA-approved Norcross, GA and Marietta, GA plasma collection facilities to BPC (see Note 11).</w:t>
      </w:r>
    </w:p>
    <w:p>
      <w:pPr>
        <w:spacing w:after="0" w:line="182" w:lineRule="exact"/>
        <w:rPr>
          <w:rFonts w:ascii="Arial" w:cs="Arial" w:eastAsia="Arial" w:hAnsi="Arial"/>
          <w:sz w:val="18"/>
          <w:szCs w:val="18"/>
          <w:b w:val="1"/>
          <w:bCs w:val="1"/>
          <w:color w:val="auto"/>
        </w:rPr>
      </w:pPr>
    </w:p>
    <w:p>
      <w:pPr>
        <w:ind w:left="3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June 6, 2017, ADMA completed the acquisition of certain assets (the “Biotest Assets”) of BTBU, which included two FDA-licensed products, Nabi-HB (Hepatitis B Immune Globulin, Human) and BIVIGAM (Immune Globulin Intravenous, Human), and an FDA-licensed plasma fractionation manufacturing facility located in Boca Raton, FL (the “Boca Facility”) (the “Biotest Transaction”). In addition to Nabi-HB and BIVIGAM, the Company provides contract manufacturing services for certain clients and expects to generate revenues from the sale of intermediate by-products which result from the immunoglobulin production process. Immediately following the closing of the Biotest Transaction, the Biotest Assets were contributed into ADMA BioManufacturing.</w:t>
      </w:r>
    </w:p>
    <w:p>
      <w:pPr>
        <w:spacing w:after="0" w:line="193" w:lineRule="exact"/>
        <w:rPr>
          <w:rFonts w:ascii="Arial" w:cs="Arial" w:eastAsia="Arial" w:hAnsi="Arial"/>
          <w:sz w:val="18"/>
          <w:szCs w:val="18"/>
          <w:b w:val="1"/>
          <w:bCs w:val="1"/>
          <w:color w:val="auto"/>
        </w:rPr>
      </w:pPr>
    </w:p>
    <w:p>
      <w:pPr>
        <w:ind w:left="3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1, 2019, the FDA approved the Company’s Biologics License Application (“BLA”) for ASCENIV (Immune Globulin Intravenous, Human – slra 10% Liquid), formerly referred to as RI-002. ASCENIV is an Intravenous Immune Globulin (“IVIG”) drug product for the treatment of Primary Humoral Immunodeficiency Disease (“PIDD” or “PI”) in adults and adolescents (12 to 17 years of age). The Company anticipates having the product available for commercial launch during the second half of 2019.</w:t>
      </w:r>
    </w:p>
    <w:p>
      <w:pPr>
        <w:spacing w:after="0" w:line="186" w:lineRule="exact"/>
        <w:rPr>
          <w:rFonts w:ascii="Arial" w:cs="Arial" w:eastAsia="Arial" w:hAnsi="Arial"/>
          <w:sz w:val="18"/>
          <w:szCs w:val="18"/>
          <w:b w:val="1"/>
          <w:bCs w:val="1"/>
          <w:color w:val="auto"/>
        </w:rPr>
      </w:pPr>
    </w:p>
    <w:p>
      <w:pPr>
        <w:ind w:left="34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ownership, production of Nabi-HB resumed during the third quarter of 2017, resulting in ongoing commercial revenues.</w:t>
      </w:r>
    </w:p>
    <w:p>
      <w:pPr>
        <w:spacing w:after="0" w:line="171" w:lineRule="exact"/>
        <w:rPr>
          <w:rFonts w:ascii="Arial" w:cs="Arial" w:eastAsia="Arial" w:hAnsi="Arial"/>
          <w:sz w:val="18"/>
          <w:szCs w:val="18"/>
          <w:b w:val="1"/>
          <w:bCs w:val="1"/>
          <w:color w:val="auto"/>
        </w:rPr>
      </w:pPr>
    </w:p>
    <w:p>
      <w:pPr>
        <w:ind w:left="34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BIVIGAM is an intravenous immune globulin indicated for the treatment of PI. BPC had originally received FDA approval for BIVIGAM on December 19, 2012, prior to the acquisition of BTBU, and product sales commenced in the first quarter of 2013. BIVIGAM had been under FDA review for the Prior Approval Supplement (the “PAS”) that the Company submitted to the FDA in June 2018 to amend BIVIGAM’s FDA-approved BLA. On May 9, 2019, the FDA approved the PAS, and the Company expects to relaunch and commercialize this product in the U.S. during the second half of 2019.</w:t>
      </w:r>
    </w:p>
    <w:p>
      <w:pPr>
        <w:spacing w:after="0" w:line="154" w:lineRule="exact"/>
        <w:rPr>
          <w:rFonts w:ascii="Arial" w:cs="Arial" w:eastAsia="Arial" w:hAnsi="Arial"/>
          <w:sz w:val="18"/>
          <w:szCs w:val="18"/>
          <w:b w:val="1"/>
          <w:bCs w:val="1"/>
          <w:color w:val="auto"/>
        </w:rPr>
      </w:pPr>
    </w:p>
    <w:p>
      <w:pPr>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anticipated launch of ASCENIV and relaunch of BIVIGAM are dependent upon several factors beyond the Company’s control, including but not limited to, the timing of certain FDA decisions, production slots available with the Company’s contract fill/finish provider, approvals that may need to be obtained for product labeling as well as other commercial requirements and regulatory factors.</w:t>
      </w:r>
    </w:p>
    <w:p>
      <w:pPr>
        <w:spacing w:after="0" w:line="181" w:lineRule="exact"/>
        <w:rPr>
          <w:rFonts w:ascii="Arial" w:cs="Arial" w:eastAsia="Arial" w:hAnsi="Arial"/>
          <w:sz w:val="18"/>
          <w:szCs w:val="18"/>
          <w:b w:val="1"/>
          <w:bCs w:val="1"/>
          <w:color w:val="auto"/>
        </w:rPr>
      </w:pPr>
    </w:p>
    <w:p>
      <w:pPr>
        <w:ind w:left="340" w:right="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June 30, 2019, the Company had working capital of $93.8 million, including $73.6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along with the additional $12.5 million it is able to access under its senior credit facility, will be sufficient to fund ADMA’s operations, as currently conducted, into the fourth quarter of 2020. In order to have sufficient cash to fund its operations thereafter and to continue as a going concern, the Company will need to raise additional capital during the fourth quarter of 2020. These estimates may change based upon the success of our commercial manufacturing ramp-up activities, the acceptability of BIVIGAM and ASCENIV by physicians, patients or payers and the various financing options that may be available to the Company. Other than the $12.5 million commitment currently available under its senior credit facility (see Note 6)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Due to numerous risks and uncertainties associated with FDA approvals related to the Company’s products, ongoing remediation, compliance requirements and capacity expansion efforts at the Company’s Boca Facility and potential future commercialization of the Company’s products and product candidates, the Company is unable to estimate with certainty the amounts of increased capital outlays and operating expenditures required to fund its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cumulative losses since inception in June 2004 through June 30, 2019 of $242.7 million. Management believes that the Company will continue to incur net losses and negative net cash flows from operating activities to fund its operations and meet its obligations on a timely basis through the foreseeable future.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2019, the Company refinanced its senior debt (see Note 6) whereby the Company received net proceeds of approximately $4.2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additional $4.0 million, which was reflected as restricted cash in the accompanying consolidated balance sheet at December 31, 2018, was released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then-senior creditor to the Company. On May 3, 2019, the Company received the additional $27.5 million that was available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under its senior credit facility and amended the facility to increase the total amount available under the facility by an additional $12.5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Note 6). On May 21, 2019, the Company closed on an underwritten public offering of its common stock and received net proceeds of $48.4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7).</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will be successfully completed or that any product will be approved.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right="6400" w:hanging="332"/>
        <w:spacing w:after="0" w:line="50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6" w:lineRule="exact"/>
        <w:rPr>
          <w:rFonts w:ascii="Arial" w:cs="Arial" w:eastAsia="Arial" w:hAnsi="Arial"/>
          <w:sz w:val="18"/>
          <w:szCs w:val="18"/>
          <w:b w:val="1"/>
          <w:bCs w:val="1"/>
          <w:color w:val="auto"/>
        </w:rPr>
      </w:pPr>
    </w:p>
    <w:p>
      <w:pPr>
        <w:ind w:left="34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2018 included in the Company’s Annual Report on Form 10-K filed with the U.S. Securities and Exchange Commission (the “SEC”) on March 13, 2019. The accompanying consolidated balance sheet as of December 31, 2018 was derived from the audited financial statements for the year ended December 31, 2018. These condensed consolidated interim financial statements have been prepared in accordance with the instructions to Form 10-Q and Article 8 of Regulation S-X, and therefore omit or condense certain footnotes and other information normally included in consolidated interim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2019, its results of operations for the three months and six months ended June 30, 2019 and 2018, its changes in equity and cash flows for the six months ended June 30, 2019 and 2018.</w:t>
      </w:r>
    </w:p>
    <w:p>
      <w:pPr>
        <w:spacing w:after="0" w:line="169" w:lineRule="exact"/>
        <w:rPr>
          <w:rFonts w:ascii="Arial" w:cs="Arial" w:eastAsia="Arial" w:hAnsi="Arial"/>
          <w:sz w:val="18"/>
          <w:szCs w:val="18"/>
          <w:b w:val="1"/>
          <w:bCs w:val="1"/>
          <w:color w:val="auto"/>
        </w:rPr>
      </w:pPr>
    </w:p>
    <w:p>
      <w:pPr>
        <w:ind w:left="340" w:right="1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During the three and six months ended June 30, 2019 and 2018, comprehensive loss was equal to the net loss amounts presented for the respective periods in the accompanying condensed consolidated statements of operations. In addition, certain prior year balances have been reclassified to conform to the current presentation. Specifically, for the three and six months ended June 30, 2018, approximately $0.4 million and $0.7 million was reclassified from research and development expenses to selling, general and administrative expenses in the accompanying consolidated statements of operations. Operating results for interim periods are not necessarily indicative of the results that may be expected for the full fiscal year.</w:t>
      </w:r>
    </w:p>
    <w:p>
      <w:pPr>
        <w:spacing w:after="0" w:line="1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34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the fair value of awards granted under the Company’s equity incentive plans and warrants issued in connection with the issuance of notes payable and the valuation allowance for the Company’s deferred tax assets.</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rFonts w:ascii="Arial" w:cs="Arial" w:eastAsia="Arial" w:hAnsi="Arial"/>
          <w:sz w:val="18"/>
          <w:szCs w:val="18"/>
          <w:b w:val="1"/>
          <w:bCs w:val="1"/>
          <w:color w:val="auto"/>
        </w:rPr>
      </w:pPr>
    </w:p>
    <w:p>
      <w:pPr>
        <w:ind w:left="34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subordinated note payable in the amount of $15.0 million as of June 30, 2019 and December 31, 2018, which is held by Biotest AG (“Biotest”), a principal stockholder of the Company at the time the note was issued, and was issued concurrent with an acquisition transaction with an affiliate of such stockholder (see Note 6), the Company has concluded that an estimation of fair value for this note is not practicable.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Accounts receivable is reported at realizable value, net of allowances for contractual credits and doubtful accounts, which are recognized in the period the related revenue is recorded. At June 30, 2019, two customers accounted for an aggregate of 83% of the Company’s total accounts receivable, and at December 31, 2018, three customers accounted for approximately 95%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future anticipated commercialization activities and research and development are carried at the lower of cost or net realizable value determined by the first-in, first-out method. Although the Company expects that BIVIGAM and ASCENIV inventory manufactured prior to their respective BLA approvals on May 9, 2019 and April 1, 2019, respectively, will ultimately be available for commercial sale, due to prior uncertainties surrounding the timing of these FDA approvals, all costs related to the production of BIVIGAM and ASCENIV that were incurred prior to their respective approval dates have been charged to cost of product revenue in the accompanying consolidated statements of operations. These costs amounted to $0 and $0.3 million for the three months ended June 30, 2019 and 2018, respectively, and $0.6 million and $4.0 million for the six months ended June 30, 2019 and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June 30, 2019 and December 31, 2018 was $3.5 million. All of the Company’s goodwill is attributable to its ADMA BioManufacturing business segment.</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and the Company did not record any impairment charges related to goodwill for the six months ended June 30,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2019 and 2018, the Company determined that there was no impairment of its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Revenues for the three and six months ended June 30, 2019 and 2018 are comprised of (i) revenues from the sale of Nabi-HB, (ii) product revenues from the sale of human plasma collected from the Company’s Plasma Collection Centers business segment; and (iii) license and other revenues primarily attributable to the out-licensing of ASCENIV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 Deferred revenue of approximately $2.5 million as of June 30, 2019 and December 31, 2018 is related to this agreement. Revenues for the three and six months ended June 30, 2019 also include contract manufacturing revenue.</w:t>
      </w:r>
    </w:p>
    <w:p>
      <w:pPr>
        <w:spacing w:after="0" w:line="28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the Company believes that such estimates are reasonable. For revenues associated with contract manufacturing, control transfers to the customer and the performance obligation is satisfied when the customer takes possession of the product from the Boca Facility.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to the customer if the Company retains control of the product during shipment.</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the six months ended June 30, 2019, three customers represented an aggregate of 84% of the Company’s consolidated revenues. For the six months ended June 30, 2018, three customers represented an aggregate of 90% of the Company’s consolidated revenues, with BPC representing 55% of the Company’s consolidated revenues and the other two customers representing an aggregate of 35% of the Company’s consolidated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Expenses associated with remediating certain compliance issues at the Boca Facility for the six months ended June 30, 2019 and 2018 were approximately $0.2 million and $1.3 million, respectively, and are reflected in cost of product revenue in the accompanying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six months ended June 30, 2019 and 2018, the following securities were excluded from the calculation of diluted loss per common share because of their anti-dilutive effects: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4"/>
              </w:rPr>
              <w:t>For the Six Months Ended June 30,</w:t>
            </w:r>
          </w:p>
        </w:tc>
      </w:tr>
      <w:tr>
        <w:trPr>
          <w:trHeight w:val="223"/>
        </w:trPr>
        <w:tc>
          <w:tcPr>
            <w:tcW w:w="78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5,624,603</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4,251,465</w:t>
            </w:r>
          </w:p>
        </w:tc>
      </w:tr>
      <w:tr>
        <w:trPr>
          <w:trHeight w:val="230"/>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2,138,160</w:t>
            </w:r>
          </w:p>
        </w:tc>
        <w:tc>
          <w:tcPr>
            <w:tcW w:w="2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528,160</w:t>
            </w:r>
          </w:p>
        </w:tc>
      </w:tr>
      <w:tr>
        <w:trPr>
          <w:trHeight w:val="223"/>
        </w:trPr>
        <w:tc>
          <w:tcPr>
            <w:tcW w:w="78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7,762,763</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4,779,625</w:t>
            </w:r>
          </w:p>
        </w:tc>
      </w:tr>
      <w:tr>
        <w:trPr>
          <w:trHeight w:val="20"/>
        </w:trPr>
        <w:tc>
          <w:tcPr>
            <w:tcW w:w="7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vesting period of the award, which is generally four years (see Note 7). Stock options granted under the Company’s equity incentive plans generally have a term of 10 years.</w:t>
      </w: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2019 and December 31, 2018, and during the six months ended June 30, 2019 and 2018, the Company recognized no adjustments for uncertain tax positions.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will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the Company on January 1, 2019, and this update did not have a significant impact on the Company’s consolidated financial statements.</w:t>
      </w:r>
    </w:p>
    <w:p>
      <w:pPr>
        <w:spacing w:after="0" w:line="28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ectPr>
          <w:pgSz w:w="11900" w:h="16838" w:orient="portrait"/>
          <w:cols w:equalWidth="0" w:num="1">
            <w:col w:w="11420"/>
          </w:cols>
          <w:pgMar w:left="240" w:top="229" w:right="2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8776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8776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1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15,904,618</w:t>
            </w:r>
          </w:p>
        </w:tc>
        <w:tc>
          <w:tcPr>
            <w:tcW w:w="220" w:type="dxa"/>
            <w:vAlign w:val="bottom"/>
          </w:tcPr>
          <w:p>
            <w:pPr>
              <w:spacing w:after="0"/>
              <w:rPr>
                <w:sz w:val="24"/>
                <w:szCs w:val="24"/>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14,019,668</w:t>
            </w:r>
          </w:p>
        </w:tc>
      </w:tr>
      <w:tr>
        <w:trPr>
          <w:trHeight w:val="230"/>
        </w:trPr>
        <w:tc>
          <w:tcPr>
            <w:tcW w:w="2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4,668,266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3,016,866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4,596,501</w:t>
            </w:r>
          </w:p>
        </w:tc>
      </w:tr>
      <w:tr>
        <w:trPr>
          <w:trHeight w:val="223"/>
        </w:trPr>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23,589,750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18,616,169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280"/>
          </w:cols>
          <w:pgMar w:left="240" w:top="229" w:right="239" w:bottom="1440" w:gutter="0" w:footer="0" w:header="0"/>
          <w:type w:val="continuous"/>
        </w:sectPr>
      </w:pPr>
    </w:p>
    <w:p>
      <w:pPr>
        <w:spacing w:after="0" w:line="2"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Raw materials includes plasma and other materials expected to be used in the production of ASCENIV and BIVIGAM,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66"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Work-in-process inventory at June 30, 2019 consists of $2.1 million of ASCENIV, $1.0 million of BIVIGAM and $1.5 million of Nabi-HB. Finished goods inventory at June 30, 2019 is comprised of $1.5 million of Nabi-HB, $0.9 million of product manufactured under a contract manufacturing agreement, $0.4 million of plasma collected at the Company’s plasma collection center and $0.2 million of intermediates. Finished goods inventory at December 31, 2018 is comprised of $2.3 million of Nabi-HB, $1.2 million of product manufactured under a contract manufacturing agreement and $1.1 million of plasma collected at the Company’s plasma collection centers.</w:t>
      </w:r>
    </w:p>
    <w:p>
      <w:pPr>
        <w:spacing w:after="0" w:line="18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June 30, 2019 and December 31, 2018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2019</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Net</w:t>
            </w:r>
          </w:p>
        </w:tc>
      </w:tr>
      <w:tr>
        <w:trPr>
          <w:trHeight w:val="182"/>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Trademark and other intangible</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rights related to Nabi-HB</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4,100,046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1,220,251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2,879,795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927,391</w:t>
            </w: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3,172,655</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270,066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637,355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205,250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702,171</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1,011,764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64,793</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946,971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129,586</w:t>
            </w:r>
          </w:p>
        </w:tc>
      </w:tr>
      <w:tr>
        <w:trPr>
          <w:trHeight w:val="223"/>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2,502,081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3,581,943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2,079,612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4,004,412</w:t>
            </w: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for the six months ended June 30, 2019 and 2018 was $0.4 million. Estimated aggregate future aggregate amortization expense for the next five years is expected to be as follows: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4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422,469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2020</w:t>
            </w:r>
          </w:p>
        </w:tc>
        <w:tc>
          <w:tcPr>
            <w:tcW w:w="4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4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and related accumulated depreciation are summarized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8,367,061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8,233,203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24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1,606,177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1,608,994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849,088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1,163,552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1,217,849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845,538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1,673,084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1,660,709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4,339,441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16,063,049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15,685,325</w:t>
            </w:r>
          </w:p>
        </w:tc>
      </w:tr>
      <w:tr>
        <w:trPr>
          <w:trHeight w:val="210"/>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34,115,749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33,536,762</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(4,671,260)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(3,421,032)</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29,444,489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30,115,730</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7"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The Company recorded depreciation expense on property and equipment for the three and six months ended June 30, 2019 of $0.6 million and $1.2 million, respectively. Depreciation expense for the three and six months ended June 30, 2018 was $0.6 million and $1.3 million, respectively, which includes $0.1 million and $0.2 million, respectively, of depreciation on the plasma assets that were transferred to Biotest on January 1, 2019 (see Notes 1 and 11).</w:t>
      </w:r>
    </w:p>
    <w:p>
      <w:pPr>
        <w:spacing w:after="0" w:line="18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4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72,500,000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27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(5,031,363)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(3,559,170)</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Senior notes payable</w:t>
            </w:r>
          </w:p>
        </w:tc>
        <w:tc>
          <w:tcPr>
            <w:tcW w:w="27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67,468,637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26,440,830</w:t>
            </w:r>
          </w:p>
        </w:tc>
      </w:tr>
      <w:tr>
        <w:trPr>
          <w:trHeight w:val="20"/>
        </w:trPr>
        <w:tc>
          <w:tcPr>
            <w:tcW w:w="4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(the “Perceptive Tranche III Loan”, and together with the Perceptive Tranche I Loan and the Perceptive Tranche II Loan, the “Perceptive Loans”) to be drawn-down at the Company’s sole option. The Perceptive Tranche III Loan is the result of an amendment to the Perceptive Credit Agreement (the “Perceptive Amendment”) that the Company and Perceptive entered into on May 3, 2019, and the Perceptive Tranche III Loan became available to the Company upon the approval of the PAS on May 9, 2019. The Perceptive Credit Facility has a maturity date of March 1, 2022 (the “Maturity Date”), subject to acceleration pursuant to the Perceptive Credit Agreement, including upon an Event of Default (as defined in the Perceptive Credit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8" w:right="20"/>
        <w:spacing w:after="0" w:line="286" w:lineRule="auto"/>
        <w:rPr>
          <w:sz w:val="20"/>
          <w:szCs w:val="20"/>
          <w:color w:val="auto"/>
        </w:rPr>
      </w:pPr>
      <w:r>
        <w:rPr>
          <w:rFonts w:ascii="Arial" w:cs="Arial" w:eastAsia="Arial" w:hAnsi="Arial"/>
          <w:sz w:val="16"/>
          <w:szCs w:val="16"/>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w:t>
      </w:r>
    </w:p>
    <w:p>
      <w:pPr>
        <w:spacing w:after="0" w:line="2" w:lineRule="exact"/>
        <w:rPr>
          <w:sz w:val="20"/>
          <w:szCs w:val="20"/>
          <w:color w:val="auto"/>
        </w:rPr>
      </w:pPr>
    </w:p>
    <w:p>
      <w:pPr>
        <w:ind w:left="8" w:right="80" w:hanging="8"/>
        <w:spacing w:after="0" w:line="273" w:lineRule="auto"/>
        <w:tabs>
          <w:tab w:leader="none" w:pos="3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pay certain fees and expenses incurred in connection with the Perceptive Credit Facility of approximately $1.5 million. In addition, Marathon released $4.0 million of cash to the Company that was held in a debt service reserve account per the terms of the Marathon Credit Facility, which was reflected as restricted cash in the accompanying consolidated balance sheet as of December 31, 2018. In connection with the Perceptive Amendment, the Company paid an additional facility fee to Perceptive in the amount of $0.1 million on May 3, 2019.</w:t>
      </w:r>
    </w:p>
    <w:p>
      <w:pPr>
        <w:spacing w:after="0" w:line="177" w:lineRule="exact"/>
        <w:rPr>
          <w:sz w:val="20"/>
          <w:szCs w:val="20"/>
          <w:color w:val="auto"/>
        </w:rPr>
      </w:pPr>
    </w:p>
    <w:p>
      <w:pPr>
        <w:ind w:left="8" w:right="20"/>
        <w:spacing w:after="0" w:line="264" w:lineRule="auto"/>
        <w:rPr>
          <w:sz w:val="20"/>
          <w:szCs w:val="20"/>
          <w:color w:val="auto"/>
        </w:rPr>
      </w:pPr>
      <w:r>
        <w:rPr>
          <w:rFonts w:ascii="Arial" w:cs="Arial" w:eastAsia="Arial" w:hAnsi="Arial"/>
          <w:sz w:val="18"/>
          <w:szCs w:val="18"/>
          <w:color w:val="auto"/>
        </w:rPr>
        <w:t>As a result of the Company’s entering into the Perceptive Credit Agreement and terminating the Marathon Credit Facility, the Company recognized a loss on the extinguishment of debt in the amount of approximately $10.0 million, comprised of the $6.5 million prepayment penalty and the write-off of unamortized debt discount related to the Marathon Credit Facility in the amount of $3.5 million.</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7"/>
          <w:szCs w:val="17"/>
          <w:color w:val="auto"/>
        </w:rPr>
        <w:t>Borrowings under the Perceptive Credit Agreement bear interest at a rate per annum equal to 7.5% plus the greater of (i) one-month LIBOR and (ii)</w:t>
      </w:r>
    </w:p>
    <w:p>
      <w:pPr>
        <w:spacing w:after="0" w:line="35" w:lineRule="exact"/>
        <w:rPr>
          <w:sz w:val="20"/>
          <w:szCs w:val="20"/>
          <w:color w:val="auto"/>
        </w:rPr>
      </w:pPr>
    </w:p>
    <w:p>
      <w:pPr>
        <w:jc w:val="both"/>
        <w:ind w:left="8" w:right="60"/>
        <w:spacing w:after="0" w:line="255" w:lineRule="auto"/>
        <w:rPr>
          <w:sz w:val="20"/>
          <w:szCs w:val="20"/>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June 30, 2019 was 11.0%.</w:t>
      </w:r>
    </w:p>
    <w:p>
      <w:pPr>
        <w:spacing w:after="0" w:line="190" w:lineRule="exact"/>
        <w:rPr>
          <w:sz w:val="20"/>
          <w:szCs w:val="20"/>
          <w:color w:val="auto"/>
        </w:rPr>
      </w:pPr>
    </w:p>
    <w:p>
      <w:pPr>
        <w:ind w:left="8" w:right="20"/>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left="8" w:right="40"/>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June 30, 2019, the Company was in compliance with all of the covenants contained in the Perceptive Credit Agreement.</w:t>
      </w:r>
    </w:p>
    <w:p>
      <w:pPr>
        <w:spacing w:after="0" w:line="188" w:lineRule="exact"/>
        <w:rPr>
          <w:sz w:val="20"/>
          <w:szCs w:val="20"/>
          <w:color w:val="auto"/>
        </w:rPr>
      </w:pPr>
    </w:p>
    <w:p>
      <w:pPr>
        <w:ind w:left="8"/>
        <w:spacing w:after="0" w:line="287"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Perceptive Warrant was valued by the Company at $2.7 million as of the Perceptive Closing Date and has an expiration date of February 11, 2029. In connection with the Perceptive Amendment, the Company issued an additional warrant (the “Perceptive Tranche III 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27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229" w:right="2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May 3, 2019 was approximately 13.9%.</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Subordinated Note Payable</w:t>
            </w:r>
          </w:p>
        </w:tc>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53"/>
        </w:trPr>
        <w:tc>
          <w:tcPr>
            <w:tcW w:w="6940" w:type="dxa"/>
            <w:vAlign w:val="bottom"/>
            <w:gridSpan w:val="2"/>
          </w:tcPr>
          <w:p>
            <w:pPr>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6"/>
        </w:trPr>
        <w:tc>
          <w:tcPr>
            <w:tcW w:w="19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2018</w:t>
            </w:r>
          </w:p>
        </w:tc>
      </w:tr>
      <w:tr>
        <w:trPr>
          <w:trHeight w:val="210"/>
        </w:trPr>
        <w:tc>
          <w:tcPr>
            <w:tcW w:w="6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(125,816)</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Subordinated note payable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14,890,711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14,874,184</w:t>
            </w:r>
          </w:p>
        </w:tc>
      </w:tr>
      <w:tr>
        <w:trPr>
          <w:trHeight w:val="20"/>
        </w:trPr>
        <w:tc>
          <w:tcPr>
            <w:tcW w:w="1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In connection with the acquisition of the Biotest Assets (see Note 1), ADMA BioManufacturing issued a subordinated note payable to BPC and in connection therewith received cash proceeds of $15.0 million. This note has since been assigned from BPC to Biotest.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June 30, 2019.</w:t>
      </w:r>
    </w:p>
    <w:p>
      <w:pPr>
        <w:spacing w:after="0" w:line="189" w:lineRule="exact"/>
        <w:rPr>
          <w:sz w:val="20"/>
          <w:szCs w:val="20"/>
          <w:color w:val="auto"/>
        </w:rPr>
      </w:pPr>
    </w:p>
    <w:p>
      <w:pPr>
        <w:ind w:left="340" w:right="8760" w:hanging="332"/>
        <w:spacing w:after="0" w:line="503"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June 30, 2019 and December 31, 2018.</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June 30, 2019 and December 31, 2018, the Company was authorized to issue 75,000,000 shares of its common stock, $0.0001 par value per share, and 59,317,806 and 46,353,068 shares of common stock were outstanding as of June 30, 2019 and December 31, 2018, respectively. After giving effect to shares reserved for the issuance of warrants and stock options, as of June 30, 2019, there were 7,919,431 shares of common stock available for issuance. On May 21, 2019, the Company issued 12,937,500 shares of its common stock in an underwritten public offering for gross proceeds of approximately $51.8 million. After deducting underwriters’ commissions and other expenses associated with the offering, the Company received net proceeds of $48.4 million.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On the Perceptive Closing Date, the Company issued the Perceptive Warrant, whereby Perceptive may purchase an aggregate of 1,360,000 shares of common stock at an exercise price of $3.28 per share. The Perceptive Warrant became exercisable on the Perceptive Closing Date, and was valued at $2.7 million. The Perceptive Warrant was valued using the Black-Scholes option-pricing model assuming an expected term of 10 years, a volatility of 61.2%, a dividend yield of 0% and a risk-free interest rate of 2.65%.</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3, 2019, the Company issued the Perceptive Tranche III Warrant, whereby Perceptive may purchase an aggregate of 250,000 shares of common stock at an exercise price of $4.64 per share. The Perceptive Tranche III was exercisable on the date of issuance and was valued at $0.9 million. The Perceptive Tranche III Warrant was valued using the Black-Scholes option-pricing model assuming an expected term of 10 years, a volatility of 62.3%, a dividend yield of 0% and a risk-free interest rate of 2.54%. At June 30, 2019, the Company had outstanding warrants to purchase an aggregate of 2,138,160 shares of common stock, with a weighted average exercise price of $3.81 per share and expiration dates ranging between June 2022 and May 2029.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8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94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6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5.8 - 6.3 years</w:t>
            </w: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5.8-6.3 years</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54.2-62.3%</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54-57%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1.80-2.92%</w:t>
            </w:r>
          </w:p>
        </w:tc>
        <w:tc>
          <w:tcPr>
            <w:tcW w:w="2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2.40-2.59%</w:t>
            </w:r>
          </w:p>
        </w:tc>
      </w:tr>
    </w:tbl>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six months ended June 30, 2019 and 2018, the Company granted options to purchase an aggregate of 1,429,100 and 1,002,900 shares of common stock, respectively, to its directors, employees and certain third party service providers.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June 30, 2019 is 7.6 years. The weighted average remaining contractual life of stock options exercisable at June 30, 2019 is 6.3 years.</w:t>
      </w: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86"/>
              </w:rPr>
              <w:t>Weighted Average</w:t>
            </w:r>
          </w:p>
        </w:tc>
      </w:tr>
      <w:tr>
        <w:trPr>
          <w:trHeight w:val="234"/>
        </w:trPr>
        <w:tc>
          <w:tcPr>
            <w:tcW w:w="780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Exercise Price</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4,342,231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(113,667)</w:t>
            </w:r>
          </w:p>
        </w:tc>
        <w:tc>
          <w:tcPr>
            <w:tcW w:w="2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1,429,100</w:t>
            </w:r>
          </w:p>
        </w:tc>
        <w:tc>
          <w:tcPr>
            <w:tcW w:w="2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(27,238)</w:t>
            </w:r>
          </w:p>
        </w:tc>
        <w:tc>
          <w:tcPr>
            <w:tcW w:w="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63"/>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2019</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5,624,603</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4.76</w:t>
            </w:r>
          </w:p>
        </w:tc>
      </w:tr>
      <w:tr>
        <w:trPr>
          <w:trHeight w:val="197"/>
        </w:trPr>
        <w:tc>
          <w:tcPr>
            <w:tcW w:w="7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7800" w:type="dxa"/>
            <w:vAlign w:val="bottom"/>
          </w:tcPr>
          <w:p>
            <w:pPr>
              <w:spacing w:after="0"/>
              <w:rPr>
                <w:sz w:val="20"/>
                <w:szCs w:val="20"/>
                <w:color w:val="auto"/>
              </w:rPr>
            </w:pPr>
            <w:r>
              <w:rPr>
                <w:rFonts w:ascii="Arial" w:cs="Arial" w:eastAsia="Arial" w:hAnsi="Arial"/>
                <w:sz w:val="18"/>
                <w:szCs w:val="18"/>
                <w:color w:val="auto"/>
              </w:rPr>
              <w:t>Options exercisable</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2,824,929</w:t>
            </w:r>
          </w:p>
        </w:tc>
        <w:tc>
          <w:tcPr>
            <w:tcW w:w="220" w:type="dxa"/>
            <w:vAlign w:val="bottom"/>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w:t>
            </w:r>
          </w:p>
        </w:tc>
      </w:tr>
      <w:tr>
        <w:trPr>
          <w:trHeight w:val="20"/>
        </w:trPr>
        <w:tc>
          <w:tcPr>
            <w:tcW w:w="7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2019, 27,238 options were exercised, and the Company received cash proceeds of $0.1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for the three and six months ended June 30,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June 30,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83,339</w:t>
            </w:r>
          </w:p>
        </w:tc>
        <w:tc>
          <w:tcPr>
            <w:tcW w:w="5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Plasma centers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24,753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569,349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406,193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1,067,820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54,631</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38,099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95,360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726,736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535,391</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1,363,999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As of June 30, 2019, the Company had $5.6 million of unrecognized compensation expense related to options granted under the Company’s equity incentive plans, which is expected to be recognized over a weighted-average period of 2.7 years.</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Rent expense for the three months ended June 30, 2019 and 2018 amounted to $30,000, and rent expense for the six months June 30, 2019 and 2018 amounted to $60,000, and includes fees for the use of such office space and for other information technology, general warehousing and administrative services. Areth is a company controlled by Dr. Jerrold B. Grossman, the Company’s Vice Chairman,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and six months ended June 30, 2019 and 2018.</w:t>
      </w:r>
    </w:p>
    <w:p>
      <w:pPr>
        <w:spacing w:after="0" w:line="178" w:lineRule="exact"/>
        <w:rPr>
          <w:rFonts w:ascii="Arial" w:cs="Arial" w:eastAsia="Arial" w:hAnsi="Arial"/>
          <w:sz w:val="18"/>
          <w:szCs w:val="18"/>
          <w:b w:val="1"/>
          <w:bCs w:val="1"/>
          <w:color w:val="auto"/>
        </w:rPr>
      </w:pPr>
    </w:p>
    <w:p>
      <w:pPr>
        <w:ind w:left="3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See Note 6 for a discussion of the Company’s credit facility and related transactions with Perceptive, a holder of greater than 10% of the Company’s common stock.</w:t>
      </w:r>
    </w:p>
    <w:p>
      <w:pPr>
        <w:spacing w:after="0" w:line="166" w:lineRule="exact"/>
        <w:rPr>
          <w:rFonts w:ascii="Arial" w:cs="Arial" w:eastAsia="Arial" w:hAnsi="Arial"/>
          <w:sz w:val="18"/>
          <w:szCs w:val="18"/>
          <w:b w:val="1"/>
          <w:bCs w:val="1"/>
          <w:color w:val="auto"/>
        </w:rPr>
      </w:pPr>
    </w:p>
    <w:p>
      <w:pPr>
        <w:ind w:left="340" w:right="7640" w:hanging="332"/>
        <w:spacing w:after="0" w:line="503"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manufacturing agreement</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This contract, as amended from time to time,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and Licensor Commitments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approaches commercialization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purchases substantially all of its raw material plasma from Grifols. For the six months ended June 30, 2019, plasma purchases from Grifols totaled approximately $5.0 million, representing approximately 67% of our total inventory purchases. For the six months ended June 30, 2018, plasma purchases from BPC totaled $0.8 million, or approximately 49% of our total inventory purchases.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2019.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engaged in the manufacture, marketing and development of specialty plasma-derived biologics. The Company’s ADMA BioManufacturing segment reflects the Company’s immune globulin manufacturing and development operations in Boca Raton, FL, acquired on June 6, 2017 (see Note 1). The Plasma Collection Centers segment consists of one and three FDA-licensed source plasma collection facilities located in Georgia for the six months ended June 30, 2019 and 2018, respectively.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0" w:type="dxa"/>
            <w:vAlign w:val="bottom"/>
            <w:gridSpan w:val="10"/>
          </w:tcPr>
          <w:p>
            <w:pPr>
              <w:jc w:val="right"/>
              <w:ind w:right="2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6"/>
          </w:tcPr>
          <w:p>
            <w:pPr>
              <w:ind w:left="136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6"/>
                <w:szCs w:val="16"/>
                <w:color w:val="auto"/>
              </w:rPr>
            </w:pPr>
          </w:p>
        </w:tc>
        <w:tc>
          <w:tcPr>
            <w:tcW w:w="15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BioManufacturing</w:t>
            </w:r>
          </w:p>
        </w:tc>
        <w:tc>
          <w:tcPr>
            <w:tcW w:w="12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Centers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4,002,445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2,522,788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6,560,942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8,170,381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2,320,855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(8,671,783)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(11,338,674)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(8,918,386)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(13,211,872)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688,848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67,236,416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3,835,999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72,201,705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143,274,120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6"/>
          </w:tcPr>
          <w:p>
            <w:pPr>
              <w:ind w:left="1360"/>
              <w:spacing w:after="0"/>
              <w:rPr>
                <w:sz w:val="20"/>
                <w:szCs w:val="20"/>
                <w:color w:val="auto"/>
              </w:rPr>
            </w:pPr>
            <w:r>
              <w:rPr>
                <w:rFonts w:ascii="Arial" w:cs="Arial" w:eastAsia="Arial" w:hAnsi="Arial"/>
                <w:sz w:val="18"/>
                <w:szCs w:val="18"/>
                <w:b w:val="1"/>
                <w:bCs w:val="1"/>
                <w:color w:val="auto"/>
              </w:rPr>
              <w:t>Three Months Ended June 30, 2018</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6"/>
                <w:szCs w:val="16"/>
                <w:color w:val="auto"/>
              </w:rPr>
            </w:pPr>
          </w:p>
        </w:tc>
        <w:tc>
          <w:tcPr>
            <w:tcW w:w="15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BioManufacturing</w:t>
            </w:r>
          </w:p>
        </w:tc>
        <w:tc>
          <w:tcPr>
            <w:tcW w:w="12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Centers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2,476,117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7,965,681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1,679,981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9,645,662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(9,918,243)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54,297,915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5,438,645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58,015,432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117,751,992</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4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0" w:type="dxa"/>
            <w:vAlign w:val="bottom"/>
            <w:gridSpan w:val="10"/>
          </w:tcPr>
          <w:p>
            <w:pPr>
              <w:jc w:val="right"/>
              <w:ind w:right="2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ind w:left="440"/>
              <w:spacing w:after="0" w:line="191" w:lineRule="exact"/>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6"/>
                <w:szCs w:val="16"/>
                <w:color w:val="auto"/>
              </w:rPr>
            </w:pPr>
          </w:p>
        </w:tc>
        <w:tc>
          <w:tcPr>
            <w:tcW w:w="15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Centers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5,346,428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4,671,686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16,110,727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3,785,688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19,896,415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(19,292,591)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(4,891,898)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(24,547,090)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(19,708,807)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11,178,380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(26,279,827)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1,376,240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224,440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245,675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Six Months Ended June 30, 2018</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2"/>
          </w:tcPr>
          <w:p>
            <w:pPr>
              <w:ind w:left="440"/>
              <w:spacing w:after="0" w:line="191" w:lineRule="exact"/>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6"/>
                <w:szCs w:val="16"/>
                <w:color w:val="auto"/>
              </w:rPr>
            </w:pPr>
          </w:p>
        </w:tc>
        <w:tc>
          <w:tcPr>
            <w:tcW w:w="15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Centers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3,810,967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4,816,172</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18,663,323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3,225,087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21,888,410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(22,642,709)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(5,326,358)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(29,949,884)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(2,620,089)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(23,119,923)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(32,569,973)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1,271,131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389,512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591,665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1,046,375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rFonts w:ascii="Arial" w:cs="Arial" w:eastAsia="Arial" w:hAnsi="Arial"/>
          <w:sz w:val="18"/>
          <w:szCs w:val="18"/>
          <w:b w:val="1"/>
          <w:bCs w:val="1"/>
          <w:color w:val="auto"/>
        </w:rPr>
      </w:pPr>
    </w:p>
    <w:p>
      <w:pPr>
        <w:ind w:left="34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which is reflected in non-current liabilities in the accompanying consolidated balance sheet as of December 31, 2018.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rFonts w:ascii="Arial" w:cs="Arial" w:eastAsia="Arial" w:hAnsi="Arial"/>
          <w:sz w:val="18"/>
          <w:szCs w:val="18"/>
          <w:b w:val="1"/>
          <w:bCs w:val="1"/>
          <w:color w:val="auto"/>
        </w:rPr>
      </w:pPr>
    </w:p>
    <w:p>
      <w:pPr>
        <w:ind w:left="340" w:righ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leases certain properties and equipment for its ADMA Bio Centers subsidiary and certain equipment for its ADMA BioManufacturing subsidiary, which leases provide the right to use the underlying assets and require lease payments through the respective lease terms which expire at various dates through 2026. The Company’s lease agreements do not contain any material residual value guarantees or material restrictive covenants.</w:t>
      </w:r>
    </w:p>
    <w:p>
      <w:pPr>
        <w:spacing w:after="0" w:line="146" w:lineRule="exact"/>
        <w:rPr>
          <w:rFonts w:ascii="Arial" w:cs="Arial" w:eastAsia="Arial" w:hAnsi="Arial"/>
          <w:sz w:val="18"/>
          <w:szCs w:val="18"/>
          <w:b w:val="1"/>
          <w:bCs w:val="1"/>
          <w:color w:val="auto"/>
        </w:rPr>
      </w:pPr>
    </w:p>
    <w:p>
      <w:pPr>
        <w:ind w:left="340"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date of application of ASU 2016-02, or the lease commencement date. For the lease liabilities recognized upon the application of ASU 2016-02,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rent expense and cash paid for the Company’s operating leases for the three and six months ended June 30, 2019 was $0.1 million and $0.2 million, respectively.</w:t>
      </w:r>
    </w:p>
    <w:p>
      <w:pPr>
        <w:spacing w:after="0" w:line="177" w:lineRule="exact"/>
        <w:rPr>
          <w:rFonts w:ascii="Arial" w:cs="Arial" w:eastAsia="Arial" w:hAnsi="Arial"/>
          <w:sz w:val="18"/>
          <w:szCs w:val="18"/>
          <w:b w:val="1"/>
          <w:bCs w:val="1"/>
          <w:color w:val="auto"/>
        </w:rPr>
      </w:pPr>
    </w:p>
    <w:p>
      <w:pPr>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adoption of ASU 2016-02 on January 1, 2019 (see Note 2), the Company recognized right to use assets of $1.4 million and lease liabilities of approximately $1.6 million. The right-to-use assets are reflected in Deposits and other assets in the accompanying consolidated balance sheet as of June 30, 2019. Including a finance lease the Company entered into in June 2018, the Company has aggregate lease liabilities of $1.6 million as of June 30, 2019, which are comprised primarily of the lease for the Company’s plasma collection center in Kennesaw, GA and an administrative office lease in Roswell, GA related to the Company’s ADMA Bio Centers subsidiary. The Company’s operating leases have a weighted average remaining term of 6.4 years. Scheduled payments under the Company’s lease obligations are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320" w:type="dxa"/>
            <w:vAlign w:val="bottom"/>
            <w:shd w:val="clear" w:color="auto" w:fill="CCEEFF"/>
          </w:tcPr>
          <w:p>
            <w:pPr>
              <w:jc w:val="right"/>
              <w:ind w:right="5450"/>
              <w:spacing w:after="0"/>
              <w:rPr>
                <w:sz w:val="20"/>
                <w:szCs w:val="20"/>
                <w:color w:val="auto"/>
              </w:rPr>
            </w:pPr>
            <w:r>
              <w:rPr>
                <w:rFonts w:ascii="Arial" w:cs="Arial" w:eastAsia="Arial" w:hAnsi="Arial"/>
                <w:sz w:val="18"/>
                <w:szCs w:val="18"/>
                <w:color w:val="auto"/>
              </w:rPr>
              <w:t>Remainder of 2019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206,290</w:t>
            </w:r>
          </w:p>
        </w:tc>
      </w:tr>
      <w:tr>
        <w:trPr>
          <w:trHeight w:val="216"/>
        </w:trPr>
        <w:tc>
          <w:tcPr>
            <w:tcW w:w="9320" w:type="dxa"/>
            <w:vAlign w:val="bottom"/>
          </w:tcPr>
          <w:p>
            <w:pPr>
              <w:jc w:val="right"/>
              <w:ind w:right="5450"/>
              <w:spacing w:after="0"/>
              <w:rPr>
                <w:sz w:val="20"/>
                <w:szCs w:val="20"/>
                <w:color w:val="auto"/>
              </w:rPr>
            </w:pPr>
            <w:r>
              <w:rPr>
                <w:rFonts w:ascii="Arial" w:cs="Arial" w:eastAsia="Arial" w:hAnsi="Arial"/>
                <w:sz w:val="18"/>
                <w:szCs w:val="18"/>
                <w:color w:val="auto"/>
              </w:rPr>
              <w:t>Year ended December 31, 2020</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407,792</w:t>
            </w:r>
          </w:p>
        </w:tc>
      </w:tr>
      <w:tr>
        <w:trPr>
          <w:trHeight w:val="216"/>
        </w:trPr>
        <w:tc>
          <w:tcPr>
            <w:tcW w:w="9320" w:type="dxa"/>
            <w:vAlign w:val="bottom"/>
            <w:shd w:val="clear" w:color="auto" w:fill="CCEEFF"/>
          </w:tcPr>
          <w:p>
            <w:pPr>
              <w:jc w:val="right"/>
              <w:ind w:right="545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385,887</w:t>
            </w:r>
          </w:p>
        </w:tc>
      </w:tr>
      <w:tr>
        <w:trPr>
          <w:trHeight w:val="216"/>
        </w:trPr>
        <w:tc>
          <w:tcPr>
            <w:tcW w:w="9320" w:type="dxa"/>
            <w:vAlign w:val="bottom"/>
          </w:tcPr>
          <w:p>
            <w:pPr>
              <w:jc w:val="right"/>
              <w:ind w:right="545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382,287</w:t>
            </w:r>
          </w:p>
        </w:tc>
      </w:tr>
      <w:tr>
        <w:trPr>
          <w:trHeight w:val="216"/>
        </w:trPr>
        <w:tc>
          <w:tcPr>
            <w:tcW w:w="9320" w:type="dxa"/>
            <w:vAlign w:val="bottom"/>
            <w:shd w:val="clear" w:color="auto" w:fill="CCEEFF"/>
          </w:tcPr>
          <w:p>
            <w:pPr>
              <w:jc w:val="right"/>
              <w:ind w:right="545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360,197</w:t>
            </w:r>
          </w:p>
        </w:tc>
      </w:tr>
      <w:tr>
        <w:trPr>
          <w:trHeight w:val="230"/>
        </w:trPr>
        <w:tc>
          <w:tcPr>
            <w:tcW w:w="9320" w:type="dxa"/>
            <w:vAlign w:val="bottom"/>
            <w:tcBorders>
              <w:bottom w:val="single" w:sz="8" w:color="CCEEFF"/>
            </w:tcBorders>
          </w:tcPr>
          <w:p>
            <w:pPr>
              <w:jc w:val="right"/>
              <w:ind w:right="545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606,912</w:t>
            </w:r>
          </w:p>
        </w:tc>
      </w:tr>
      <w:tr>
        <w:trPr>
          <w:trHeight w:val="210"/>
        </w:trPr>
        <w:tc>
          <w:tcPr>
            <w:tcW w:w="9320" w:type="dxa"/>
            <w:vAlign w:val="bottom"/>
            <w:shd w:val="clear" w:color="auto" w:fill="CCEEFF"/>
          </w:tcPr>
          <w:p>
            <w:pPr>
              <w:jc w:val="right"/>
              <w:ind w:right="5450"/>
              <w:spacing w:after="0"/>
              <w:rPr>
                <w:sz w:val="20"/>
                <w:szCs w:val="20"/>
                <w:color w:val="auto"/>
              </w:rPr>
            </w:pPr>
            <w:r>
              <w:rPr>
                <w:rFonts w:ascii="Arial" w:cs="Arial" w:eastAsia="Arial" w:hAnsi="Arial"/>
                <w:sz w:val="18"/>
                <w:szCs w:val="18"/>
                <w:color w:val="auto"/>
              </w:rPr>
              <w:t>Total payments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2,349,365</w:t>
            </w:r>
          </w:p>
        </w:tc>
      </w:tr>
      <w:tr>
        <w:trPr>
          <w:trHeight w:val="230"/>
        </w:trPr>
        <w:tc>
          <w:tcPr>
            <w:tcW w:w="9320" w:type="dxa"/>
            <w:vAlign w:val="bottom"/>
            <w:tcBorders>
              <w:bottom w:val="single" w:sz="8" w:color="CCEEFF"/>
            </w:tcBorders>
          </w:tcPr>
          <w:p>
            <w:pPr>
              <w:jc w:val="right"/>
              <w:ind w:right="545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(711,275)</w:t>
            </w:r>
          </w:p>
        </w:tc>
      </w:tr>
      <w:tr>
        <w:trPr>
          <w:trHeight w:val="223"/>
        </w:trPr>
        <w:tc>
          <w:tcPr>
            <w:tcW w:w="9320" w:type="dxa"/>
            <w:vAlign w:val="bottom"/>
            <w:tcBorders>
              <w:bottom w:val="single" w:sz="8" w:color="CCEEFF"/>
            </w:tcBorders>
            <w:shd w:val="clear" w:color="auto" w:fill="CCEEFF"/>
          </w:tcPr>
          <w:p>
            <w:pPr>
              <w:jc w:val="right"/>
              <w:ind w:right="5450"/>
              <w:spacing w:after="0"/>
              <w:rPr>
                <w:sz w:val="20"/>
                <w:szCs w:val="20"/>
                <w:color w:val="auto"/>
              </w:rPr>
            </w:pPr>
            <w:r>
              <w:rPr>
                <w:rFonts w:ascii="Arial" w:cs="Arial" w:eastAsia="Arial" w:hAnsi="Arial"/>
                <w:sz w:val="18"/>
                <w:szCs w:val="18"/>
                <w:color w:val="auto"/>
              </w:rPr>
              <w:t>Balance at June 30, 2019</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1,638,090</w:t>
            </w:r>
          </w:p>
        </w:tc>
      </w:tr>
      <w:tr>
        <w:trPr>
          <w:trHeight w:val="20"/>
        </w:trPr>
        <w:tc>
          <w:tcPr>
            <w:tcW w:w="9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six months ended June 30, 2019 and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3,574,304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2,145,005</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290,389</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183,233</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Equipment acquired through finance lease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165,644</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180"/>
              <w:spacing w:after="0"/>
              <w:rPr>
                <w:sz w:val="20"/>
                <w:szCs w:val="20"/>
                <w:color w:val="auto"/>
              </w:rPr>
            </w:pPr>
            <w:r>
              <w:rPr>
                <w:rFonts w:ascii="Arial" w:cs="Arial" w:eastAsia="Arial" w:hAnsi="Arial"/>
                <w:sz w:val="18"/>
                <w:szCs w:val="18"/>
                <w:color w:val="auto"/>
              </w:rPr>
              <w:t>Warrants issued in connection with notes payable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3,579,115</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2018, filed on March 13, 2019 (the “2018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ADMA Biologics, Inc. (the “Company”, “ADMA”, “we”, “us” or “our”) is a vertically integrated commercial biopharmaceutical and specialty immunoglobulin company that manufactures, markets and develops specialty plasma-derived biologics for the treatment of immune deficiencies and the prevention and treatment of certain infectious diseases. Our targeted patient populations include immune-compromised individuals who suffer from an underlying immune deficiency disorder or who may be immune-suppressed for medical reasons.</w:t>
      </w:r>
    </w:p>
    <w:p>
      <w:pPr>
        <w:spacing w:after="0" w:line="17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currently have three products with United States Food and Drug Administration (the “FDA”) approvals: Nabi-HB (Hepatitis B Immune Globulin, Human), which is currently marketed and commercially available and is indicated for the treatment of acute exposure to blood containing Hepatitis B surface antigen (“HBsAg”), and other listed exposures to Hepatitis B; ASCENIV (Immune Globulin Intravenous, Human – slra 10% Liquid), previously referred to as RI-002, an Intravenous Immune Globulin (“IVIG”) product for the treatment of Primary Humoral Immunodeficiency Disease (“PIDD” or “PI”), for which we received FDA approval on April 1, 2019 and anticipate having this product available for commercial launch in the second half of 2019;</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and BIVIGAM (Immune Globulin Intravenous, Human), for which we submitted a Prior Approval Supplement (the “PAS”) to the FDA to amend the approved Biologics License Application (“BLA”) to allow for the commercial re-launch of the product, which is indicated for the treatment of primary humoral immunodeficiency. The PAS was approved on May 9, 2019, and the relaunch of BIVIGAM is anticipated to commence in the second half of 2019.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for an immunoglobulin manufactured to contain standardized antibodies to numerous serotypes of </w:t>
      </w:r>
      <w:r>
        <w:rPr>
          <w:rFonts w:ascii="Arial" w:cs="Arial" w:eastAsia="Arial" w:hAnsi="Arial"/>
          <w:sz w:val="17"/>
          <w:szCs w:val="17"/>
          <w:i w:val="1"/>
          <w:iCs w:val="1"/>
          <w:color w:val="auto"/>
        </w:rPr>
        <w:t>S. pneumonia</w:t>
      </w:r>
      <w:r>
        <w:rPr>
          <w:rFonts w:ascii="Arial" w:cs="Arial" w:eastAsia="Arial" w:hAnsi="Arial"/>
          <w:sz w:val="17"/>
          <w:szCs w:val="17"/>
          <w:color w:val="auto"/>
        </w:rPr>
        <w:t>. Our products and product candidates are intended to be used by physician specialists focused on caring for immune-compromised patients with or at risk for certain infectious diseases.</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During fiscal 2018, through our wholly-owned subsidiary, ADMA Bio Centers Georgia, Inc. (“ADMA Bio Centers”), we operated three FDA-licensed source plasma collection facilities located in the U.S., two of which were transferred to Biotest Pharmaceuticals Corporation (“BPC”) on January 1, 2019, pursuant to the acquisition transaction described below. Our remaining source plasma collection facility located in Kennesaw, GA provides us with a portion of our blood plasma for the manufacture of our products and product candidates. We intend to open additional plasma collection centers in the U.S. during the next few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in other locations where plasma from ADMA Bio Centers is approved globally under supply agreements, or in the open "spot" market.</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On June 6, 2017, we completed the acquisition of certain assets (the “Biotest Assets”) of the Therapy Business Unit (“BTBU”) of BPC, which included two FDA-licensed products, Nabi-HB and BIVIGAM, and an FDA-licensed plasma fractionation facility located in Boca Raton, FL (the “Boca Facility”) (the “Biotest Transaction”). Prior to the closing of the Biotest Transaction, BTBU was our third-party manufacturer for ASCENIV, our then-lead pipeline product candidate previously referred to as “RI-002.” In addition to the manufacture and sale of Nabi-HB, ASCENIV and BIVIGAM, we also provide contract manufacturing services for certain historical clients, including the potential sale of intermediate by-products.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Upon the completion of the Biotest Transaction, we gained control over the regulatory, quality, general operations and drug substance manufacturing process at the Boca Facility. In April 2018, the FDA inspected the Boca Facility and in July 2018 our FDA status with respect to the Boca Facility improved from Official Action Indicated to Voluntary Action Indicated, and we determined that this inspection of the Boca Facility was successfully closed out. During the second quarter of 2019, we received FDA approval of the respective submissions for both ASCENIV and BIVIGAM, and the transfer of the BIVIGAM and Nabi-HB licenses from BPC to us was completed on July 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 (formerly referred to as RI-002)</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ASCENIV is a plasma-derived, polyclonal, IVIG. ASCENIV is manufactured under a U.S. Department of Health and Human Services License No. 2019 using a process known as fractionation, using our unique, patented plasma donor screening methodology and tailored plasma pooling design, which blends normal source plasma and plasma from donors tested to have high levels of neutralizing titers to Respiratory Syncytial Virus (“RSV”) using our proprietary microneutralization assay. ASCENIV contains naturally occurring polyclonal antibodies, and is indicated for the treatment of PIDD in adults and adolescents (12 to 17 years of age). Polyclonal antibodies are proteins that are used by the body's immune system to neutralize microbes, such as bacteria and viruses and prevent against infection and disease. ASCENIV is approved for the treatment of PIDD, having completed a pivotal Phase III clinical trial among fifty-nine patients treated for twelve months during the pivotal investigation and met the primary endpoint of no Serious Bacterial Infections reported. Secondary efficacy endpoints further demonstrated the benefits of ASCENIV in the low incidence of infection, therapeutic antibiotic use, days missed from work/school/daycare and unscheduled medical visits and hospitalizations. We anticipate the commercial launch of ASCENIV during the second half of 2019. We believe this FDA approval better positions ADMA to further its mission to evaluate ASCENIV in immune-compromised patients infected with or at-risk for RSV infection. We look forward to working with the FDA and the immunology and infectious disease community on developing a clinical investigation to evaluate the use of ASCENIV in this patient population in the near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BIVIGAM is an intravenous immune globulin indicated for the treatment of PI. This includes, but is not limited to, the humoral immune defect in common variable immunodeficiency, X-linked agammaglobulinemia, congenital agammaglobulinemia, Wiskott-Aldrich syndrome and severe combined immunodeficiency. These primary immunodeficiencies (“PIs”) are a group of genetic disorders. Initially thought to be very rare, it has been estimated that as many as one in every 1,200 people in the United States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BPC had originally received FDA approval for BIVIGAM on December 19, 2012, prior to our acquisition of BTBU, and product sales commenced in the first quarter of 2013. On May 9, 2019, the FDA approved the PAS for the use of our IVIG manufacturing process, thereby enabling us to relaunch and commercialize this product in the United States. We resumed production of BIVIGAM during the fourth quarter of 2017 after the closing of the Biotest Transaction and commercial production is ongoing, using our FDA-approved IVIG manufacturing process, with the commercial launch and first commercial sales expected to occur in the second half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In early 2018, we received authorization from the FDA for the release of our first commercial batch of Nabi-HB for commercial distribution in the U.S.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the fair value of awards granted under our equity incentive plans and warrants issued in connection with the issuance of notes payable and the valuation allowance for our deferred tax assets.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in the 2018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Revenues for the three and six months ended June 30, 2019 are comprised of (i) revenues from Nabi-HB, (ii) product revenues from the sale of human plasma collected from our plasma collection centers business segment, (iii) contract manufacturing revenue and; and (iv) license and other revenues primarily attributable to the out-licensing of ASCENIV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for a period of approximately 22 years from December 31, 2012, the term of the Biotest license agreement.</w:t>
      </w:r>
    </w:p>
    <w:p>
      <w:pPr>
        <w:spacing w:after="0" w:line="178"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we believe that such estimates are reasonable. For revenues associated with contract manufacturing, control transfers to the customer and the performance obligation is satisfied when the customer takes possession of the product from the Boca Facility.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For the six months ended June 30, 2019, three customers represented an aggregate of 84% of our consolidated revenues, with Biolife Plasma Services, L.P. (“Biolife”), Sanofi Pasteur S.A. (“Sanofi”) and AmerisourceBergen representing 46%, 24% and 14%, respectively, of our consolidated revenues. For the six months ended June 30, 2018, three customers represented an aggregate of 90% of the Company’s consolidated revenues, with BPC representing 55%, Amerisource Bergen representing 21% and McKesson Corporation representing 14% of the Company’s consolidated revenues. Our supply contract to sell normal source plasma to BPC expired on December 31, 2018 and was not renewed.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Accounts receivable are reported at realizable value, net of allowances for contractual credits and doubtful accounts, which are recognized in the period the related revenue is recorded. At June 30, 2019, two customers represented an aggregate of 83% of our total accounts receivable, with Sanofi and Biolife representing approximately 45%, and 38%, respectively, of our consolidated accounts receivable. At December 31, 2018, BPC, AmerisourceBergen and Cardinal Health accounted for 59%, 23% and 12%, respectively, of our consolidated accounts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at the Boca Facility by the FDA prior to the closing of the Biotest Transaction for the six months ended June 30, 2019 and 2018 of approximately $0.2 million and $1.3 million, respectively, are expensed as incurred and are reflected in cost of product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and certain third party service providers, we use the Black-Scholes option pricing model. We granted options to purchase an aggregate of 1,429,100 and 1,002,900 shares of common stock, $0.0001 par value per share (“Common Stock”) during the six months ended June 30, 2019 and 2018, respectively. To determine the risk-free interest rate, we utilized the U.S. Treasury yield curve in effect at the time of the grant with a term consistent with the expected term of our awards. The expected term of the options granted is in accordance with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post-marketing commitment studies for BIVIGAM, wages, benefits and stock-based compensation for employees directly related to R&amp;D activities and, prior to April 1, 2019, assay development and testing, storage and transportation costs for high-titer plasma used in the manufacture of ASCENIV. All R&amp;D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six months ended June 30, 2019 and 2018, we determined that there was no impairment of our long-lived assets.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a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six months ended June 30,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w:t>
      </w:r>
    </w:p>
    <w:p>
      <w:pPr>
        <w:spacing w:after="0" w:line="46" w:lineRule="exact"/>
        <w:rPr>
          <w:sz w:val="20"/>
          <w:szCs w:val="20"/>
          <w:color w:val="auto"/>
        </w:rPr>
      </w:pPr>
    </w:p>
    <w:p>
      <w:pPr>
        <w:ind w:right="60" w:firstLine="8"/>
        <w:spacing w:after="0" w:line="268" w:lineRule="auto"/>
        <w:tabs>
          <w:tab w:leader="none" w:pos="3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will be no restatement of comparative periods. We recognized right-to-use assets of $1.4 million and corresponding lease liabilities of approximately $1.6 million at the date of adoption (see Note 12 to the consolidated financial statements). The right-to-use assets are reflected in Deposits and other assets in the accompanying consolidated balance sheet as of June 30, 2019. We also elected the “package of practical expedients”, which permits us to not reassess under the new standard our prior conclusions about lease identification, lease classification and initial direct costs. In addition, we elected the short-term lease recognition exemption for all leases that qualify.</w:t>
      </w:r>
    </w:p>
    <w:p>
      <w:pPr>
        <w:spacing w:after="0" w:line="18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Derivatives and Hedging (Topic 815)” (“ASU 2017-11”). ASU 2017-11 changed the 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us on January 1, 2019, and this update did not have a significant impact on our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June 30, 2019, our second fiscal quarter, compared to the three months ended June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Three Months Ended June 30,</w:t>
            </w:r>
          </w:p>
        </w:tc>
        <w:tc>
          <w:tcPr>
            <w:tcW w:w="118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6,560,942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4,656,550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1,904,392</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10,491,236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9,645,662</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845,574</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(3,930,294)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(4,989,112)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1,058,818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516,986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1,040,427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(523,441)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594,113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1,738,128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(1,144,015)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211,234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6,086,047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5,438,480</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647,567</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(11,338,674)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(13,417,381)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2,078,707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(2,072,578)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(1,359,188)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(713,390)</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199,380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28,738</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170,642</w:t>
            </w: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(13,211,872)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1,535,959</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recorded total revenues of $6.6 million during the three months ended June 30, 2019, as compared to $4.7 million during the three months ended June 30, 2018, an increase of $1.9 million, or approximately 41%. The increase is mainly due to $2.4 million of contract manufacturing revenue in the second quarter of 2019, with no corresponding amount in the second quarter of 2018, partially offset by a $0.5 million decrease in Nabi-HB revenues related to the timing of shipment requests from a key customer. The contract manufacturing revenue is related to an agreement we assumed from BPC as part of the Biotest Transaction. While we expect to generate additional revenue under this contract in the second half of 2019, this contract is set to expire at the end of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Cost of product revenue was $10.5 million for the three months ended June 30, 2019, as compared to $9.6 million for the three months ended June 30, 2018, an increase of approximately $0.8 million. The second quarter of 2019 includes cost of product revenue for contract manufacturing of $1.2, partially offset by lower facilities remediation costs of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R&amp;D expenses totaled $0.5 million for the three months ended June 30, 2019, as compared to $1.0 million for the three months ended June 30, 2018. As a result of the approval of ASCENIV by the FDA on April 1, 2019, we no longer charge the testing, storage and transportation costs for high-titer plasma used in the manufacture of ASCENIV to R&amp;D expense, but instead reflect those costs as part of the cost of the raw material plasma.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Plasma center operating expenses were $0.6 million for the three months ended June 30, 2019, as compared to $1.7 million for the three months ended June 30, 2018.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decrease in plasma center operating expenses is attributable to the transfer of two of our plasma collection centers to BPC on January 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June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Selling, general and administrative (“SG&amp;A”) expenses were $6.1 million for the three months ended June 30, 2019, an increase of $0.6 million from the three months ended June 30, 2018. The increase was primarily due to $0.5 million of increased employee-related costs, including stock-based compensation expense, and an increase in marketing expenses associated with the BIVIGAM and ASCENIV product launches of approximately $0.2 million.</w:t>
      </w:r>
    </w:p>
    <w:p>
      <w:pPr>
        <w:sectPr>
          <w:pgSz w:w="11900" w:h="16838" w:orient="portrait"/>
          <w:cols w:equalWidth="0" w:num="1">
            <w:col w:w="11420"/>
          </w:cols>
          <w:pgMar w:left="240" w:top="229"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operating loss was $11.3 million for the second quarter of 2019, as compared to $13.4 million for the second quarter of 2018. The $2.1 million decrease in operating loss was mainly due to the gross profit related to contract manufacturing revenue in 2019 and to the decreases in plasma center operating expenses and R&amp;D expenses, partially offset by higher SG&amp;A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Interest expense was $2.1 million for the three months ended June 30, 2019, as compared to $1.4 million for the three months ended June 30, 2018. In February of 2019, we refinanced our senior debt, resulting in an increase in the outstanding principal balance from $30 million to $45 million (see “Liquidity and Capital Resources”), and in May of 2019 we borrowed an additional $27.5 million, resulting in higher interest expense for the period. These additional borrowings will also result in increased interest expense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net loss was $13.2 million for the three months ended June 30, 2019, as compared to $14.7 million for the three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reduction in net loss of $1.5 million was the result of the lower operating loss for the quarter, partially offset by higher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six months ended June 30, 2019 compared to the six months ended June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120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10,089,531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8,698,556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1,390,975</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19,896,415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21,888,410</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(1,991,995)</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(9,806,884)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(13,189,854)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3,382,970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1,387,621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2,005,998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(618,377)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3,571,902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(2,323,303)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422,469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422,469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11,681,517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10,759,661</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921,856</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(24,547,090)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(29,949,884)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5,402,794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(930,745)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(9,962,495)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11,527,421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r>
      <w:tr>
        <w:trPr>
          <w:trHeight w:val="23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315,422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62,251</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253,171</w:t>
            </w: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(26,279,827)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(32,569,973)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6,290,146</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recorded total revenues of $10.1 million during the six months ended June 30, 2019, as compared to $8.7 million during the six months ended June 30, 2018, an increase of $1.4 million, or approximately 16%. The increase is mainly due to $2.4 million of contract manufacturing revenue generated in the second quarter of 2019, with no corresponding amount in the second quarter of 2018, partially offset by a $0.9 million decrease in Nabi-HB revenues related to the timing of shipment requests from a key customer. The contract manufacturing revenue is related to an agreement we assumed from BPC as part of the Biotest Transaction. While we expect to generate additional revenue under this contract in the second half of 2019, this contract is set to expire at the end of 2019.</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Cost of product revenue was $19.9 million for the six months ended June 30, 2019, as compared to $21.9 million for the six months ended June 30, 2018, a decrease of approximately $2.0 million. During the first half of 2018, we produced three lots of ASCENIV and one lot of BIVIGAM which we charged to expense in the amount of $4.0 million as these products had yet to be approved by the FDA at the time the lots were produced, as compared to one lot of BIVIGAM charged to expense in 2019 in the amount of $0.6 million. In addition, facilities remediation costs decreased by $1.1 million in 2019 compared to 2018. These amounts were partially offset by an increase in underabsorbed manufacturing overhead in the amount of $1.4 million and cost of product revenue related to contract manufacturing in the amount of $1.2 million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R&amp;D expenses totaled $1.4 million for the six months ended June 30, 2019, as compared to $2.0 million for the six months ended June 30, 2018. As a result of the approval of testing, storage and transportation costs for high-titer plasma used in the manufacture of ASCENIV no longer being charged to R&amp;D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Plasma center operating expenses were $1.2 million for the six months ended June 30, 2019, as compared to $3.6 million for the six months ended June 30, 2018. The decrease in plasma center operating expenses is attributable to the transfer of two of our plasma collection centers to BPC on January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$0.4 million for the six months ended June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SG&amp;A expenses were $11.7 million for the six months ended June 30, 2019, an increase of $0.9 million from the six months ended June 30, 2018. The increase was primarily due to $0.6 million of increased employee-related costs, including stock-based compensation expense, and an increase in marketing expenses associated with the BIVIGAM and ASCENIV product launches of approximately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operating loss was $24.5 million for the first six months of 2019, as compared to $29.9 million for the first six months of 2018. The decrease in operating loss was mainly due to the gross profit related to contract manufacturing revenue in 2019 and the decreases in cost of product revenue, as well as the decreases in plasma center operating expenses and R&amp;D expenses, partially offset by higher SG&amp;A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Interest expense was $3.6 million for the six months ended June 30, 2019, as compared to $2.7 million for the six months ended June 30, 2018. In February of 2019, we refinanced our senior debt, resulting in an increase in the outstanding principal balance from $30 million to $45 million (see “Liquidity and Capital Resources”), and in May of 2019 we borrowed an additional $27.5 million, resulting in higher interest expense for the period. These additional borrowings will also result in increased interest expense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connection with the foregoing refinancing of our senior credit facility, we incurred a loss on the extinguishment debt for the retirement of our previously existing credit facility, consisting of a $6.5 million prepayment penalty, and the write-off of $3.5 million of unamortized debt discount related to the previous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Transfer of Plasma Center Assets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part of the purchase price for the Biotest Assets,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ectPr>
          <w:pgSz w:w="11900" w:h="16838" w:orient="portrait"/>
          <w:cols w:equalWidth="0" w:num="1">
            <w:col w:w="11420"/>
          </w:cols>
          <w:pgMar w:left="240" w:top="229"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net loss was $26.3 million for the six months ended June 30, 2019, as compared to $32.6 million for the six months ended June 30, 2018. The reduction in net loss of $6.3 million was the result of the lower operating loss for the period and the gain on the transfer of plasma center assets, largely offset by the loss on extinguishment of debt.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of June 30, 2019, we had working capital of $93.8 million, including cash and cash equivalents of $73.6 million, and stockholders’ equity of $46.9 million, as compared to working capital of $34.9 million, including cash and cash equivalents of $22.8 million, and stockholders’ equity of $19.8 million as of December 31, 2018. We have had limited revenue from operations, incurred an accumulated deficit of $242.7 million since inception, had negative cash flows from operations of $32.9 million and $31.3 million for the six months ended June 30, 2019 and 2018, respectively, and had negative cash flows from operations of $62.7 million and $37.3 million for the years ended December 31, 2018 and 2017, respectively. We have funded our operations to date primarily from the sale of our equity and debt securities, acquisition proceeds from the Biotest Transaction and loans from our primary stockholders.</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expect to continue to spend substantial amounts on product development, quality assurance, regulatory affairs, procurement of raw material plasma, building additional plasma centers, commercial product launches, ramping up manufacturing and conducting clinical trials for our product candidates and purchasing clinical trial materials from our suppliers, some of which may be required by the FDA. Based upon our current projected revenue and expenditures, including capital expenditures and continued implementation of our commercialization and expansion activities, we currently believe that our cash, cash equivalents, projected revenue and accounts receivable, along with the additional $12.5 million we are able to access under our senior credit facility, will be sufficient to fund our operations, as currently conducted, into the fourth quarter of 2020. In order to have sufficient cash to fund our operations thereafter and to continue as a going concern, we will need to raise additional capital during the fourth quarter of 2020. These estimates may change based upon the success of our commercial manufacturing ramp-up activities, the acceptability of BIVIGAM and ASCENIV by physicians, patients or payers, and the various financing options that may be available to us. Other than the $12.5 million commitment currently available under our senior credit facility as discussed below,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FDA approvals related to our products, ongoing remediation, compliance requirements and capacity expansion efforts at the Boca Facility and potential future commercialization of our products and product candidates,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As such, these factors raise substantial doubt about the Company’s ability to continue as a going concern.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value and potential future market price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May 21, 2019, we issued 12,937,500 shares of our Common Stock in an underwritten public offering for gross proceeds of $51.75 million, before deducting underwriting discounts and commissions and other offering expenses payable by us. We expect to use the net proceeds of $48.4 million from the offering to (i) support the commercial launch of ASCENIV anticipated during the fourth quarter of 2019, (ii) for the commercial relaunch of BIVIGAM, (iii) to expand the manufacturing capacity of the Boca Facility, (iv) for the procurement of raw materials for the manufacturing of ASCENIV and BIVIGAM, (v) to expand our plasma collection facility network; and (vi) for general corporate purposes and other capital expenditures.</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 (i) a term loan made on the Perceptive Closing Date in the principal amount of $45.0 million, as evidenced by our issuance of a promissory note (the “Perceptive Tranche I Note”) in favor of Perceptive on the Perceptive Closing Date (the “Perceptive Tranche I Loan”), and (ii) an additional term loan in the principal amount of up to $27.5 million, but no less than $10.0 million (the “Perceptive Tranche II Loan” and, together with the Perceptive Tranche I Loan, the “Initial Perceptive Loans”), which Perceptive Tranche II Loan was subject to the satisfaction of certain conditions.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8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the Perceptive Closing Date, we used $30.0 million of the Perceptive Tranche I Loan to terminate and pay in full all of the outstanding obligations under our previously existing credit agreement with Marathon Healthcare Finance Fund, L.P. (“Marathon”) (the “Marathon Credit Facility”) that we entered into in October 2017. We also used proceeds from the Perceptive Tranche I Loan to: (i) pay a deferred facility fee to Marathon of $2.8 million, (ii) pay a prepayment penalty to Marathon of $6.5 million, (iii) pay outstanding accrued interest to Marathon of $0.7 million and (iv) pay certain fees and expenses incurred in connection with the Perceptive Credit Facility of approximately $1.5 million. In addition, on the Perceptive Closing Date, Marathon released to us the $4.0 million of cash held in a debt service reserve account, per the terms of the Marathon Credit Facility.</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consideration for the Perceptive Credit Agreement, we issued to Perceptive, on the Perceptive Closing Date, a warrant to purchase 1,360,000 shares of our Common Stock (the “Perceptive Warrant”). The Perceptive Warrant has an exercise price equal to $3.28 per share, which is equal to the trailing 10-day volume weighted average price (“VWAP”) of our Common Stock on the business day immediately prior to the Perceptive Closing Date multiplied by 1.15. The Perceptive Warrant was valued by us at $2.7 million as of the Perceptive Closing Date, and has an expiration date of February 11, 2029.</w:t>
      </w:r>
    </w:p>
    <w:p>
      <w:pPr>
        <w:spacing w:after="0" w:line="15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May 3, 2019, as a result of the FDA’s approval of ASCENIV, we accessed the additional $27.5 million available under the Perceptive Credit Facility through the issuance of a promissory note evidencing the Perceptive Tranche II Loan. We intend to use the proceeds from the Perceptive Tranche II Loan (i) to support ASCENIV’s commercial launch anticipated during the second half of 2019, (ii) to expand our plasma collection facility network; and (iii) for working capital and general corporate purposes, including the procurement of raw material inventory.</w:t>
      </w:r>
    </w:p>
    <w:p>
      <w:pPr>
        <w:spacing w:after="0" w:line="17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Also on May 3, 2019, we and Perceptive entered into an amendment to the Perceptive Credit Agreement (the “Perceptive Amendment”) whereby Perceptive agreed to an additional commitment under the Perceptive Credit Facility in the principal amount of up to $12.5 million (the “Perceptive Tranche</w:t>
      </w:r>
    </w:p>
    <w:p>
      <w:pPr>
        <w:ind w:right="40" w:firstLine="8"/>
        <w:spacing w:after="0" w:line="268" w:lineRule="auto"/>
        <w:tabs>
          <w:tab w:leader="none" w:pos="2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 and, together with the Initial Perceptive Loans, the “Perceptive Loans”). The Perceptive Tranche III Loan is subject to the satisfaction of certain conditions, including, but not limited to, FDA approval of the BIVIGAM PAS, which we received on May 9, 2019, and no Material Adverse Changes (as defined in the Perceptive Credit Agreement) having occurred since December 31, 2018; provided that the Perceptive Tranche III Loan would not be made later than March 31, 2020. The Perceptive Tranche III Loan has terms that are substantially identical to those of the Initial Perceptive Loans. The Perceptive Tranche III Loan required us to pay certain proceeds of the Perceptive Tranche II Loan to Perceptive on May 3, 2019 as a facility fee. In addition, we issued a warrant (the “Perceptive Tranche III Warrant” and, together with the Perceptive Warrant, the “Perceptive Warrants”) to purchase 250,000 shares of our Common Stock to Perceptive with an exercise price equal to $4.64 per share, which represents the trailing 10-day VWAP of our Common Stock as of May 2, 2019. The Perceptive Tranche III Warrant has an expiration date of May 3, 2029. The Perceptive Warrants were issued in reliance on an exemption from registration under Section 4(2) of the Securities Act.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Borrowings under the Perceptive Credit Agreement bear interest at a rate per annum equal to 7.5% plus the greater of (i) one-month LIBOR and (ii) 3.5%; provided, however, that upon, and during the continuance of, an Event of Default, the interest rate will automatically increase by an additional 400 basis points. Under the terms of the Perceptive Credit Facility, we pay accrued interest to Perceptive on the last day of the month of approximately $0.7 million per month. The rate of interest in effect as of the Perceptive Closing Date and as of June 30, 2019 was 11.0%.</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the Perceptive Maturity Date, we will pay Perceptive the entire outstanding principal amount underlying the Perceptive Loans and any accrued and unpaid interest thereon. Prior to the Perceptive Maturity Date, there are no scheduled principal payments on the Perceptive Loans. We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June 30, 2019, we were in compliance with all of the covenants under the Perceptive Credit Facility.</w:t>
      </w:r>
    </w:p>
    <w:p>
      <w:pPr>
        <w:spacing w:after="0" w:line="1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have been and will continue to be used for (i) for continued remediation and ongoing improvement and enhancements at the Boca Facility, (ii) to submit the PAS for, and re-launch of, BIVIGAM, (iii) to resubmit the RI-002 BLA, (iv) for expenses associated with obtaining with FDA approval of our Kennesaw, GA plasma collection facility, and (v) for general corporate purposes, including capital expenditures.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(32,911,136)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(31,342,153)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(245,675)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(1,046,375)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80,017,868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42,934,929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46,861,057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10,546,401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including restricted cash - beginning of period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48,607,574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 end of period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73,615,909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59,153,975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Cash used in operations for the six months ended June 30, 2019 was $32.9 million, an increase of $1.6 million from the same period of a year ago, mainly due to increases in inventory and accounts receivable. The following table illustrates the primary components of our cash flows from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(26,279,827)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(32,569,973)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1,688,347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3,181,791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82,960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(5,175,148)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381,213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163,747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(380,626)</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358,164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(2,264,907)</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27,803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227,389</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(32,911,136)</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(31,342,153)</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2019 and 2018 was $0.2 million and $1.0 million, respectively, consisting of capital expenditures at the Boca Facility. Although we have no specific material commitments for capital expenditures as of June 30, 2019, we expect our total capital expenditures will be between $3.0 million and $6.0 million for the remainder of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provided by financing activities during the six months ended June 30, 2019 was $80.0 million, which is comprised of the net proceeds received from our May 2019 equity offering in the amount of $48.4 million and the $31.6 million of net proceeds received from the refinancing of our senior credit facility and the subsequent Perceptive Tranche II Loan. Net cash provided by financing activities for the six months ended June 30, 2018 of $42.9 million reflects the net proceeds received from our June 2018 equity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Inflation or changing prices did not have a significant impact on our net sales, revenues or net loss for the six months ended June 30, 2019 or in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June 30, 2019. Based on this evaluation, our principal executive officer and our principal financial officer concluded that our disclosure controls and procedures as of June 30, 2019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2019 that have materially affected, or are reasonably likely to materially affect, our internal control over financial reporting.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Described below are various risks and uncertainties that may affect our business. These risks and uncertainties are not the only ones we face.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On April 1, 2019, the FDA approved ASCENIV, formerly referred to as RI-002, and we anticipate having the product available for commercial launch during the second half of 2019. On May 9, 2019 we received approval from the FDA for BIVIGAM, and we anticipate relaunching this product in the second half of 2019.</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and successfully implement our research and development and commercial programs, establish and build out a commercial sales force and commercial infrastructure and meet our ongoing obligations. If we are unable to successfully raise additional capital by the fourth quarter of 2020,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Based upon our projected revenue and expenditures for fiscal 2019, including continued implementation of our commercialization and expansion activities and certain other assumptions, we currently believe that our cash, cash equivalents, projected revenue and accounts receivable, along with the additional funds we are able to draw down through our existing senior credit facility (see “Management’s Discussion and Analysis of Financial Condition and Results of Operations”), will be sufficient to fund our operations, as currently conducted, into the fourth quarter of 2020. In order to have sufficient cash to fund our operations thereafter and to continue as a going concern, we will need to raise additional equity or debt financing during the fourth quarter of 2020. This timeframe may change based upon how quickly we are able to execute on our ADMA BioManufacturing operations, commercial manufacturing ramp-up activities and the various financing options we are exploring. Other than the additional $12.5 million that became available under the Perceptive Credit Facility as a result of the FDA approval of BIVIGAM,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Failure to timely and effectively remediate and close out the outstanding November 2014 warning letter (the “Warning Letter”) that had been issued by the FDA to BPC related to certain compliance and other inspection issues and deficiencies identified at the Boca Facility will have a material adverse effect on our business. Failure of the FDA to adhere to its stated timelines in the Code of Federal Regulations, statements of internal policy or review timing goals, as well as any potential government shut-downs or unforeseen government office closings, may affect our ability to resolve the Warning Letter and other inspection and review issues within estimated timelines described.</w:t>
      </w:r>
    </w:p>
    <w:p>
      <w:pPr>
        <w:spacing w:after="0" w:line="17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Prior to the closing of the Biotest Transaction, BTBU was our third-party manufacturer for ASCENIV, formerly referred to as RI-002. In response to our BLA submission for RI-002 in 2015 (the “RI-002 BLA”), in July 2016 the FDA issued a CRL for RI-002 (the “RI-002 CRL”). The RI-002 CRL did not specify or request the need for any addition clinical trials or data; however, the RI-002 CRL reaffirmed the issues set forth in the Warning Letter issued to Biotest relating to inspection issues identified at the Boca Facility. The FDA identified in the RI-002 CRL, among other things, certain outstanding inspection issues and deficiencies related to CMC and Good Manufacturing Practices (“GMP”) at the Boca Facility and at certain of our third-party vendors, and requested documentation of corrections for a number of these issues. The FDA indicated in the RI-002 CRL that it could 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have been working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Although we received FDA approval of our RI-002 BLA on April 1, 2019, we have not received a “Warning Letter close-out letter” from the FDA. We believe that we have successfully closed out the April 2018 FDA inspection of the Boca Facility, however there can be no assurances as to the timing by which the FDA may make any post-approval determinations concerning our compliance status. There can also be no assurances that our ongoing efforts to remediate the Warning Letter and other inspection issues and deficiencies at the Boca Facility have been effective or whether the FDA will accept these efforts. Failure to timely and fully remediate the issues identified in the Warning Letter and other inspection issues and deficiencies would have a material adverse effect on our business (including the ability to timely commercialize our products),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for the foreseeable future, and we may never achieve or maintain profitability. For the years ended December 31, 2018 and 2017, we incurred net losses of $65.7 million and $43.8 million, respectively, and for the six months ended June 30, 2019 and 2018, we incurred net losses of $26.3 million and $32.6 million, respectively. From our inception in 2004 through June 30, 2019, we have incurred an accumulated deficit of $242.7 million. Even if we succeed in developing and commercializing one or more of our products and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6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during the fourth quarter of 2020 to fund our operations in order to continue as a going concern.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CohnReznick LLP, our independent registered public accounting firm, has included an explanatory paragraph in their opinion that accompanies our audited consolidated financial statements as of and for the year ended December 31, 2018,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anticipate that our principal sources of liquidity will only be sufficient to fund our activities, as currently conducted, into the fourth quarter of 2020. In order to have sufficient cash to fund our operations thereafter and to continue as a going concern, we will need to raise additional equity or debt financing during the fourth quarter of 2020. This time frame may change based upon how quickly we are able to execute on our quality management systems’ remediation plans for the ADMA BioManufacturing operations, commercial manufacturing ramp-up activities and the various financing options we are exploring.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fourth quarter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not demonstrated an ability to perform the functions necessary for the successful commercialization of our FDA-approved products. The successful development and commercialization of ASCENIV, BIVIGAM or any product candidate will require us or our third party service providers to perform a variety of functions, including:</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FDA-approved products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operations, including our headquarters located in Ramsey, NJ, the Boca Facility and our Kennesaw, GA plasma collection facility, are vulnerable to interruption by fire, weather related events such as hurricanes, wind and rain, other acts of God, electric power loss, telecommunications failure, equipment failure and breakdown, human error, employee issues, product liability claims and events beyond our control. While we maintain several insurance policies with reputable carriers, which we believe are in acceptable amounts and contain market terms common within the industry which provide adequate coverage for a variety of these risks, including replacing or rebuilding a substantial part of our facilities, these policies are subject to the insurance carriers’ final determination of compensation to us.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Furthermore, failure can occur at any stage of the process, and we could encounter problems that cause us to abandon our product development programs and related INDs or biologics license applications, or to repeat clinical trials.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8"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7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If we do not obtain the necessary U.S. or worldwide regulatory approvals to commercialize a product candidate, we will not be able to sell that product candidate, which would make it difficult for us to recover the costs of researching and developing such product candidate.</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are not be able to generate revenue from such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for PIDD, our ability to market ASCENIV for alternative indications could be limited, unless additional clinical trials are conducted.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for PIDD, we cannot be sure whether we will be able to obtain FDA approval for any desired future indications for ASCENIV.</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Furthermore, there are still significant risks in this area in part due to potential False Claims Act exposure.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With the approval of ASCENIV, we plan to commercialize this product, while also continuing our research and development activities. There can be no assurance that we will be able to successfully manage the balance of our research and development operations with our planned commercialization activities. Potential investors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reimbursement, marketing challenges, development of a comprehensive compliance program, and other related and additional costs. 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Historically, a single customer or a few customers have accounted for a significant amount of our total revenue and the loss of any of these customers could have a material adverse effect on our business, results of operations and financial condition.</w:t>
      </w:r>
    </w:p>
    <w:p>
      <w:pPr>
        <w:spacing w:after="0" w:line="170"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Historically, a significant amount of our total revenue is attributable to a single customer, BPC. For the year ended December 31, 2018, BPC, McKesson and AmerisourceBergen represented 56%, 16% and 15%, respectively, of our total revenue. For the six months ended June 30, 2019, Biolife, Sanofi and AmerisourceBergen represented 46%, 24% and 14%, respectively, of our total revenue.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Factors that could influence our relationships with our customers include, among other things:</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an adverse change in the financial condition of Biolife, McKesson Corporation or AmerisourceBergen could have a material adverse effect on our business and results of operations.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ADMA Biologics, physicians, payers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Industry and other market data used in our periodic reports filed with the SEC and our other materials, including those undertaken by us or our engaged consultants, may not prove to be representative of current and future market conditions or future results.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periodic reports filed with the SEC and our other materials include statistical and other industry and market data that we obtained from industry publications and research, surveys and studies conducted by third parties and surveys and studies we commissioned regarding the market potential for our current products and product candidates.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 Centers, to support our operations.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19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 We could be subject to enforcement action and litigation exposure if we fail to adhere to these data privacy and security laws.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officially resolve the outstanding issues at the Boca Facility that resulted in the Warning Letter.</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may not be able to officially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Failure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could disrupt our business operations and the timing of our commercialization efforts and may have a material adverse effect on our financial condition and operating results. In April 2018, the FDA inspected the Boca Facility and in July 2018 our FDA status resulted improved from OAI to VAI and this inspection of the Boca Facility has been successfully closed-out as indicated on the FDA’s website inspection database. In April 2019, the FDA approved ASCENIV and in May 2019 the FDA approved BIVIGAM, and we anticipate having these products available for commercial launch during the second half of 2019. On July 2, 2019 the FDA notified us that the licenses for BIVIGAM and Nabi-HB have been revoked from BPC, U.S. License No. 1792 and transferred and issued to our U.S. License No. 2019. However, the FDA has yet to inform us that the outstanding issues set forth in the Warning Letter have been officially resolved, and there is no assurance and no definitive timeline as to when or if the Warning Letter will be officially resolved by the FDA.</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transferred assets that had historically generated substantially all of our revenue.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paid to acquire the Biotest Assets, we transferred to BPC ownership of two of our licensed plasma collection facilities in the U.S. and certain related assets and liabilities. These plasma collection facilities, which were transferred on January 1, 2019, had historically been the source of substantially all of our revenue. Plasma collection centers are expensive to construct, time-consuming and this industry is subject to market saturation and increasing competition from companies with substantially greater financial resources than us. Although we have completed construction of, and received FDA approval for our plasma collection facility in Kennesaw, GA, there can be no assurances that we will generate similar revenues as historically reported from the plasma collection facilities we transferred to BPC on January 1, 2019 or that we will successfully expand and build out our plasma center network.</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 For example,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9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93"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while the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with Biotest, dated as of January 21, 2017.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Perceptive Credit Agreement is subject to acceleration in specified circumstances, which may result in Perceptive taking possession and disposing of any collateral.</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May 3, 2019, we amended the Perceptive Credit Agreement which provides for a senior secured term loan facility in an aggregate amount of up to $85.0 million, comprised of (i) the Perceptive Tranche I Loan made on February 11, 2019 with an outstanding principal amount of $45.0 million, (ii) the Perceptive Tranche II Loan made on May 3, 2019 with an outstanding principal amount of $27.5 million, and (iii) the Perceptive Tranche III Loan in the principal amount of $12.5 million which has yet to be drawn down (together with the Perceptive Tranche I Term Loan and the Perceptive Tranche II Loan, the “Loans”). The Loans each have a maturity date of March 1, 2022, subject to acceleration pursuant to the Perceptive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products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USPTO. Even if enforceable, we cannot provide any assurances that they will provide significant protection from competition. The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and/or security measures we use to preserve the integrity and confidentiality of our data and trade secrets may be breached, and we may not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as a result of any such breaches. In addition, our trade secrets may otherwise become known or be independently discovered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There can be no assurance that the confidentiality, nondisclosure and non-competition agreements with employees, consultants and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access to our proprietary information to protect our trade secrets, proprietary technology, processes and other proprietary rights, or any other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measures relating to such trade secrets, proprietary technology, processes and proprietary rights, will be adequate, will not be breached, that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for any breach, that others will not independently develop substantially equivalent proprietary information or that third parties will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gain access to our trade secrets or proprietary knowledge. To the extent that our consultants, contractors or collaborators use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owned by others in their work for us, disputes may arise as to the rights in related or resulting know-how and inventions.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Patent rights covering ASCENIV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hire and retain a substantial number of qualified personnel, our ability to sustain and grow our business may be harmed.</w:t>
      </w:r>
    </w:p>
    <w:p>
      <w:pPr>
        <w:spacing w:after="0" w:line="2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creation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operate under the Warning Letter due to issues identified by the FDA in their prior inspections while the Boca Facility was under BPC’s operational control. We engaged a leading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continue to work with the FDA to resolve the Warning Letter classification. Although we have improved our compliance status at the Boca Facility, 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 Centers operates its current or future plasma facilities,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facilities held by us from time to time.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United States District Court for the Northern District of Texas struck down the Healthcare Reform Law, deeming it unconstitutional given that Congress repealed the individual mandate in 2017. This decision has been stayed pending outcome of an appeal to the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difficult economic environment may adversely affect demand for our products. ASCENIV is expected to be sold to hospitals, specialty pharmacies and clinicians in the U.S.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six months ended June 30, 2019 and 2018, we had negative cash flows from operations of $32.9 million and $31.3 million, respectively, and for the years ended December 31, 2018 and 2017, we had negative cash flows from operations of approximately $62.7 million and $37.3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conducting commercial launch activities and potential post-marketing studies. We currently anticipate, based upon our projected revenue and expenditures, as well as the additional funds we are able to draw down under the Credit Agreement, that our current cash, cash equivalents and accounts receivable will be sufficient to fund our operations, as currently conducted, into the fourth quarter of 2020. In order to have sufficient cash to fund our operations thereafter and to continue as a going concern, we will need to raise additional equity or debt financing during the fourth quarter of 2020. This time frame may change based upon how quickly we are able to execute on our operational initiatives and the various financing options that may be available to us in 2020</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incurred substantial losses during our history. As of December 31, 2018, we had federal and state NOLs of $108.5 million and $72.3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ASCENIV;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subsequent to the FDA’s approval of the PAS on May 9,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of August 1, 2019, most of our 59,317,806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(“Rule 144”) under the Securities Act of 1933, as amended (the “Securities Act”), or under effective registration statements. Pursuant to the Stockholders’ Agreement, until December 6, 2020, subject to certain limited exceptions, sales of the 4,295,580 shares of Common Stock held by The Biotest Divestiture Trust (the “Biotest Trust”) (as successor-in-interest to BPC) may not exceed 15% of the issued and outstanding Common Stock of ADMA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which occurred on May 14, 2018 following the transfer of the NV Biotest Shares to us, then the Biotest Trust may sell any amount of its equity interests in us at any time (subject to applicable securities laws). Sales of a substantial number of shares of our Common Stock, or the perception that such sales may occur, may adversely impact the market price of our Common Stock.</w:t>
      </w:r>
    </w:p>
    <w:p>
      <w:pPr>
        <w:spacing w:after="0" w:line="18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August 1, 2019, the Biotest Trust, our directors and executive officers and their affiliates beneficially owned approximately 25% of the outstanding shares of our Common Stock. Additionally, on November 14, 2018, the standstill provisions contained in that certain Stockholders Agreement, dated as of June 6, 2017, by and between us and BPC, as amended by that certain Share Transfer, Amendment and Release Agreement, dated as of May 14, 2018, with BPC, Biotest AG and the Biotest Trust,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Such event could result in the Biotest Trust acquiring additional shares of our Common Stock or taking other actions with the goal of acquiring additional shares of our Common Stock.</w:t>
      </w:r>
    </w:p>
    <w:p>
      <w:pPr>
        <w:spacing w:after="0" w:line="17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 (“Section 404”).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(“Section 404”).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75,000,000 shares of Common Stock. As of August 1, 2019, there were 7,875,431 shares remaining available for issuance, after giving effect to 7,806,763 shares of our Common Stock which were subject to outstanding stock options, warrants or other convertible securities as of August 1, 2019 that may be issued by us without stockholder approval, and exclusive of 8,591,160 shares of non-voting common stock, all of which were reacquired by us in May 2018 pursuant to the Biotest Transfer Agreement and were subsequently retired and are no longer available for issuance.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208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6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Lenz</w:t>
            </w:r>
          </w:p>
        </w:tc>
      </w:tr>
      <w:tr>
        <w:trPr>
          <w:trHeight w:val="195"/>
        </w:trPr>
        <w:tc>
          <w:tcPr>
            <w:tcW w:w="36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Borders>
              <w:bottom w:val="single" w:sz="8" w:color="0000EE"/>
            </w:tcBorders>
            <w:gridSpan w:val="8"/>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1"/>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gridSpan w:val="11"/>
          </w:tcPr>
          <w:p>
            <w:pPr>
              <w:ind w:left="1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440" w:type="dxa"/>
            <w:vAlign w:val="bottom"/>
            <w:tcBorders>
              <w:bottom w:val="single" w:sz="8" w:color="0000EE"/>
            </w:tcBorders>
            <w:gridSpan w:val="10"/>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Note, dated May 3, 2019, issued by the Company to Perceptive Credit Holdings II, LP (incorporated herein by reference to Exhibit</w:t>
              </w:r>
            </w:hyperlink>
          </w:p>
        </w:tc>
        <w:tc>
          <w:tcPr>
            <w:tcW w:w="26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May 3, 2019).</w:t>
              </w:r>
            </w:hyperlink>
          </w:p>
        </w:tc>
        <w:tc>
          <w:tcPr>
            <w:tcW w:w="3320" w:type="dxa"/>
            <w:vAlign w:val="bottom"/>
            <w:gridSpan w:val="10"/>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520" w:type="dxa"/>
            <w:vAlign w:val="bottom"/>
            <w:tcBorders>
              <w:bottom w:val="single" w:sz="8" w:color="0000EE"/>
            </w:tcBorders>
            <w:gridSpan w:val="12"/>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Warrant to Purchase Stock, dated May 3, 2019, issued by the Company to Perceptive Credit Holdings II, LP (incorporated herein by</w:t>
              </w:r>
            </w:hyperlink>
          </w:p>
        </w:tc>
        <w:tc>
          <w:tcPr>
            <w:tcW w:w="18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reference to Exhibit 4.2 to the Company’s Current Report on Form 8-K, filed with the SEC on May 3, 2019).</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7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w w:val="98"/>
              </w:rPr>
            </w:pPr>
            <w:hyperlink r:id="rId89">
              <w:r>
                <w:rPr>
                  <w:rFonts w:ascii="Arial" w:cs="Arial" w:eastAsia="Arial" w:hAnsi="Arial"/>
                  <w:sz w:val="18"/>
                  <w:szCs w:val="18"/>
                  <w:color w:val="0000EE"/>
                  <w:w w:val="98"/>
                </w:rPr>
                <w:t>Amendment No. 1 to Credit Agreement and Guaranty, dated as of May 3, 2019, by and among ADMA Biologics, Inc., ADMA</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Plasma Biologics, Inc., ADMA Bio Centers Georgia Inc., ADMA BioManufacturing, LLC, and Perceptive Credit Holdings II, LP</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6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(incorporated herein by reference to Exhibit 10.1 to the Company’s Current Report on Form 8-K, filed with the SEC on May 3, 2019).</w:t>
              </w:r>
            </w:hyperlink>
          </w:p>
        </w:tc>
        <w:tc>
          <w:tcPr>
            <w:tcW w:w="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0000EE"/>
                <w:w w:val="94"/>
              </w:rPr>
              <w:t>Certification of Principal Executive Officer pursuant to Rules 13a-14(a) and 15d-14(a), as adopted pursuant to Section 302 of the</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Sarbanes-Oxley Act of 2002.</w:t>
            </w:r>
          </w:p>
        </w:tc>
        <w:tc>
          <w:tcPr>
            <w:tcW w:w="340" w:type="dxa"/>
            <w:vAlign w:val="bottom"/>
            <w:gridSpan w:val="5"/>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Certification of Principal Financial Officer pursuant to Rules 13a-14(a) and 15d-14(a), as adopted pursuant to Section 302 of the</w:t>
            </w:r>
          </w:p>
        </w:tc>
        <w:tc>
          <w:tcPr>
            <w:tcW w:w="44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4"/>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5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Certification of Principal Executive Officer pursuant to 18 U.S.C Section 1350, as adopted pursuant to Section 906 of the Sarbanes-</w:t>
            </w:r>
          </w:p>
        </w:tc>
        <w:tc>
          <w:tcPr>
            <w:tcW w:w="2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8300" w:type="dxa"/>
            <w:vAlign w:val="bottom"/>
            <w:gridSpan w:val="1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0000EE"/>
                <w:w w:val="93"/>
              </w:rPr>
              <w:t>Certification of Principal Financial Officer pursuant to 18 U.S.C Section 1350, as adopted pursuant to Section 906 of the Sarbanes-</w:t>
            </w: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804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w w:val="97"/>
              </w:rPr>
              <w:t>The following materials from ADMA Biologics, Inc.’s Form 10-Q for the quarter ended June 30, 2019, formatted in Extensible</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w w:val="91"/>
              </w:rPr>
              <w:t>Business Reporting Language (XBRL): (i) Condensed Consolidated Balance Sheets as of June 30, 2019 (Unaudited) and December</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w w:val="91"/>
              </w:rPr>
              <w:t>31, 2018, (ii) Condensed Consolidated Statements of Operations (Unaudited) for the three and six months ended June 30, 2019 and</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w w:val="92"/>
              </w:rPr>
              <w:t>2018, (iii) Condensed Consolidated Statements of Changes in Stockholders' Equity (Unaudited) for the three and six months ended</w:t>
            </w:r>
          </w:p>
        </w:tc>
      </w:tr>
    </w:tbl>
    <w:p>
      <w:pPr>
        <w:ind w:left="1720" w:right="40"/>
        <w:spacing w:after="0" w:line="261" w:lineRule="auto"/>
        <w:rPr>
          <w:sz w:val="20"/>
          <w:szCs w:val="20"/>
          <w:color w:val="auto"/>
        </w:rPr>
      </w:pPr>
      <w:r>
        <w:rPr>
          <w:rFonts w:ascii="Arial" w:cs="Arial" w:eastAsia="Arial" w:hAnsi="Arial"/>
          <w:sz w:val="18"/>
          <w:szCs w:val="18"/>
          <w:color w:val="auto"/>
        </w:rPr>
        <w:t>June 30, 2019 and 2018, (iv) Condensed Consolidated Statements of Cash Flows (Unaudited) for the six months ended June 30, 2019 and 2018, and (v) Notes to (Unaudited)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620" w:right="4120" w:hanging="5612"/>
        <w:spacing w:after="0" w:line="528" w:lineRule="auto"/>
        <w:tabs>
          <w:tab w:leader="none" w:pos="2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64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6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64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6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June 30, 2019,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64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6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ADMA Biologics, Inc., a Delaware corporation (the “Company”), on Form 10-Q for the quarter ended June 30, 2019,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64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6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ý"/>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lowerRoman"/>
      <w:start w:val="4"/>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842"/>
    </w:lvl>
  </w:abstractNum>
  <w:abstractNum w:abstractNumId="18">
    <w:nsid w:val="189A769B"/>
    <w:multiLevelType w:val="hybridMultilevel"/>
    <w:lvl w:ilvl="0">
      <w:lvlJc w:val="left"/>
      <w:lvlText w:val="%1"/>
      <w:numFmt w:val="upperLetter"/>
      <w:start w:val="6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1">
    <w:nsid w:val="4516DD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87" Type="http://schemas.openxmlformats.org/officeDocument/2006/relationships/hyperlink" Target="http://www.sec.gov/Archives/edgar/data/1368514/000119380519000441/e618411_ex4-1.htm" TargetMode="External"/><Relationship Id="rId88" Type="http://schemas.openxmlformats.org/officeDocument/2006/relationships/hyperlink" Target="http://www.sec.gov/Archives/edgar/data/1368514/000119380519000441/e618411_ex4-2.htm" TargetMode="External"/><Relationship Id="rId89" Type="http://schemas.openxmlformats.org/officeDocument/2006/relationships/hyperlink" Target="http://www.sec.gov/Archives/edgar/data/1368514/000119380519000441/e61841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2019-11-30T05:51:22Z</dcterms:created>
  <dcterms:modified xsi:type="dcterms:W3CDTF">2019-11-30T05:51:22Z</dcterms:modified>
</cp:coreProperties>
</file>