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5" w:lineRule="exact"/>
        <w:rPr>
          <w:sz w:val="24"/>
          <w:szCs w:val="24"/>
          <w:color w:val="auto"/>
        </w:rPr>
      </w:pPr>
    </w:p>
    <w:p>
      <w:pPr>
        <w:ind w:left="660" w:right="1920" w:hanging="652"/>
        <w:spacing w:after="0" w:line="261"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2022</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001-36728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u w:val="single" w:color="auto"/>
          <w:color w:val="auto"/>
        </w:rPr>
        <w:t>ADMA BIOLOGICS,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60" w:type="dxa"/>
            <w:vAlign w:val="bottom"/>
            <w:gridSpan w:val="3"/>
          </w:tcPr>
          <w:p>
            <w:pPr>
              <w:jc w:val="center"/>
              <w:ind w:right="2980"/>
              <w:spacing w:after="0"/>
              <w:rPr>
                <w:sz w:val="20"/>
                <w:szCs w:val="20"/>
                <w:color w:val="auto"/>
              </w:rPr>
            </w:pPr>
            <w:r>
              <w:rPr>
                <w:rFonts w:ascii="Times New Roman" w:cs="Times New Roman" w:eastAsia="Times New Roman" w:hAnsi="Times New Roman"/>
                <w:sz w:val="18"/>
                <w:szCs w:val="18"/>
                <w:color w:val="auto"/>
                <w:w w:val="98"/>
              </w:rPr>
              <w:t>Delaware</w:t>
            </w:r>
          </w:p>
        </w:tc>
        <w:tc>
          <w:tcPr>
            <w:tcW w:w="37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5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720" w:type="dxa"/>
            <w:vAlign w:val="bottom"/>
          </w:tcPr>
          <w:p>
            <w:pPr>
              <w:spacing w:after="0"/>
              <w:rPr>
                <w:sz w:val="24"/>
                <w:szCs w:val="24"/>
                <w:color w:val="auto"/>
              </w:rPr>
            </w:pPr>
          </w:p>
        </w:tc>
        <w:tc>
          <w:tcPr>
            <w:tcW w:w="4800" w:type="dxa"/>
            <w:vAlign w:val="bottom"/>
            <w:gridSpan w:val="4"/>
          </w:tcPr>
          <w:p>
            <w:pPr>
              <w:jc w:val="center"/>
              <w:ind w:right="1840"/>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2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(201) 478-5552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ADMA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Share Purchase Right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tabs>
          <w:tab w:leader="none" w:pos="8980" w:val="left"/>
          <w:tab w:leader="none" w:pos="96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6, 2022, there were 196,351,925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(Unaudited) and December 31, 2021</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Months Ended March 31, 2022 and 2021</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40" w:type="dxa"/>
            <w:vAlign w:val="bottom"/>
            <w:tcBorders>
              <w:bottom w:val="single" w:sz="8" w:color="0000EE"/>
            </w:tcBorders>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Three Months Ended March 31, 2022</w:t>
            </w:r>
          </w:p>
        </w:tc>
        <w:tc>
          <w:tcPr>
            <w:tcW w:w="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20" w:type="dxa"/>
            <w:vAlign w:val="bottom"/>
            <w:gridSpan w:val="17"/>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Three Months Ended March 31, 2022 and 2021</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648"/>
        <w:spacing w:after="0" w:line="196" w:lineRule="auto"/>
        <w:rPr>
          <w:sz w:val="20"/>
          <w:szCs w:val="20"/>
          <w:color w:val="auto"/>
        </w:rPr>
      </w:pPr>
      <w:r>
        <w:rPr>
          <w:rFonts w:ascii="Times New Roman" w:cs="Times New Roman" w:eastAsia="Times New Roman" w:hAnsi="Times New Roman"/>
          <w:sz w:val="18"/>
          <w:szCs w:val="18"/>
          <w:color w:val="auto"/>
        </w:rPr>
        <w:t>This Quarterly Report on Form 10-Q includes our trademarks, trade names and service marks, such as “ASCENIV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“Nabi-HB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“BIVIGAM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which are protected under applicable intellectual property laws and are the property of ADMA Biologics, Inc., or its subsidiaries. Solely for convenience, trademarks, trade names and service marks referred to in this report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76"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BIVIGAM and ASCENIV on a commercial scale and further commercialize these products as a result of their approval by the U.S. Food and Drug Administration (the “FDA”) in 2019;</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manufacture, market, launch and expand our commercial infrastructure and commercialize our current and future products and the success of such efforts;</w:t>
      </w:r>
    </w:p>
    <w:p>
      <w:pPr>
        <w:spacing w:after="0" w:line="16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or expected timing, progress and results of clinical development, clinical trials and potential regulatory approvals for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third-party customers and vendors and their compliance with applicable regulatory requirements;</w:t>
      </w:r>
    </w:p>
    <w:p>
      <w:pPr>
        <w:spacing w:after="0" w:line="22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quantities of FDA-approved plasma with proper specifications;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our supplies of source plasma, which include plasma collection center expansion, our ability to obtain and maintain regulatory compliance and receive FDA approvals of new plasma collection centers and reliance on third-party supply agreements as well as any extensions to such agreements;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indications for our products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investigational new product applications;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any of our products, including BIVIGAM, ASCENIV and Nabi-HB, for any purpose, including FDA-approved indications, by physicians, patients or payers;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evaluate the clinical and regulatory paths to grow the ASCENIV franchise through expanded FDA-approved uses;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regulatory and business review processes and timing by such governmental and regulatory agencies of our business and regulatory submissions;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concurrence by the FDA with our conclusions concerning our products and product candidates;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results of our hyperimmune and immune globulin (“IG”) products to other comparably run hyperimmune and immune globulin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ASCENIV and BIVIGAM to provide meaningful clinical improvement for patients living with Primary Immune Deficiency</w:t>
      </w:r>
    </w:p>
    <w:p>
      <w:pPr>
        <w:spacing w:after="0" w:line="27" w:lineRule="exact"/>
        <w:rPr>
          <w:sz w:val="20"/>
          <w:szCs w:val="20"/>
          <w:color w:val="auto"/>
        </w:rPr>
      </w:pPr>
    </w:p>
    <w:p>
      <w:pPr>
        <w:ind w:left="660" w:right="440"/>
        <w:spacing w:after="0" w:line="260" w:lineRule="auto"/>
        <w:rPr>
          <w:sz w:val="20"/>
          <w:szCs w:val="20"/>
          <w:color w:val="auto"/>
        </w:rPr>
      </w:pPr>
      <w:r>
        <w:rPr>
          <w:rFonts w:ascii="Times New Roman" w:cs="Times New Roman" w:eastAsia="Times New Roman" w:hAnsi="Times New Roman"/>
          <w:sz w:val="18"/>
          <w:szCs w:val="18"/>
          <w:color w:val="auto"/>
        </w:rPr>
        <w:t>Disease, Primary Humoral Immunodeficiency Disease (“PIDD” or “PI”) or other immune deficiencies or any other condition for which the products may be prescribed or evaluated;</w:t>
      </w:r>
    </w:p>
    <w:p>
      <w:pPr>
        <w:spacing w:after="0" w:line="181" w:lineRule="exact"/>
        <w:rPr>
          <w:sz w:val="20"/>
          <w:szCs w:val="20"/>
          <w:color w:val="auto"/>
        </w:rPr>
      </w:pPr>
    </w:p>
    <w:p>
      <w:pPr>
        <w:ind w:left="660" w:right="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promote Nabi-HB in a highly competitive environment with increasing competition from other antiviral therapies and to generate meaningful revenues from this product;</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right="5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third-party contractor capabilities and vertical integration strategy;</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revenues, expenses, capital requirements, timing to profitability and positive cash flows and the need for and availability of additional financing;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likely reimbursement levels for our currently marketed products;</w:t>
      </w:r>
    </w:p>
    <w:p>
      <w:pPr>
        <w:spacing w:after="0" w:line="225"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projected growth and sales of our existing products as well as our expectations of market acceptance of ASCENIV and BIVIGAM;</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coronavirus COVID-19 pandemic on our business, financial condition, liquidity and results of operations, and our ability to continue operations in the same manner as previously conducted prior to the macroeconomic effects of the COVID-19 pandemic;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domestic and global economic conditions including, but not limited to, supply chain constraints, inflationary pressures or performance.</w:t>
      </w:r>
    </w:p>
    <w:p>
      <w:pPr>
        <w:spacing w:after="0" w:line="225"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2021 and in this Quarterly Report on Form 10-Q for the quarter ended March 31, 2022.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69,504,946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51,089,118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25,629,625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28,576,857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139,146,311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124,724,091</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5,519,301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4,339,245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239,800,183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208,729,311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53,220,480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50,935,074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1,549,930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1,728,768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3,529,509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3,529,509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to use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7,106,642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7,262,658</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2,825,748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4,067,404</w:t>
            </w:r>
          </w:p>
        </w:tc>
        <w:tc>
          <w:tcPr>
            <w:tcW w:w="0" w:type="dxa"/>
            <w:vAlign w:val="bottom"/>
          </w:tcPr>
          <w:p>
            <w:pPr>
              <w:spacing w:after="0"/>
              <w:rPr>
                <w:sz w:val="1"/>
                <w:szCs w:val="1"/>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308,032,492</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276,252,724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14,115,135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12,429,409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16,654,540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17,214,988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142,834</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654,003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591,084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31,566,512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30,378,315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payable, net of discount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138,423,052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94,866,239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1,940,156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1,975,865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term fee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7,284,079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7,462,388</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385,628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397,351</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181,099,427</w:t>
            </w: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135,080,158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voting, $0.0001 par value, 300,000,000 shares authorized, 196,347,529 and 195,813,817 shares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and outstanding</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19,581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564,034,008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553,265,706</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(437,120,578)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(412,112,721)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126,933,065</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141,172,566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308,032,492</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276,252,724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29,067,385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16,012,910</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35,708</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29,103,093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16,048,618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25,441,046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17,770,122</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3,662,047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624,111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987,649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3,974,589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2,242,343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178,838</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13,699,575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10,033,915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18,477,113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13,442,745</w:t>
            </w:r>
          </w:p>
        </w:tc>
        <w:tc>
          <w:tcPr>
            <w:tcW w:w="100" w:type="dxa"/>
            <w:vAlign w:val="bottom"/>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(14,815,066)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(15,164,249)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22,059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(3,389,038)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(3,195,750)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(166,880)</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(42,001)</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(10,192,791</w:t>
            </w:r>
          </w:p>
        </w:tc>
        <w:tc>
          <w:tcPr>
            <w:tcW w:w="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(3,215,692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(25,007,857)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(18,379,941)</w:t>
            </w:r>
          </w:p>
        </w:tc>
      </w:tr>
      <w:tr>
        <w:trPr>
          <w:trHeight w:val="210"/>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10"/>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195,871,932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115,661,937</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80" w:type="dxa"/>
            <w:vAlign w:val="bottom"/>
            <w:gridSpan w:val="10"/>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80" w:type="dxa"/>
            <w:vAlign w:val="bottom"/>
            <w:gridSpan w:val="10"/>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0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2022</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0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0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195,813,817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553,265,706</w:t>
            </w:r>
          </w:p>
        </w:tc>
        <w:tc>
          <w:tcPr>
            <w:tcW w:w="22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(412,112,721)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141,172,566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1,641,388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1,641,388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in connection with notes payable</w:t>
            </w:r>
          </w:p>
        </w:tc>
        <w:tc>
          <w:tcPr>
            <w:tcW w:w="1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9,569,604</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9,569,604</w:t>
            </w:r>
          </w:p>
        </w:tc>
        <w:tc>
          <w:tcPr>
            <w:tcW w:w="0" w:type="dxa"/>
            <w:vAlign w:val="bottom"/>
          </w:tcPr>
          <w:p>
            <w:pPr>
              <w:spacing w:after="0"/>
              <w:rPr>
                <w:sz w:val="1"/>
                <w:szCs w:val="1"/>
                <w:color w:val="auto"/>
              </w:rPr>
            </w:pPr>
          </w:p>
        </w:tc>
      </w:tr>
      <w:tr>
        <w:trPr>
          <w:trHeight w:val="198"/>
        </w:trPr>
        <w:tc>
          <w:tcPr>
            <w:tcW w:w="60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and retired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533,712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(442,690)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(442,636)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(25,007,857)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(25,007,857)</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196,347,529</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564,034,008</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 (437,120,578)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126,933,065</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2021</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0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80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104,902,888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428,704,039</w:t>
            </w:r>
          </w:p>
        </w:tc>
        <w:tc>
          <w:tcPr>
            <w:tcW w:w="22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(340,465,103)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88,249,426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781,397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781,397</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net of offering expenses</w:t>
            </w:r>
          </w:p>
        </w:tc>
        <w:tc>
          <w:tcPr>
            <w:tcW w:w="21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18,080,708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1,808</w:t>
            </w: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41,910,707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41,912,515</w:t>
            </w:r>
          </w:p>
        </w:tc>
        <w:tc>
          <w:tcPr>
            <w:tcW w:w="0" w:type="dxa"/>
            <w:vAlign w:val="bottom"/>
          </w:tcPr>
          <w:p>
            <w:pPr>
              <w:spacing w:after="0"/>
              <w:rPr>
                <w:sz w:val="1"/>
                <w:szCs w:val="1"/>
                <w:color w:val="auto"/>
              </w:rPr>
            </w:pPr>
          </w:p>
        </w:tc>
      </w:tr>
      <w:tr>
        <w:trPr>
          <w:trHeight w:val="198"/>
        </w:trPr>
        <w:tc>
          <w:tcPr>
            <w:tcW w:w="60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and retired</w:t>
            </w:r>
          </w:p>
        </w:tc>
        <w:tc>
          <w:tcPr>
            <w:tcW w:w="2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61,385</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(59,311)</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(18,379,941)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(18,379,941)</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123,044,981</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471,336,826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 (358,845,044)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112,504,086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(25,007,857)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(18,379,941)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1,229,628</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781,397</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443,794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6,669,941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license revenue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(35,708)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(35,708)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2,947,233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(2,124,740)</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(14,422,219)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(12,610,601)</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(1,180,056)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(2,756,142)</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19,718</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1,079,144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(1,775,526)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(843,043)</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(111,064)</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(33,413)</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(26,013,413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(33,229,126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(2,842,085)</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(2,571,161)</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(2,571,161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(100,000,000)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41,912,515</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debt refinancing fees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note payable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on vested Restricted Stock Units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(91,367)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(59,311)</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(2,378,366)</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47,271,326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41,844,844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18,415,828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6,044,557</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51,089,118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55,921,152</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69,504,946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61,965,709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BUSINESS</w:t>
      </w:r>
    </w:p>
    <w:p>
      <w:pPr>
        <w:spacing w:after="0" w:line="229" w:lineRule="exact"/>
        <w:rPr>
          <w:sz w:val="20"/>
          <w:szCs w:val="20"/>
          <w:color w:val="auto"/>
        </w:rPr>
      </w:pPr>
    </w:p>
    <w:p>
      <w:pPr>
        <w:ind w:right="80" w:firstLine="607"/>
        <w:spacing w:after="0" w:line="261" w:lineRule="auto"/>
        <w:rPr>
          <w:sz w:val="20"/>
          <w:szCs w:val="20"/>
          <w:color w:val="auto"/>
        </w:rPr>
      </w:pPr>
      <w:r>
        <w:rPr>
          <w:rFonts w:ascii="Times New Roman" w:cs="Times New Roman" w:eastAsia="Times New Roman" w:hAnsi="Times New Roman"/>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ind w:firstLine="607"/>
        <w:spacing w:after="0" w:line="254" w:lineRule="auto"/>
        <w:rPr>
          <w:sz w:val="20"/>
          <w:szCs w:val="20"/>
          <w:color w:val="auto"/>
        </w:rPr>
      </w:pPr>
      <w:r>
        <w:rPr>
          <w:rFonts w:ascii="Times New Roman" w:cs="Times New Roman" w:eastAsia="Times New Roman" w:hAnsi="Times New Roman"/>
          <w:sz w:val="18"/>
          <w:szCs w:val="18"/>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of BTBU, including the U.S. Food and Drug Administration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ten plasma collection facilities in various stages of approval and development located throughout the U.S., five of which hold an approved license with the FDA.</w:t>
      </w:r>
    </w:p>
    <w:p>
      <w:pPr>
        <w:spacing w:after="0" w:line="192" w:lineRule="exact"/>
        <w:rPr>
          <w:sz w:val="20"/>
          <w:szCs w:val="20"/>
          <w:color w:val="auto"/>
        </w:rPr>
      </w:pPr>
    </w:p>
    <w:p>
      <w:pPr>
        <w:ind w:right="40" w:firstLine="607"/>
        <w:spacing w:after="0" w:line="253" w:lineRule="auto"/>
        <w:rPr>
          <w:sz w:val="20"/>
          <w:szCs w:val="20"/>
          <w:color w:val="auto"/>
        </w:rPr>
      </w:pPr>
      <w:r>
        <w:rPr>
          <w:rFonts w:ascii="Times New Roman" w:cs="Times New Roman" w:eastAsia="Times New Roman" w:hAnsi="Times New Roman"/>
          <w:sz w:val="18"/>
          <w:szCs w:val="18"/>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9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As of March 31, 2022, the Company had working capital of $208.2 million, including $69.5 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together with the remaining available funds under the distribution agreement entered into in September of 2021 (see Note 8) and the net proceeds received and expected to be received from the refinancing of the Company’s senior debt on March 23, 2022 (see Note 7), will be sufficient to fund ADMA’s operations, as currently conducted, into the first quarter of 2024, at which time the Company believes it will begin to generate positive cash flow from operations. These estimates may change based upon several factors, including the success of the Company’s commercial efforts with respect to the sale of its products, whether or not the assumptions underlying the Company’s projected revenues and expenses are correct and the acceptability of ADMA’s immune globulin products by physicians, patients or payers. There can be no assurance that the Company’s approved products will be commercially viable, or that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 The Company is also continuing to evaluate a variety of strategic alternatives through its ongoing engagement with Morgan Stanley as a financial advisor.</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annual audited consolidated financial statements and notes thereto as of and for the year ended December 31, 2021 included in the Company’s Annual Report on Form 10-K filed with the U.S. Securities and Exchange Commission (the “SEC”) on March 24, 2022. The accompanying consolidated balance sheet as of December 31, 2021 was derived from the audited financial statements as of and for the year ended December 31, 2021.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March 31, 2022 and its results of operations, changes in stockholders’ equity and cash flows for the three months ended March 31, 2022 and 2021.</w:t>
      </w:r>
    </w:p>
    <w:p>
      <w:pPr>
        <w:spacing w:after="0" w:line="19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7) approximates fair value due to the variable interest rate on this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Accounts receivable is reported at realizable value, net of allowances for contractual credits and doubtful accounts in the amount of $0.1 million and $0.2 million at March 31, 2022 and December 31, 2021, respectively, which are recognized in the period the related revenue is recorded. </w:t>
      </w:r>
      <w:r>
        <w:rPr>
          <w:rFonts w:ascii="Times New Roman" w:cs="Times New Roman" w:eastAsia="Times New Roman" w:hAnsi="Times New Roman"/>
          <w:sz w:val="18"/>
          <w:szCs w:val="18"/>
          <w:color w:val="212529"/>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extends credit to its customers based upon an evaluation of each customer’s financial condition and credit history. Evaluations of the financial condition and associated credit risk of customers are performed on an ongoing basis. </w:t>
      </w:r>
      <w:r>
        <w:rPr>
          <w:rFonts w:ascii="Times New Roman" w:cs="Times New Roman" w:eastAsia="Times New Roman" w:hAnsi="Times New Roman"/>
          <w:sz w:val="18"/>
          <w:szCs w:val="18"/>
          <w:color w:val="000000"/>
        </w:rPr>
        <w:t>Based on these evaluations, the Company has concluded that its credit risk 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minimal. At March 31, 2022, four customers accounted for an aggregate of 92% of the Company’s total accounts receivable, and at December 31, 2021, three customers accounted for approximately 94% of the Company’s total accounts receivable.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Inventories</w:t>
      </w:r>
    </w:p>
    <w:p>
      <w:pPr>
        <w:spacing w:after="0" w:line="227" w:lineRule="exact"/>
        <w:rPr>
          <w:sz w:val="20"/>
          <w:szCs w:val="20"/>
          <w:color w:val="auto"/>
        </w:rPr>
      </w:pPr>
    </w:p>
    <w:p>
      <w:pPr>
        <w:ind w:right="60" w:firstLine="607"/>
        <w:spacing w:after="0" w:line="256" w:lineRule="auto"/>
        <w:rPr>
          <w:sz w:val="20"/>
          <w:szCs w:val="20"/>
          <w:color w:val="auto"/>
        </w:rPr>
      </w:pPr>
      <w:r>
        <w:rPr>
          <w:rFonts w:ascii="Times New Roman" w:cs="Times New Roman" w:eastAsia="Times New Roman" w:hAnsi="Times New Roman"/>
          <w:sz w:val="18"/>
          <w:szCs w:val="18"/>
          <w:color w:val="auto"/>
        </w:rPr>
        <w:t>Raw materials inventory consists of various materials purchased from suppliers, including normal source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187" w:lineRule="exact"/>
        <w:rPr>
          <w:sz w:val="20"/>
          <w:szCs w:val="20"/>
          <w:color w:val="auto"/>
        </w:rPr>
      </w:pPr>
    </w:p>
    <w:p>
      <w:pPr>
        <w:ind w:right="40" w:firstLine="607"/>
        <w:spacing w:after="0" w:line="254" w:lineRule="auto"/>
        <w:rPr>
          <w:sz w:val="20"/>
          <w:szCs w:val="20"/>
          <w:color w:val="auto"/>
        </w:rPr>
      </w:pPr>
      <w:r>
        <w:rPr>
          <w:rFonts w:ascii="Times New Roman" w:cs="Times New Roman" w:eastAsia="Times New Roman" w:hAnsi="Times New Roman"/>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by the Company. Goodwill at March 31, 2022 and December 31, 2021 was $3.5 million. All of the Company’s goodwill is attributable to its ADMA BioManufacturing business segment and is related to the Biotest Transaction.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2021 did not result in a goodwill impairment charge, and the Company did not record any impairment charges related to goodwill for the three months ended March 31,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March 31, 2022 and 2021, the Company determined that there was no impairment of its long-lived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Revenues for the three months ended March 31, 2022 and 2021 are comprised of (i) revenues from the sale of the Company’s immunoglobulin products, BIVIGAM, ASCENIV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three customers represented an aggregate of 83% of the Company’s consolidated revenues. For the three months ended March 31, 2021, five customers represented an aggregate of 86% of the Company’s consolidated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Per Common Share</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in the accompanying condensed consolidated financial statements as the Company reported a net loss for all periods presented. For the three months ended March 31, 2022 and 2021, the following securities were excluded from the calculation of diluted loss per common share because of their anti-dilutive effects:</w:t>
      </w:r>
    </w:p>
    <w:p>
      <w:pPr>
        <w:spacing w:after="0" w:line="18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8,686,068</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8,103,165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740" w:type="dxa"/>
            <w:vAlign w:val="bottom"/>
            <w:gridSpan w:val="3"/>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4,729,758</w:t>
            </w:r>
          </w:p>
        </w:tc>
        <w:tc>
          <w:tcPr>
            <w:tcW w:w="15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730,994</w:t>
            </w:r>
          </w:p>
        </w:tc>
        <w:tc>
          <w:tcPr>
            <w:tcW w:w="0" w:type="dxa"/>
            <w:vAlign w:val="bottom"/>
          </w:tcPr>
          <w:p>
            <w:pPr>
              <w:spacing w:after="0"/>
              <w:rPr>
                <w:sz w:val="1"/>
                <w:szCs w:val="1"/>
                <w:color w:val="auto"/>
              </w:rPr>
            </w:pPr>
          </w:p>
        </w:tc>
      </w:tr>
      <w:tr>
        <w:trPr>
          <w:trHeight w:val="234"/>
        </w:trPr>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740" w:type="dxa"/>
            <w:vAlign w:val="bottom"/>
            <w:gridSpan w:val="3"/>
            <w:shd w:val="clear" w:color="auto" w:fill="CCEEFF"/>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13,631,207</w:t>
            </w:r>
          </w:p>
        </w:tc>
        <w:tc>
          <w:tcPr>
            <w:tcW w:w="15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4,528,160</w:t>
            </w:r>
          </w:p>
        </w:tc>
        <w:tc>
          <w:tcPr>
            <w:tcW w:w="0" w:type="dxa"/>
            <w:vAlign w:val="bottom"/>
          </w:tcPr>
          <w:p>
            <w:pPr>
              <w:spacing w:after="0"/>
              <w:rPr>
                <w:sz w:val="1"/>
                <w:szCs w:val="1"/>
                <w:color w:val="auto"/>
              </w:rPr>
            </w:pPr>
          </w:p>
        </w:tc>
      </w:tr>
      <w:tr>
        <w:trPr>
          <w:trHeight w:val="241"/>
        </w:trPr>
        <w:tc>
          <w:tcPr>
            <w:tcW w:w="8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4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7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27,047,033</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13,362,319</w:t>
            </w:r>
          </w:p>
        </w:tc>
        <w:tc>
          <w:tcPr>
            <w:tcW w:w="0" w:type="dxa"/>
            <w:vAlign w:val="bottom"/>
          </w:tcPr>
          <w:p>
            <w:pPr>
              <w:spacing w:after="0"/>
              <w:rPr>
                <w:sz w:val="1"/>
                <w:szCs w:val="1"/>
                <w:color w:val="auto"/>
              </w:rPr>
            </w:pPr>
          </w:p>
        </w:tc>
      </w:tr>
      <w:tr>
        <w:trPr>
          <w:trHeight w:val="198"/>
        </w:trPr>
        <w:tc>
          <w:tcPr>
            <w:tcW w:w="8080" w:type="dxa"/>
            <w:vAlign w:val="bottom"/>
            <w:vMerge w:val="restart"/>
          </w:tcPr>
          <w:p>
            <w:pPr>
              <w:jc w:val="right"/>
              <w:ind w:right="2333"/>
              <w:spacing w:after="0"/>
              <w:rPr>
                <w:sz w:val="20"/>
                <w:szCs w:val="20"/>
                <w:color w:val="auto"/>
              </w:rPr>
            </w:pPr>
            <w:r>
              <w:rPr>
                <w:rFonts w:ascii="Times New Roman" w:cs="Times New Roman" w:eastAsia="Times New Roman" w:hAnsi="Times New Roman"/>
                <w:sz w:val="14"/>
                <w:szCs w:val="14"/>
                <w:color w:val="auto"/>
              </w:rPr>
              <w:t>8</w:t>
            </w:r>
          </w:p>
        </w:tc>
        <w:tc>
          <w:tcPr>
            <w:tcW w:w="14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80" w:type="dxa"/>
            <w:vAlign w:val="bottom"/>
            <w:vMerge w:val="continue"/>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80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80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under the Company’s equity incentive plans generally have a four-year vesting period and a term of 10 years. Pursuant to ASU No. 2016-09, </w:t>
      </w:r>
      <w:r>
        <w:rPr>
          <w:rFonts w:ascii="Times New Roman" w:cs="Times New Roman" w:eastAsia="Times New Roman" w:hAnsi="Times New Roman"/>
          <w:sz w:val="18"/>
          <w:szCs w:val="18"/>
          <w:i w:val="1"/>
          <w:iCs w:val="1"/>
          <w:color w:val="auto"/>
        </w:rPr>
        <w:t>Improvements to Employee Share-Based Payment Accounting (Topic 718)</w:t>
      </w:r>
      <w:r>
        <w:rPr>
          <w:rFonts w:ascii="Times New Roman" w:cs="Times New Roman" w:eastAsia="Times New Roman" w:hAnsi="Times New Roman"/>
          <w:sz w:val="18"/>
          <w:szCs w:val="18"/>
          <w:color w:val="auto"/>
        </w:rPr>
        <w:t>, the Company has elected not to establish a forfeiture rate, as stock-based compensation expense related to forfeitures of unvested stock options is fully reversed at the time of forfeiture.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2017 and for previous periods as it relates to the Company’s net operating loss carryforwards.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March 31, 2022 and December 31, 2021, and during the three months ended March 31, 2022 and 2021, the Company recognized no adjustments for uncertain tax positions.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the components of inventories: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46,034,969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36,755,720</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45,139,511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58,968,535</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47,971,831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28,999,836</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139,146,311</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124,724,091</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Raw materials includes plasma and other materials expected to be used in the production of BIVIGAM, ASCENIV and Nabi-HB. These materials will be consumed in the production of goods expected to be available for sale or otherwise have alternative uses that provide a probable future benefit. All other activities and materials associated with the production of inventories used in research and development activities are expensed as incurred.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Work-in-process inventory primarily consists of bulk drug substance and unlabeled filled vials of the Company’s immunoglobulin products.</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Finished goods inventory is comprised of immunoglobulin product inventory and related intermediates that are available for commercial sale, as well as plasma collected at the Company’s plasma collection centers which is expected to be sold to third-party customers.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at March 31, 2022 and December 31, 2021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1"/>
                <w:szCs w:val="21"/>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to Nabi-HB</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4,100,046</w:t>
            </w:r>
          </w:p>
        </w:tc>
        <w:tc>
          <w:tcPr>
            <w:tcW w:w="5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2,830,985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1,269,061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4,100,046</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2,684,554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1,415,492</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Rights to intermediates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626,552</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280,869</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907,421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594,145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313,276</w:t>
            </w:r>
          </w:p>
        </w:tc>
      </w:tr>
      <w:tr>
        <w:trPr>
          <w:trHeight w:val="256"/>
        </w:trPr>
        <w:tc>
          <w:tcPr>
            <w:tcW w:w="3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5,007,467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3,457,537</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5,007,467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3,278,699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120" w:firstLine="648"/>
        <w:spacing w:after="0" w:line="312" w:lineRule="auto"/>
        <w:rPr>
          <w:sz w:val="20"/>
          <w:szCs w:val="20"/>
          <w:color w:val="auto"/>
        </w:rPr>
      </w:pPr>
      <w:r>
        <w:rPr>
          <w:rFonts w:ascii="Times New Roman" w:cs="Times New Roman" w:eastAsia="Times New Roman" w:hAnsi="Times New Roman"/>
          <w:sz w:val="17"/>
          <w:szCs w:val="17"/>
          <w:color w:val="auto"/>
        </w:rPr>
        <w:t>All of the Company’s intangible assets were acquired in the Biotest Transaction. Amortization expense related to these intangible assets was $0.2 million for the three months ended March 31, 2022 and 2021. Estimated aggregate future aggregate amortization expense is expected to be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536,514</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715,352</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298,064</w:t>
            </w:r>
          </w:p>
        </w:tc>
      </w:tr>
      <w:tr>
        <w:trPr>
          <w:trHeight w:val="392"/>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Property and equipment and related accumulated depreciation are summarized as follows: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16,702,991</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equipment and computer software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4,323,549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4,082,462</w:t>
            </w:r>
          </w:p>
        </w:tc>
      </w:tr>
      <w:tr>
        <w:trPr>
          <w:trHeight w:val="216"/>
        </w:trPr>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3,693,317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3,389,140</w:t>
            </w:r>
          </w:p>
        </w:tc>
      </w:tr>
      <w:tr>
        <w:trPr>
          <w:trHeight w:val="216"/>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6,384,242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5,496,222</w:t>
            </w:r>
          </w:p>
        </w:tc>
      </w:tr>
      <w:tr>
        <w:trPr>
          <w:trHeight w:val="216"/>
        </w:trPr>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12,966,337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11,129,639</w:t>
            </w:r>
          </w:p>
        </w:tc>
      </w:tr>
      <w:tr>
        <w:trPr>
          <w:trHeight w:val="216"/>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4,339,441</w:t>
            </w:r>
          </w:p>
        </w:tc>
      </w:tr>
      <w:tr>
        <w:trPr>
          <w:trHeight w:val="223"/>
        </w:trPr>
        <w:tc>
          <w:tcPr>
            <w:tcW w:w="8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19,093,765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19,067,032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67,900,912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64,206,927</w:t>
            </w:r>
          </w:p>
        </w:tc>
      </w:tr>
      <w:tr>
        <w:trPr>
          <w:trHeight w:val="223"/>
        </w:trPr>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(14,680,432)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(13,271,853)</w:t>
            </w:r>
          </w:p>
        </w:tc>
      </w:tr>
      <w:tr>
        <w:trPr>
          <w:trHeight w:val="216"/>
        </w:trPr>
        <w:tc>
          <w:tcPr>
            <w:tcW w:w="82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53,220,480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50,935,074</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5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for the three months ended March 31, 2022 and 2021 of $1.4 million and $1.1 million,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at March 31, 2022 and December 31,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6,324,746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distribution fees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2,794,447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4,739,651</w:t>
            </w:r>
          </w:p>
        </w:tc>
        <w:tc>
          <w:tcPr>
            <w:tcW w:w="0" w:type="dxa"/>
            <w:vAlign w:val="bottom"/>
          </w:tcPr>
          <w:p>
            <w:pPr>
              <w:spacing w:after="0"/>
              <w:rPr>
                <w:sz w:val="1"/>
                <w:szCs w:val="1"/>
                <w:color w:val="auto"/>
              </w:rPr>
            </w:pPr>
          </w:p>
        </w:tc>
      </w:tr>
      <w:tr>
        <w:trPr>
          <w:trHeight w:val="216"/>
        </w:trPr>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incentives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4,066,109</w:t>
            </w:r>
          </w:p>
        </w:tc>
        <w:tc>
          <w:tcPr>
            <w:tcW w:w="0" w:type="dxa"/>
            <w:vAlign w:val="bottom"/>
          </w:tcPr>
          <w:p>
            <w:pPr>
              <w:spacing w:after="0"/>
              <w:rPr>
                <w:sz w:val="1"/>
                <w:szCs w:val="1"/>
                <w:color w:val="auto"/>
              </w:rPr>
            </w:pPr>
          </w:p>
        </w:tc>
      </w:tr>
      <w:tr>
        <w:trPr>
          <w:trHeight w:val="216"/>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testing</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1,189,970</w:t>
            </w:r>
          </w:p>
        </w:tc>
        <w:tc>
          <w:tcPr>
            <w:tcW w:w="0" w:type="dxa"/>
            <w:vAlign w:val="bottom"/>
          </w:tcPr>
          <w:p>
            <w:pPr>
              <w:spacing w:after="0"/>
              <w:rPr>
                <w:sz w:val="1"/>
                <w:szCs w:val="1"/>
                <w:color w:val="auto"/>
              </w:rPr>
            </w:pPr>
          </w:p>
        </w:tc>
      </w:tr>
      <w:tr>
        <w:trPr>
          <w:trHeight w:val="216"/>
        </w:trPr>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2,206,409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1,167,072</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3,088,754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16,654,540</w:t>
            </w:r>
          </w:p>
        </w:tc>
        <w:tc>
          <w:tcPr>
            <w:tcW w:w="12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17,214,988</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82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 summary of outstanding senior notes payable is as follows: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discount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(13,326,948)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(5,133,761)</w:t>
            </w:r>
          </w:p>
        </w:tc>
        <w:tc>
          <w:tcPr>
            <w:tcW w:w="0" w:type="dxa"/>
            <w:vAlign w:val="bottom"/>
          </w:tcPr>
          <w:p>
            <w:pPr>
              <w:spacing w:after="0"/>
              <w:rPr>
                <w:sz w:val="1"/>
                <w:szCs w:val="1"/>
                <w:color w:val="auto"/>
              </w:rPr>
            </w:pPr>
          </w:p>
        </w:tc>
      </w:tr>
      <w:tr>
        <w:trPr>
          <w:trHeight w:val="216"/>
        </w:trPr>
        <w:tc>
          <w:tcPr>
            <w:tcW w:w="82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Senior notes payable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138,423,052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94,866,239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 March 23, 2022, (the “Hayfin Closing Date”) the Company and all of its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expires on March 22, 2023 and is subject to the satisfaction of certain conditions, including, but not limited to, the Company’s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the Hayfin Closing Date, the Company used $100.0 million of the Hayfin Closing Date Loan to terminate and pay in full all of the outstanding obligations under the Company’s previously existing credit facility (the “Perceptive Credit Facility”) with Perceptive Credit Holdings II, LP (“Perceptive”). The Company also used $2.0 million of the Hayfin Closing Date Loan proceeds to pay a redemption premium to Perceptive and used approximately $0.6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retirement of the Perceptive Credit Facility and all of the obligations thereunder, the Company recorded a loss on extinguishment of debt in the amount of $6.7 million, consisting of the write-off of unamortized discount related to the Perceptive indebtedness and the redemption premium paid to Perceptive.</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Borrowings under the Hayfin Credit Agreement will bear interest, at the Company’s election, at either (a) a base rate (equal to the highest of (i) the rate of interest per annum last quoted by The Wall Street Journal as the “Prime Rate” in the United States, (ii) the federal funds rate in effect on such day plus 0.50% and (iii) adjusted Term Secured Overnight Financing Rate (“SOFR”) for a one-month tenor in effect on such day plus 1.00%), plus an applicable margin of 8.5%, or (b) adjusted Term SOFR for either a one-month or three-month tenor, as elected by the Company, and subject to a floor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1.25%, plus an applicable margin of 9.5% (the “Applicable Margin”); provided, however, that upon, and during the continuance of, an Event of Default, the Applicable Margin shall increase by an additional 3% per annum. On the last day of each calendar month or quarter during the term of the Hayfin Credit Facility, the Company will pay accrued interest to Hayfin. The rate of interest in effect as of the Hayfin Closing Date and at March 31, 2022 was 10.75%. The Company will also pay “in kind” a portion of the interest on the Hayfin Loans for each monthly or quarterly interest period in an amount equal to 2.5% per annum, which will be added to the principal amount of the outstanding debt under the Hayfin Credit Facility.</w:t>
      </w:r>
    </w:p>
    <w:p>
      <w:pPr>
        <w:spacing w:after="0" w:line="37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the Hayfin Maturity Date, the Company will pay Hayfin the entire outstanding principal amount underlying the Hayfin Loans and any accrued and unpaid interest thereon, as well as an exit fee of 1.0% of the outstanding principal amount being paid. This exit fee is recorded separately as a non-current liability on the accompanying consolidated balance sheet as of March 31, 2022. Prior to the Hayfin Maturity Date, there are no scheduled principal payments on the Hayfin Loans. The Company may prepay outstanding principal on the Hayfin Loans at any time and from time to time upon five business days’ prior written notice, subject to the payment to Hayfin of, (A) any accrued but unpaid interest on the prepaid principal amount plus (B) an early prepayment fee in the amount equal to (i) 7.0% of the prepaid principal amount, if prepaid on or prior to the first anniversary of the Hayfin Closing Date,</w:t>
      </w:r>
    </w:p>
    <w:p>
      <w:pPr>
        <w:spacing w:after="0" w:line="5" w:lineRule="exact"/>
        <w:rPr>
          <w:sz w:val="20"/>
          <w:szCs w:val="20"/>
          <w:color w:val="auto"/>
        </w:rPr>
      </w:pPr>
    </w:p>
    <w:p>
      <w:pPr>
        <w:ind w:right="20" w:firstLine="8"/>
        <w:spacing w:after="0" w:line="253"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or payment of principal on the Hayfin Maturity Date, the Company is required to pay an exit fee of 1.0% of the amount of principal being paid. This exit fee is classified as a separate non-current liability in the accompanying condensed consolidated balance sheet as of March 31, 2022.</w:t>
      </w:r>
    </w:p>
    <w:p>
      <w:pPr>
        <w:spacing w:after="0" w:line="18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All of the Company’s obligations under the Hayfin Credit Agreement are secured by a first-priority lien and security interest in substantially all of the Company’s tangible and intangible assets, including intellectual property and all of the equity interests in the Company’s subsidiaries. The Hayfin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Hayfin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Hayfin Credit Agreement); change its fiscal year; pay dividends; repay other certain indebtedness; engage in certain affiliate transactions; or enter into, amend or terminate any other agreements that have the impact of restricting the Company’s ability to make loan repayments under the Hayfin Credit Agreement. In addition, the Company is required (i) at all times prior to the Maturity Date to maintain a minimum cash balance of $6.0 million; and</w:t>
      </w:r>
    </w:p>
    <w:p>
      <w:pPr>
        <w:spacing w:after="0" w:line="5" w:lineRule="exact"/>
        <w:rPr>
          <w:sz w:val="20"/>
          <w:szCs w:val="20"/>
          <w:color w:val="auto"/>
        </w:rPr>
      </w:pPr>
    </w:p>
    <w:p>
      <w:pPr>
        <w:ind w:right="260" w:firstLine="8"/>
        <w:spacing w:after="0" w:line="253"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each fiscal quarter commencing with the fiscal quarter ending June 30, 2022, report IVIG product and related revenues for the trailing 12-month period that exceed the amounts set forth in the Hayfin Credit Agreement, which range from $75.0 million for the fiscal quarter ending June 30, 2022 to $250.0 million for the fiscal quarter ending December 31, 2026. As of March 31, 2022, the Company was in compliance with all of the covenants contained in the Hayfin Credit Agreement.</w:t>
      </w:r>
    </w:p>
    <w:p>
      <w:pPr>
        <w:spacing w:after="0" w:line="18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As consideration for the Hayfin Credit Agreement, the Company issued to various entities affiliated with Hayfin, on the Hayfin Closing Date, warrants to purchase an aggregate of 9,103,047 shares of the Company’s common stock (the “Hayfin Warrants”). The Hayfin Warrants have an exercise price equal to $1.6478 per share, which is equal to the trailing 30-day Volume Weighted-average Price of the Company’s common stock on the business day immediately prior to the Hayfin Closing Date. The Hayfin Warrants were valued by the Company at approximately $9.6 million as of the Hayfin Closing Date and have an expiration date of March 23, 2029.</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upfront fee and exit fee paid or payable to Hayfin, the expenses incurred by the Company in connection with this transaction and the value of the Hayfin Warrants, the Company recognized an aggregate discount on the Hayfin Loans in the amount of $13.4 million. The Company records debt discount as a reduction to the face amount of the debt, and the debt discount is amortized as interest expense over the life of the debt using the interest method. Based on the fair value of the Hayfin Warrants and the aggregate amount of fees and expenses associated with obtaining the Hayfin Credit Facility, the effective interest rate on the Hayfin Loans as of the Hayfin Closing Date and as of March 31, 2022 was approximately 13.0%.</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authorized to issue up to 10 million shares of preferred stock, $0.0001, par value per share. There were no shares of preferred stock outstanding at March 31, 2022 and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and December 31, 2021, the Company was authorized to issue 300,000,000 shares of its common stock, $0.0001 par value per share, and 196,347,529 and 195,813,817 shares of common stock were outstanding as of March 31, 2022 and December 31, 2021, respectively. After giving effect to the 32,811,653 shares reserved for outstanding warrants and awards issued or reserved for future issuance under the Company’s equity incentive plans, as of March 31, 2022 there were 70,840,818 shares of common stock available for issuance.</w:t>
      </w:r>
    </w:p>
    <w:p>
      <w:pPr>
        <w:spacing w:after="0" w:line="18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September 3, 2021, the Company entered into a distribution agreement with Raymond James &amp; Associates, Inc., as agent (“Agent”), pursuant to which the Company may offer and sell, from time to time, at its option, through or to the Agent, up to an aggregate of $50 million of shares of the Company’s common stock (the “Distribution Agreement”). The Company intends to use any net proceeds from the sale of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The Company currently has approximately $42.8 million of shares available to sell under the Distribution Agreement.</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August 5, 2020, the Company entered into an open market sale agreement (as amended from time to time, the “Sale Agreement”) with Jefferies LLC (“Jefferies”), pursuant to which the Company could offer and sell, from time to time, at its option, through or to Jefferies, up to an aggregate of $50 million of shares of the Company’s common stock. On November 5, 2020 and February 3, 2021, the Company and Jefferies amended the Sale Agreement to provide for increases in the aggregate offering amount under the Sale Agreement such that the Company could sell shares having an aggregate offering price of up to $105.4 million under the Sale Agreement, as amended. During the three months ended March 31, 2021, the Company issued and sold 18,080,708 shares of common stock under the Sale Agreement and received net proceeds of $41.9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Hayfin Credit Agreement that the Company entered into on March 23, 2022 (see Note 7), the Company issued the Hayfin Warrants to purchase 9,103,047 shares of the Company’s common stock. The Hayfin Warrants were valued at $9.6 million using the Black-Scholes option-pricing model assuming an expected term of seven years, a volatility of 68.1%, a dividend yield of 0% and a risk-free rate of interest of 2.36%. At March 31, 2022, the Company had outstanding warrants to purchase an aggregate of 13,631,207 shares of common stock, with a weighted-average exercise price of $2.04 per share. At December 31, 2021, the Company had outstanding warrants to purchase an aggregate of 4,528,160 shares of common stock, with a weighted average exercise price of $2.82 per share and expiration dates ranging between June 2022 and December 2030.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0344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34415" cy="8890"/>
                    </a:xfrm>
                    <a:prstGeom prst="rect">
                      <a:avLst/>
                    </a:prstGeom>
                    <a:noFill/>
                  </pic:spPr>
                </pic:pic>
              </a:graphicData>
            </a:graphic>
          </wp:anchor>
        </w:drawing>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three months ended March 31, 2022 and 2021:</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6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5.5 - 6.3 years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5.5 - 6.3 years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1.72-1.73%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0.80-1.04%</w:t>
            </w:r>
          </w:p>
        </w:tc>
      </w:tr>
    </w:tbl>
    <w:p>
      <w:pPr>
        <w:spacing w:after="0" w:line="198"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granted options to purchase an aggregate of 1,194,032 and 1,441,050 shares of common stock, respectively, to its directors and employees. The weighted average remaining contractual life of stock options outstanding and expected to vest at March 31, 2022 is 6.6 years. The weighted average remaining contractual life of stock options exercisable at March 31, 2022 is 5.3 years.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7,862,722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(361,500)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1,194,032</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March 31,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8,686,068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09"/>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5,646,819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$3.8 million of unrecognized compensation expense related to options granted under the Company’s equity incentive plans, which is expected to be recognized over a weighted-average period of 2.6 years.</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granted Restricted Stock Units (“RSUs”) representing an aggregate of 1,059,266 and 492,744 shares, respectively, to certain management employees of the Company and to members of its Board of Directors. These RSUs generally vest annually over a period of four years for employees and semi-annually over a period of one year for directors. During the three months ended March 31, 2022, there were 799,641 shares of common stock which vested in connection with grants of RSUs, including 254,745 milestone-based RSUs that vested in connection with the refinancing of the Company’s senior credit facility (see Note 7) and 382,117 milestone-based RSUs that vested in connection with the Company achieving a targeted gross margin for its BIVIGAM product during the three months ended March 31, 2022. With respect to the vested RSUs, 265,929 shares valued at approximately $0.4 million were withheld by the Company to cover employees’ tax liabilities. These shares have been retired by the Company and were no longer outstanding as of March 31, 2022. A summary of the Company’s unvested RSU activity and related information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8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45"/>
        </w:trPr>
        <w:tc>
          <w:tcPr>
            <w:tcW w:w="388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7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4,485,133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1,059,266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6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(799,641)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56"/>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47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4,729,758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564"/>
        </w:trPr>
        <w:tc>
          <w:tcPr>
            <w:tcW w:w="3880" w:type="dxa"/>
            <w:vAlign w:val="bottom"/>
          </w:tcPr>
          <w:p>
            <w:pPr>
              <w:spacing w:after="0"/>
              <w:rPr>
                <w:sz w:val="24"/>
                <w:szCs w:val="24"/>
                <w:color w:val="auto"/>
              </w:rPr>
            </w:pPr>
          </w:p>
        </w:tc>
        <w:tc>
          <w:tcPr>
            <w:tcW w:w="4720" w:type="dxa"/>
            <w:vAlign w:val="bottom"/>
          </w:tcPr>
          <w:p>
            <w:pPr>
              <w:jc w:val="right"/>
              <w:ind w:right="2815"/>
              <w:spacing w:after="0"/>
              <w:rPr>
                <w:sz w:val="20"/>
                <w:szCs w:val="20"/>
                <w:color w:val="auto"/>
              </w:rPr>
            </w:pPr>
            <w:r>
              <w:rPr>
                <w:rFonts w:ascii="Times New Roman" w:cs="Times New Roman" w:eastAsia="Times New Roman" w:hAnsi="Times New Roman"/>
                <w:sz w:val="14"/>
                <w:szCs w:val="14"/>
                <w:color w:val="auto"/>
              </w:rPr>
              <w:t>14</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88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$5.7 million of unrecognized compensation expense related to unvested RSUs granted under the Company’s equity incentive plans, which is expected to be recognized over a weighted-average period of 2.7 years.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for all awards granted under the Company’s equity incentive plans for the three months ended March 31, 2022 and 2021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105,227</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10,818</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1,517,602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588,491</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76,861</w:t>
            </w:r>
          </w:p>
        </w:tc>
      </w:tr>
      <w:tr>
        <w:trPr>
          <w:trHeight w:val="257"/>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1,641,388</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781,397</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leases an office building and equipment from Areth, LLC (“Areth”) pursuant to an agreement for services effective as of January 1, 2016, as amended from time to time. Rent expense for the three months ended March 31, 2022 and 2021 amounted to $30,000. Areth is a company controlled by Dr. Jerrold B. Grossman, the Vice Chairman of the Company’s Board of Directors, and Adam S. Grossman, the Company’s President and Chief Executive Officer. The Company also reimburses Areth for office and building-related (common area) expenses, equipment and certain other operational expenses, which were not material to the condensed consolidated financial statements for the three months ended March 31, 2022 and 2021.</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purchased certain specialized medical equipment and services related to the Company’s plasma collection centers, as well as personal protective equipment, from GenesisBPS and its affiliates (“Genesis”), which were not material to the consolidated financial statements. Genesis is owned by Dr. Grossman and Adam Grossman.</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See Note 7 for a discussion of the Company’s former credit facility and related transactions with Perceptive, a holder of more than 5% of the Company’s common stock as of March 31, 2022.</w:t>
      </w:r>
    </w:p>
    <w:p>
      <w:pPr>
        <w:spacing w:after="0" w:line="15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Legal Matters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COVID-19 Pandemic</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continues to monitor the ongoing developments related to the COVID-19 pandemic, including the emergence of the Delta and Omicron variants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Due to a combination of previous state and local “shelter-in-place” orders, as well as government stimulus packages, persisting social distancing measures and varying roll-outs of vaccinations by state, the Company has experienced lower than normal donor collections at its FDA approved plasma collection centers.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In addition, the Company is subject to supply chain delays as a result of certain of its suppliers diverting significant resources towards the rapid development and distribution of COVID-19 vaccines and, as a result, the Company has elected to carry more raw materials inventory than it has in the past. The COVID-19 pandemic has also impacted, to a certain degree, the Company’s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the Company’s ability to communicate with potential customers. The Company has implemented a comprehensive suite of virtual engagement initiatives; however, clinician engagement has been reduced due to rapidly evolving COVID-19 priorities at U.S. medical centers.</w:t>
      </w:r>
    </w:p>
    <w:p>
      <w:pPr>
        <w:sectPr>
          <w:pgSz w:w="11900" w:h="16838" w:orient="portrait"/>
          <w:cols w:equalWidth="0" w:num="1">
            <w:col w:w="11240"/>
          </w:cols>
          <w:pgMar w:left="320" w:top="116"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pandemic could also impact the Company’s ability to interact with the FDA or other regulatory authorities and may result in delays in the conduct of inspections or review of pending applications or submissions. Although the Company received several FDA approvals and two FDA inspections of the Boca Facility were completed during the year ended December 31, 2021, no assurances can be provided as to the timing for completion of any other regulatory submissions or applications that may be impacted by restrictions related to COVID-19.</w:t>
      </w:r>
    </w:p>
    <w:p>
      <w:pPr>
        <w:spacing w:after="0" w:line="180"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revenue attributable to international customers was approximately 6% and 15%, respectively, of the Company’s total revenues. As the Company seeks to grow this aspect of its business, it may also be subject to the impacts of the COVID-19 pandemic in locations outside the United States.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Although the COVID-19 pandemic has not, to date, materially adversely impacted the Company’s capital and financial resources, because the Company is unable to determine the ultimate severity or duration of the pandemic or its long-term effects on, among other things, the global, national or local economies, the capital and credit markets or the Company’s workforce, customers or our suppliers, at this time the Company is unable to predict whether COVID-19 will have a material adverse impact on the Company’s business, financial condition, liquidity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Vendor Commitments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As part of the closing of the Biotest Transaction, the parties amended the 2011 Plasma Purchase Agreement to extend the initial term through the ten-year anniversary of the closing date of the Biotest Transaction.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could purchase RSV plasma from Grifols from the two plasma collection centers that were transferred to BPC on January 1, 2019 at a price equal to cost plus five percent (5%) (without any additional increase due to inflation). Effective January 1, 2022, RSV plasma purchased from these two plasma collection centers are subject to the pricing terms in effect for RSV plasma purchased from other plasma collection centers owned by Grifols.</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Effective as of May 12, 2021, the Company and Grifols amended the foregoing 2017 Plasma Purchase Agreement whereby, among other things, the term of the agreement was extended through December 31, 2022, while certain historical provisions were deleted. In order to maintain a reliable supply of raw material plasma thereafter, the Company has executed additional agreements with multiple third-party suppliers of NSP to supplement the 2017 Plasma Purchase Agreement. The Company has also increased its number of planned plasma collection center buildouts such that the Company expects to have 10 FDA-approved plasma collection centers in operation by the end of 2023, while also continuing to increase its plasma collection capabilities at its ADMA BioCenters plasma collection centers business segment.</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purchases substantially all of its raw material plasma from Grifols. For the three months ended March 31, 2022, plasma purchases from Grifols totaled $15.5 million, or approximately 75% of the Company’s total inventory purchases. For the three months ended March 31, 2021, plasma purchases from Grifols totaled approximately $12.7 million, representing approximately 72% of the Company’s total inventory purchases.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Post-Marketing Commitments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to incur expenses of approximately $3.0 million to $4.0 million to complete these studies, with both studies to be completed by June of 2023.</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FDA’s approval of ASCENIV on April 1, 2019, the Company is required to perform a pediatric study to evaluate the safety and efficacy of ASCENIV in children and adolescents. The Company expects to incur expenses of approximately $2 million to complete this study, which is required to be completed by June of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Contracts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Mr. Grossman and with Brian Lenz, its Executive Vice President, Chief Financial Officer and General Manager, ADMA BioCenters.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September 28, 2021, following the approval of the Company’s Board of Directors upon recommendation of the Compensation Committee of the Board of Directors, and in consultation with an independent compensation consultant, the Company implemented a retention incentive program, consisting of cash payments and awards of RSUs (see Note 8), to the Company’s management, including Mr. Grossman and Mr. Lenz, and to certain other employees. The purpose of the retention program is to promote and ensure business continuity and provide an incentive to the Company’s executive management and certain other employees considering the operational challenges presented by the ongoing COVID-19 pandemic and the competitive work environment in which the Company operates as an FDA regulated manufacturer of specialized biologic therapies. The retention awards were granted considering the nationwide labor shortages and the increased employee turnover rates that the Company, its pharmaceutical peers and other companies outside of the Company’s industry have reported experiencing.</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cash portion of the retention program consists of two tranches. The first tranche was paid to employees on September 30, 2021 in the amount of $1.3 million, and the second tranche aggregating to approximately $1.3 million will be paid on June 15, 2022. Based on the terms of the retention agreements the Company entered into with each applicable executive and employee, $0.8 million of the first tranche is being recognized over the retention service period, which ends on December 31, 2022, with the remainder having been recognized as expense on September 30, 2021. The second tranche will be recognized as compensation expense over a 15-month period from October 1, 2021 through December 31, 2022.</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2022. The Company does not anticipate recognizing any significant losses relating to these arrangements.</w:t>
      </w:r>
    </w:p>
    <w:p>
      <w:pPr>
        <w:spacing w:after="0" w:line="17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engaged in the manufacture, marketing and development of specialty plasma-derived biologics. The Company’s ADMA BioManufacturing segment reflects the Company’s immunoglobulin manufacturing, commercial and development operations in Boca Raton, FL, acquired on June 6, 2017 (see Note 1). The Plasma Collection Centers segment as of March 31, 2022 consists of ten plasma collection facilities in various stages of approval and development located throughout the U.S., five of which hold an approved license with the FDA.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8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580" w:type="dxa"/>
            <w:vAlign w:val="bottom"/>
            <w:tcBorders>
              <w:top w:val="single" w:sz="8" w:color="auto"/>
            </w:tcBorders>
            <w:gridSpan w:val="4"/>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6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25,728,625</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3,338,760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29,103,093</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22,213,781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3,227,265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25,441,046</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(4,442,684)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(3,863,094)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(6,509,288)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(14,815,066)</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(49,267)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(3,472,854)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(3,522,850)</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(6,669,941)</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(4,491,951)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(3,863,823)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(16,652,083)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(25,007,857)</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1,310,379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1,531,706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2,842,085</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1,111,951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477,503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1,590,217</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214,150,322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32,568,911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61,313,259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308,032,492</w:t>
            </w:r>
          </w:p>
        </w:tc>
      </w:tr>
      <w:tr>
        <w:trPr>
          <w:trHeight w:val="439"/>
        </w:trPr>
        <w:tc>
          <w:tcPr>
            <w:tcW w:w="34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4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1580" w:type="dxa"/>
            <w:vAlign w:val="bottom"/>
            <w:gridSpan w:val="4"/>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6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13,421,043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2,591,867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16,048,618</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15,449,757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2,320,365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17,770,122</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(9,505,689)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(1,970,841)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(3,687,719)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(15,164,249)</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(21,513)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(3,193,795)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(3,215,692)</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(9,527,202)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(1,971,225)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(6,881,514)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(18,379,941)</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1,012,980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1,558,181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2,571,161</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1,009,770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217,991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1,229,628</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156,535,177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17,397,612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61,734,239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235,667,028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according to geographic area, based on the location of where the product is shipped,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27,316,151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13,678,008</w:t>
            </w:r>
          </w:p>
        </w:tc>
        <w:tc>
          <w:tcPr>
            <w:tcW w:w="100" w:type="dxa"/>
            <w:vAlign w:val="bottom"/>
            <w:shd w:val="clear" w:color="auto" w:fill="CCEEFF"/>
          </w:tcPr>
          <w:p>
            <w:pPr>
              <w:spacing w:after="0"/>
              <w:rPr>
                <w:sz w:val="18"/>
                <w:szCs w:val="18"/>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1,786,942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2,370,610</w:t>
            </w:r>
          </w:p>
        </w:tc>
      </w:tr>
      <w:tr>
        <w:trPr>
          <w:trHeight w:val="257"/>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29,103,093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16,048,618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 OBLIGATIONS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certain properties and equipment for its ADMA BioCenters subsidiary and certain equipment for its ADMA BioManufacturing subsidiary, which leases provide the right to use the underlying assets and require lease payments through the respective lease terms which expire at various dates through 2032. The Company’s lease agreements do not contain any material residual value guarantees or material restrictive covenants.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of 13%. The Company’s lease expense is recognized on a straight-line basis over the lease term and is reflected in Plasma center operating expenses and Selling, general and administrative expenses. Aggregate lease expense for the Company’s leases for the three months ended March 31, 2022 and 2021 was approximately $0.4 million and $0.3 million, respectively. Cash paid for the Company’s leases for the three months ended March 31, 2022 and 2021 was approximately $0.4 million and $0.2 million, respectively.</w:t>
      </w:r>
    </w:p>
    <w:p>
      <w:pPr>
        <w:spacing w:after="0" w:line="188"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Including a finance lease the Company entered into in June 2018, the Company has aggregate lease liabilities of $7.9 million and $8.1 million as of March 31, 2022 and December 31, 2021, respectively, which are comprised primarily of the leases for the Company’s plasma collection centers and an administrative office lease related to the Company’s ADMA BioCenters subsidiary. The Company’s operating leases have a weighted average remaining term of 8.9 years. Scheduled payments under the Company’s lease obligations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1,228,526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1,641,603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1,517,229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1,525,793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1,260,391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1,289,679</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5,055,880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payments</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13,519,101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(5,581,019)</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(654,003)</w:t>
            </w: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7,284,079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entered into an additional property lease for its ninth plasma collection facility. The Company has not taken possession of this leased property and its lease commencement date has not been determined. With the exception of a security deposit and an initial months’ rent totaling approximately $44,000, no payments have been made under this lease. The initial term of the lease is for 126 months with monthly rental payments varying between approximately $18,000 and $24,000, including common area maintenance charges.</w:t>
      </w:r>
    </w:p>
    <w:p>
      <w:pPr>
        <w:spacing w:after="0" w:line="17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SUPPLEMENTAL DISCLOSURE OF CASH FLOW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for the three months ended March 31, 2022 and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2,525,987</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2,751,956</w:t>
            </w:r>
          </w:p>
        </w:tc>
      </w:tr>
      <w:tr>
        <w:trPr>
          <w:trHeight w:val="210"/>
        </w:trPr>
        <w:tc>
          <w:tcPr>
            <w:tcW w:w="5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3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acquired reflected in accounts payable and accrued liabilities</w:t>
            </w:r>
          </w:p>
        </w:tc>
        <w:tc>
          <w:tcPr>
            <w:tcW w:w="3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1,940,425</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1,797,249</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Right-to-use assets in exchange for lease obligations</w:t>
            </w:r>
          </w:p>
        </w:tc>
        <w:tc>
          <w:tcPr>
            <w:tcW w:w="3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2,073,627</w:t>
            </w:r>
          </w:p>
        </w:tc>
      </w:tr>
      <w:tr>
        <w:trPr>
          <w:trHeight w:val="20"/>
        </w:trPr>
        <w:tc>
          <w:tcPr>
            <w:tcW w:w="5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issued in connection with notes payable</w:t>
            </w: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9,569,604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64"/>
        </w:trPr>
        <w:tc>
          <w:tcPr>
            <w:tcW w:w="5460" w:type="dxa"/>
            <w:vAlign w:val="bottom"/>
          </w:tcPr>
          <w:p>
            <w:pPr>
              <w:spacing w:after="0"/>
              <w:rPr>
                <w:sz w:val="24"/>
                <w:szCs w:val="24"/>
                <w:color w:val="auto"/>
              </w:rPr>
            </w:pPr>
          </w:p>
        </w:tc>
        <w:tc>
          <w:tcPr>
            <w:tcW w:w="3220" w:type="dxa"/>
            <w:vAlign w:val="bottom"/>
          </w:tcPr>
          <w:p>
            <w:pPr>
              <w:jc w:val="right"/>
              <w:ind w:right="2895"/>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3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2021, filed on March 24, 2022 (the “2021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Times New Roman" w:cs="Times New Roman" w:eastAsia="Times New Roman" w:hAnsi="Times New Roman"/>
          <w:sz w:val="18"/>
          <w:szCs w:val="18"/>
          <w:i w:val="1"/>
          <w:iCs w:val="1"/>
          <w:color w:val="auto"/>
        </w:rPr>
        <w:t>S. pneumonia</w:t>
      </w:r>
      <w:r>
        <w:rPr>
          <w:rFonts w:ascii="Times New Roman" w:cs="Times New Roman" w:eastAsia="Times New Roman" w:hAnsi="Times New Roman"/>
          <w:sz w:val="18"/>
          <w:szCs w:val="18"/>
          <w:color w:val="auto"/>
        </w:rPr>
        <w:t xml:space="preserve"> infection for an immunoglobulin manufactured to contain standardized antibodies to numerous serotypes of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Our products and product candidates are intended to be used by physician specialists focused on caring for immune-compromised patients with or at risk for certain infectious diseases.</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manufacture these products at our FDA-licensed, plasma fractionation and purification facility located in Boca Raton, Florida with a peak annual source plasma processing capability of up to 600,000 liters (the “Boca Facility”). Based on current production yields, our completed and ongoing supply chain enhancements and capacity expansion initiatives, we believe this facility has the potential to produce quantities of our immune globulin (“IG”) products to generate more than $250 million in annual revenue beginning in 2024 and potentially in excess of $300 million of annual revenue thereafter, as well as achieving profitability during the first quarter of 2024, as we ramp-up production over the next two to four years. Based on our early 2022 revenue growth and gross margin trends, we have increased our total annual revenue target to $130 million or more for fiscal year 2022.</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Through our ADMA BioCenters subsidiary, we currently operate FDA-licensed source plasma collection facilities in the U.S. This business unit, which we refer to as our Plasma Collection Centers business segment, provides us with a portion of our blood plasma for the manufacture of our products and product candidates, and also allows us to sell certain quantities of source plasma to customers for further manufacturing. As a part of our planned supply chain robustness initiative, we have opened five new plasma collection centers during the past 18 months, and we now have ten plasma collection centers in various stages of approval and development, including seven that are operational and collecting plasma. With respect to our operational plasma collection centers, five plasma collection centers currently hold FDA licenses. In addition, one of our FDA-approved plasma collection centers also has approvals from the Korean Ministry of Food and Drug Safety (“MFDS”), as well as FDA approval to operate a Hepatitis B immunization program. After giving effect to the progress we made in 2021 and thus far in 2022 with our plasma collection network expansion, we believe we remain on track to achieve our goal of having 10 plasma collection centers licensed by the FDA by the end of 2023.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packaging services in light of the FDA approval of our in-house fill-finish capabilities.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the Boca Facility (the “Biotest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BIVIGAM</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80"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On April 28, 2021, we announced that the FDA granted approval for our expanded plasma pool production scale process, allowing for a 4,400-liter plasma pool for the manufacture of our BIVIGAM IVIG product. We expect this increased IVIG plasma pool scale, which will allow us to produce BIVIGAM at an expanded capacity, will utilize the same equipment, release testing assays and labor force, and to have a favorable impact on our gross margins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ASCENIV</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or potentially other respiratory viral pathogens. Due to the COVID-19 pandemic, our plans have been delayed. In the future however, we plan to work with the FDA and the immunology and infectious disease community to design an appropriate clinical trial to evaluate the use of ASCENIV in this patient population. Commercial sales of ASCENIV commenced in October of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Nabi-HB</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POTENTIAL IMPACT OF COVID-19</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continue to monitor the ongoing developments related to the COVID-19 pandemic, including the emergence of the Delta, Omicron and BA.2 variants and other resistant strains of the coronavirus, and its impacts to our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Due to a combination of previous state and local “shelter-in-place” orders, as well as government stimulus packages, persisting social distancing measures and varying roll-outs of vaccinations by state, we had experienced lower than normal donor collections at our FDA approved plasma collection centers.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In addition, we are subject to supply chain delays as a result of certain of our suppliers diverting significant resources towards the rapid development and distribution of COVID-19 vaccines and, as a result, we have elected to carry more raw materials inventory than we have in the past. The COVID-19 pandemic has also impacted, to a certain degree, our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our ability to communicate with potential customers. We have implemented a comprehensive suite of virtual engagement initiatives; however, clinician engagement has been reduced due to rapidly evolving COVID-19 priorities at U.S. medical centers.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pandemic could also impact our ability to interact with the FDA or other regulatory authorities and may result in delays in the conduct of inspections or review of pending applications or submissions. Although we received several FDA approvals and two FDA inspections of the Boca Facility were completed during the year ended December 31, 2021, no assurances can be provided as to the timing for completion of any other regulatory submissions or applications that may be impacted by restrictions related to COVID-19.</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our revenue attributable to international customers was approximately 6% and 15%, respectively, of our total revenues. As we seek to grow this aspect of our business, we may also be subject to the impacts of the COVID-19 pandemic in locations outside the United States.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COVID-19 pandemic to date has not had a material impact on our financial condition or results of operations, and we do not believe that our production operations at the Boca Facility, our contract fill/finishers or our plasma collection facilities have been significantly impacted by the COVID-19 pandemic. As a result, we do not anticipate and have not experienced any material impairments with respect to any of our long-lived assets, including our property and equipment, goodwill or intangible assets.</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Although the COVID-19 pandemic has not, to date, materially adversely impacted our capital and financial resources, because we are unable to determine the ultimate severity or duration of the pandemic or its long-term effects on, among other things, the global, national or local economies, the capital and credit markets or our workforce, customers or suppliers, at this time we are unable to predict whether COVID-19, or any known or future variant or government order, will have a material adverse impact on our business, financial condition, liquidity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impairment of long-lived assets,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the 2021 10-K. Estimates and assumptions used in projecting future liquidity and capital requirements are described in Note 1 to the condensed Consolidated Financial Statements appearing elsewhere in this Quarterly Report on Form 10-Q.</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Historically, adjustments to these estimates to reflect actual results or updated expectations have not been material to our overall business. However, two of our primary immunoglobulin products, ASCENIV and BIVIGAM, were only approved for commercial sale by the FDA in 2019, and as such our historical experience with rebates with respect to these products is limited.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While our results of operations to date have not required any material adjustment due to this risk, the lag time between when this obligation is initially recorded and ultimately settled could potentially materially impact our revenues and our results of operations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and Valuation of Warrants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Any changes in the foregoing Black-Scholes assumptions, or if we were to elect to utilize an alternative method for valuing stock options granted to employees, directors and officers, could potentially impact our stock-based compensation expense and our results of operations.</w:t>
      </w:r>
    </w:p>
    <w:p>
      <w:pPr>
        <w:spacing w:after="0" w:line="187"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We also use the Black-Scholes option valuation model for the purpose of estimating the fair value of warrants we issue from time to time in connection with the issuance of notes payable. Changes in our Black-Scholes assumptions, or if we were to utilize an alternative method for valuing warrants issued to our lenders, could impact our interest expense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March 31, 2022 and 2021, we determined that there was no impairment of our long-lived assets. Examples of events or circumstances that may be indicative of impairment that would require the use of significant judgment by management include: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the asset.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continued cash flow losses.</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is used, such as a restriction imposed by the FDA or other regulatory authorities that could affect our ability to manufacture our products using a particular asset.</w:t>
      </w:r>
    </w:p>
    <w:p>
      <w:pPr>
        <w:ind w:left="660" w:right="34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three months ended March 31, 2022 and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a full valuation allowance against all of our net deferred tax assets, and as a result have recorded no income tax benefit in the accompanying consolidated financial statements.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Based on our history of losses, at this time we have not included future projected taxable income as a source of income to recognize our deferred tax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three months ended March 31, 2022, our first fiscal quarter, compared to the three months ended March 31, 2021:</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94"/>
        </w:trPr>
        <w:tc>
          <w:tcPr>
            <w:tcW w:w="3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r>
      <w:tr>
        <w:trPr>
          <w:trHeight w:val="245"/>
        </w:trPr>
        <w:tc>
          <w:tcPr>
            <w:tcW w:w="32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29,103,093</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16,048,618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13,054,475</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25,441,046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17,770,122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7,670,924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3,662,047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(1,721,504)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5,383,551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624,111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987,649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(363,538)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3,974,589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2,242,343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1,732,246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178,838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13,699,575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10,033,915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3,665,660</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(14,815,066)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(15,164,249)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349,183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(3,389,038)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(3,195,750)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(193,288)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(6,669,941)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(6,669,941)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(133,812)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(113,870)</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(25,007,857)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(18,379,941)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(6,627,916)</w:t>
            </w:r>
          </w:p>
        </w:tc>
      </w:tr>
      <w:tr>
        <w:trPr>
          <w:trHeight w:val="20"/>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recorded total revenues of $29.1 million during the three months ended March 31, 2022, as compared to $16.0 million during the three months ended March 31, 2021, an increase of $13.1 million, or approximately 81%. The increase is due to increased sales of immunoglobulin products generated by our Boca Facility manufacturing operations in 2022, primarily ASCENIV and BIVIGAM, of $12.3 million, as we continue to expand our customer base for BIVIGAM and experience increased physician, payer and patient acceptance of ASCENIV. We also benefitted from an increased sales of normal source plasma through ADMA BioCenters of $0.7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 was $25.4 million for the three months ended March 31, 2022, as compared to $17.8 million for the three months ended March 31, 2021. This increase is primarily attributable to increased product revenue costs related to the sale of our immunoglobulin products of $5.2 million and increased product revenue costs related to our ADMA BioCenters business segment in the amount of $0.9 million. The increase also reflects additional costs related to the otherwise routine shutdown of the Boca Facility for a portion of the first quarter of 2022, which we elected to extend in order to complete certain projects that had been forecasted for completion later in fiscal 2022.</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we had gross profit of $3.7 million, as compared to a gross loss of $1.7 million for the same period of a year ago. This gross profit improvement of $5.4 million was primarily due to a more favorable mix of our higher margin products, notably ASCENIV, as well as the benefits we have begun to realize from our expanded plasma pool production scale process, allowing for a 4,400-liter plasma pool for the manufacture of our BIVIGAM IVIG product, as compared to a 2,200-liter plasma pool we were utilizing with BIVIGAM prior to receiving FDA approval in 2021 for the expanded production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R&amp;D expenses totaled $0.6 million for the three months ended March 31, 2022, as compared to $1.0 million for the three months ended March 31, 2021. The decrease is primarily due to reduced compensation costs, including stock-based compensation, associated with R&amp;D activities due to the resignation of our former Chief Medical and Scientific Officer in the second quarter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During the first quarter of 2022, we had six plasma collection centers in operation, excluding our seventh plasma collection center that opened on March 29, 2022, as compared to three plasma collection centers in operation during the first quarter of 2021. As a result, plasma center operating expenses increased by $1.7 million in the first quarter of 2022 as compared to the same period of a year ago. The increase is mainly comprised of higher donor fees in the amount $2.1 million, employee compensation and benefits of $1.3 million, softgoods and supplies of $0.7 million, donor testing expenses of $0.4 million, depreciation expense of $0.2 million, advertising expenses of $0.1 million and rent of $0.1 million, partially offset by increased donor collections which had the impact of reducing our operating expenses by $3.4 million, as such expenses were charged to inventory for future manufacturing or sales. As we continue our planned expansion with the goal of having ten plasma collection centers licensed by the FDA by the end of 2023, we expect our plasma center operating expenses to continue to increase.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pertains to the amortization of intangible assets acquired in the Biotest Transaction and was $0.2 million for the three months ended March 31,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were $13.7 million for the three months ended March 31, 2022, an increase of $3.7 million from the three months ended March 31, 2021. The increase reflects $1.3 million of professional fees incurred in connection with our strategic alternatives process in 2022 with no comparable amount in 2021. In addition, we had an increase in employee compensation and related expenses, including travel, relocating and recruiting, in the amount of $2.4 million due to increased headcount associated with the overall size and scope of the organization and the stepped-up commercialization efforts for BIVIGAM and ASCENIV, increased insurance expense of $0.3 million and increased software maintenance fees of $0.2 million. These costs were partially offset by $0.5 million of third-party market intelligence fees for a one-time project related to ASCENIV that concluded in the first quarter of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operating loss was $14.8 million for the first quarter of 2022, as compared to $15.2 million for the first quarter of 2021. The $0.4 million decrease in operating loss was mainly due to the improved gross profit of $5.4 million and lower R&amp;D expenses, largely offset by the increases in plasma center operating expenses and SG&amp;A.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of $0.2 million for the three months ended March 31, 2022 as compared to the same period of a year ago was mainly due to higher amortization of debt discount related to our new senior credit facility. (see “Liquidity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March 23, 2022, we refinanced our senior credit facility (see “Liquidity and Capital Resources”). In connection with this transaction, we incurred a loss on the extinguishment of debt in the amount of $6.7 million as a result of the redemption premium we paid to retire our previously existing credit facility in the amount of $2.0 million, and the write-off of unamortized debt discount of $4.7 million related to that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net loss was $25.0 million for the three months ended March 31, 2022, as compared to $18.4 million for the three months ended March 31, 2021. The $6.6 million increase in net loss was primarily due to the loss on extinguishment of debt in 2022 of $6.7 million, with no comparable amount in 2021.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2022, we had working capital of $208.2 million, primarily consisting of $139.1 million of inventory, cash and cash equivalents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$69.5 million and accounts receivable of $25.6 million, partially offset by accounts payable and accrued expenses of $30.8 million, as compared to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of $178.4 million, primarily consisting of $124.7 million of inventory, cash and cash equivalents of $51.1 million and accounts receivable of $28.6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partially offset by $29.6 million of accounts payable and accrued expenses, as of December 31, 2021. We have incurred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$437.1 million since inception, had negative cash flows from operations of $26.0 million and $33.2 million for the three months ended March 31, 2022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respectively, and had negative cash flows from operations of $112.4 million and $102.0 million for the years ended December 31, 2021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We have funded our operations over the past few years primarily from the sale of our equity and debt securities. Our material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are primarily comprised 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raw material plasma and other raw materials necessary to maintain and scale up our manufacturing operations;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benefits;</w:t>
      </w:r>
    </w:p>
    <w:p>
      <w:pPr>
        <w:spacing w:after="0" w:line="9"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building of additional plasma collection facilities and for equipment upgrades and capacity expansion at the Boca Facility;</w:t>
      </w: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donor fees and plasma center supplies;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our debt;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programs and continued commercialization efforts;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Boca Facility maintenance, repairs and supplies;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required post-marketing clinical trials for our FDA-approved products.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expect that we will not be able to generate a sufficient amount of product revenue to achieve profitability until the beginning of 2024. We currently anticipate, based upon our projected revenue and expenditures, that our current cash, cash equivalents and accounts receivable, including the proceeds received and expected to be received from the refinancing of our senior credit facility as discussed below, along with the remaining amounts available under the distribution agreement for the sale of our common stock also discussed below, will be sufficient to fund our operations, as currently conducted, into the first quarter of 2024, at which time we believe we will begin to generate positive cash flow from operations. This time frame may change based several factors, including the success of our commercial efforts with respect to the sale of our products and the acceptability of our immune globulin products by physicians, patients or payers, and whether or not the assumptions underlying our projected revenues and expenses are correct. If we are unable to raise additional capital if needed, including due to widespread liquidity constraints or significant market instability that could result from the COVID-19 pandemic, inflationary pressures or other factors beyond our control, we may have to delay, curtail or eliminate some of our commercialization efforts or product development activities. We are also continuing to evaluate a variety of strategic alternatives through our ongoing engagement with Morgan Stanley as a financial advisor.</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23, 2022, (the “Hayfin Closing Date”) we and all of our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expires on March 22, 2023, and is subject to the satisfaction of certain conditions, including, but not limited to, our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the Hayfin Closing Date, we used $100.0 million of the Hayfin Closing Date Loan to terminate and pay in full all of the outstanding obligations under our previous senior credit facility with Perceptive (see Note 7 to the Consolidated Financial Statements). We also used $2.0 million of the Hayfin Closing Date Loan proceeds to pay a redemption premium to Perceptive and used approximately $0.6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The remainder of the proceeds received or to be received from the Hayfin Loans will be used for working capital and other general corporate purposes.</w:t>
      </w:r>
    </w:p>
    <w:p>
      <w:pPr>
        <w:spacing w:after="0" w:line="187"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Borrowings under the Hayfin Credit Agreement bear interest at our election, at either (a) a base rate (equal to the highest of (i) the rate of interest per annum last quoted by The Wall Street Journal as the “Prime Rate” in the United States, (ii) the federal funds rate in effect on such day plus 0.50% and</w:t>
      </w:r>
    </w:p>
    <w:p>
      <w:pPr>
        <w:spacing w:after="0" w:line="1" w:lineRule="exact"/>
        <w:rPr>
          <w:sz w:val="20"/>
          <w:szCs w:val="20"/>
          <w:color w:val="auto"/>
        </w:rPr>
      </w:pPr>
    </w:p>
    <w:p>
      <w:pPr>
        <w:ind w:firstLine="8"/>
        <w:spacing w:after="0" w:line="268" w:lineRule="auto"/>
        <w:tabs>
          <w:tab w:leader="none" w:pos="3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adjusted Term SOFR for a one-month tenor in effect on such day plus 1.00%), plus an applicable margin of 8.50% or (b) adjusted Term SOFR for either a one-month or three-month tenor, as elected by us, and subject to a floor of 1.25%, plus an applicable margin of 9.5% (the “Applicable Margin”); provided, however, that upon, and during the continuance of, an Event of Default, the Applicable Margin shall increase by an additional 3% per annum. We will also pay “in kind” a portion of the interest on the Hayfin Loans for each monthly or quarterly interest period in an amount equal to 2.5% per annum. Such interest paid “in kind” will reduce our quarterly cash interest obligation by approximately $1.0 million and will be added to the principal amount of the outstanding debt under the Hayfin Credit Facility. On the Hayfin Closing Date, our interest rate was 10.75%. On the last day of each calendar month or quarter during the term of the Hayfin Credit Facility, we are required to pay accrued interest to Hayfin of approximately $1.1 million per month or $3.2 million per quarter, after giving effect to the “in kind” interest of 2.5% per annum, but without giving effect to the Hayfin Delayed Draw Loan.</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the Hayfin Maturity Date, we will pay Hayfin the entire outstanding principal amount underlying the Hayfin Loans and any accrued and unpaid interest thereon, as well as an exit fee of 1.0% of the outstanding principal amount being paid. Prior to the Hayfin Maturity Date, there are no scheduled principal payments on the Hayfin Loans. We may prepay outstanding principal on the Hayfin Loans at any time and from time to time upon five business days’ prior written notice, subject to the payment to Hayfin of, (A) any accrued but unpaid interest on the prepaid principal amount plus (B) an early prepayment fee in the amount equal to (i) 7.0% of the prepaid principal amount, if prepaid on or prior to the first anniversary of the Hayfin Closing Date, (ii) 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we are required to pay an exit fee of 1.0% of the amount of principal being paid.</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of our obligations under the Hayfin Credit Agreement are secured by a first-priority lien and security interest in substantially all of our tangible and intangible assets, including intellectual property and all of the equity interests in our subsidiaries. The Hayfin Credit Agreement contains certain representations and warranties, affirmative covenants, negative covenants and conditions that are customarily required for similar financings. The negative covenants restrict or limit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other certain indebtedness; engage in certain affiliate transactions; or enter into, amend or terminate any other agreements that have the impact of restricting our ability to make loan repayments under the Hayfin Credit Agreement. In addition, we are required (i) at all times prior to the Maturity Date to maintain a minimum cash balance of $6.0 million; and (ii) as of the last day of each fiscal quarter commencing with the fiscal quarter ending June 30, 2022, report IVIG product and related revenues for the trailing 12-month period that exceed the amounts set forth in the Hayfin Credit Agreement, which range from $75.0 million for the fiscal quarter ending June 30, 2022 to $250.0 million for the fiscal quarter ending December 31, 2026 and each fiscal quarter thereafter.</w:t>
      </w:r>
    </w:p>
    <w:p>
      <w:pPr>
        <w:spacing w:after="0" w:line="19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October 25, 2021, we completed an underwritten public offering whereby we issued 57.5 million shares of our common stock and received gross proceeds of $57.5 million. Net proceeds, after underwriting discounts and expenses associated with the offering, were approximately $53.8 million, and are being used (i) to advance the commercial sales of our FDA approved products through the procurement of raw materials for the manufacturing of BIVIGAM and ASCENIV; (ii) to expand our plasma collection facility network; (iii) to scale up the manufacturing capacity of the Boca Facility and make continuous improvements in order to adhere to cGMP compliance; (iv) to explore business development opportunities; and (v) for general corporate purposes and other capital expenditures.</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We currently intend to use any net proceeds from the sale of our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We currently have approximately $42.8 million of shares available to sell under the Distribution Agreement.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(26,013,413)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(33,229,126)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(2,842,085)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(2,571,161)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47,271,326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41,844,844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18,415,828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6,044,557</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51,089,118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55,921,152</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69,504,946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61,965,709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operations for the three months ended March 31, 2022 was $26.0 million, a decrease of $7.2 million from the same period of a year ago, mainly due to reductions in accounts receivable and prepaid expenses and other current assets. The following table illustrates the primary components of our cash flows from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(25,007,857)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(18,379,941)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expenses, gains and losses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10,452,680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2,419,892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2,947,233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(2,124,740)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inventories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(14,422,219)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(12,610,601)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(1,180,056)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(2,756,142)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(89,802)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(13,695)</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(26,013,413)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(33,229,126)</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and 2021 was $2.8 million and $2.6 million, respectively, consisting of capital expenditures for the construction and buildout of new plasma collection centers and related equipment and capital expenditures at the Boca Facility. We expect our total capital expenditures will be between $8.0 million and $12.0 million for the remainder of fiscal 2022, mainly for continued plasma collection center expansion.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provided by financing activities of $47.3 million for the three months ended March 31, 2022 and primarily consisted of proceeds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Hayfin Credit Facility, net of payments to retire our previously existing credit facility with Perceptive. Cash provided by financing activities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$41.8 million for the three months ended March 31, 2021 was mainly comprised of net proceeds received from the issuance of our common stock (see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Although inflation or changing prices did not have a significant impact on our revenues or net loss for the year ended December 31, 2020 or the three months ended March 31, 2021, inflation did impact a number of facets of our business during the year ended December 31, 2021 and the first three months of 2022 at both of our business segments. We experienced price increases for, among other items, certain raw materials, consumable supplies, services for repairs and maintenance of our facilities, shipping and freight charges and labor costs. We expect this trend to continue at least into the second half of 2022, which could have a significant impact on our future results of operations. In addition, some of our plasma purchase agreements provide for annual price increases that are tied to various consumer price indices, which have resulted in higher than historical price increases and has resulted in and is expected to continue to result in higher source plasma costs in 2022 and future periods.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our disclosure controls and procedures as of March 31, 2022. Based on this evaluation, our principal executive officer and our principal financial officer concluded that our disclosure controls and procedures as of March 31, 2022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2022 that have materially affected, or are reasonably likely to materially affect, our internal control over financial reporting.</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2" w:lineRule="exact"/>
        <w:rPr>
          <w:sz w:val="20"/>
          <w:szCs w:val="20"/>
          <w:color w:val="auto"/>
        </w:rPr>
      </w:pPr>
    </w:p>
    <w:p>
      <w:pPr>
        <w:ind w:left="660" w:right="4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in the future, need to raise additional capital to operate our business, which may not be available on favorable terms, if at all.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not profitable and may never become profitable.</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efforts to reduce its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7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6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our business segments and our facilities are subject to periodic inspections by the FDA, which, depending on the outcome of such inspections, could result in certain FDA actions, including the issuance of observations, notices, citations or warning letters.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adversely affect our business.</w:t>
      </w:r>
    </w:p>
    <w:p>
      <w:pPr>
        <w:spacing w:after="0" w:line="225" w:lineRule="exact"/>
        <w:rPr>
          <w:rFonts w:ascii="Times New Roman" w:cs="Times New Roman" w:eastAsia="Times New Roman" w:hAnsi="Times New Roman"/>
          <w:sz w:val="18"/>
          <w:szCs w:val="18"/>
          <w:color w:val="auto"/>
        </w:rPr>
      </w:pPr>
    </w:p>
    <w:p>
      <w:pPr>
        <w:jc w:val="both"/>
        <w:ind w:left="660" w:right="4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179"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to market ASCENIV, BIVIGAM and Nabi-HB, there can be no assurance that we will be successful in further developing and expanding commercial operations or balancing our research and development activities with our commercialization activities.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researchers, developers and vendors to develop, manufacture, supply materials for or test our products and product candidates, and such parties are outside of our control.</w:t>
      </w: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right="2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payers and patients do not accept and use our current products or our future product candidates, our ability to generate revenue from these products will be materially impaired.</w:t>
      </w:r>
    </w:p>
    <w:p>
      <w:pPr>
        <w:spacing w:after="0" w:line="16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credit facility with Hayfin Services LLP (“Hayfin”) is subject to acceleration in specified circumstances, which may result in Hayfin taking possession and disposing of any collateral.</w:t>
      </w:r>
    </w:p>
    <w:p>
      <w:pPr>
        <w:spacing w:after="0" w:line="161"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other security breaches could compromise our proprietary and confidential information, which could harm our business and reputation.</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6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additional funding and may be unable to raise capital in the future, which would force us to delay, curtail or eliminate one or more of our research and development programs or potentially modify our ongoing operations, commercialization efforts and expansion plans, as well as impact the overall business plan for the organization.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may fluctuate in a way that is disproportionate to our operating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date, we have a history of losses and have historically needed to raise, and in the future may be required to raise, additional capital to operate our business.</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currently anticipate, based upon our projected revenue and expenditures, that our current cash, cash equivalents and accounts receivable, including the proceeds received and expected to be received from the refinancing of our senior credit facility and the amount of remaining funds available under the distribution agreement for the sale of our common stock (see “Liquidity and Capital Resources”), will be sufficient to fund our operations, as currently conducted, into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We are also continuing to evaluate a variety of strategic alternatives through our ongoing engagement with Morgan Stanley as a financial advisor. We anticipate that we will not be able to generate a sufficient amount of product revenue to achieve profitability until the beginning of 2024. If we are unable to raise additional capital if needed, we may have to delay, curtail or eliminate our commercialization efforts as well as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0" w:lineRule="exact"/>
        <w:rPr>
          <w:sz w:val="20"/>
          <w:szCs w:val="20"/>
          <w:color w:val="auto"/>
        </w:rPr>
      </w:pPr>
    </w:p>
    <w:p>
      <w:pPr>
        <w:ind w:right="440" w:firstLine="648"/>
        <w:spacing w:after="0" w:line="289" w:lineRule="auto"/>
        <w:rPr>
          <w:sz w:val="20"/>
          <w:szCs w:val="20"/>
          <w:color w:val="auto"/>
        </w:rPr>
      </w:pPr>
      <w:r>
        <w:rPr>
          <w:rFonts w:ascii="Times New Roman" w:cs="Times New Roman" w:eastAsia="Times New Roman" w:hAnsi="Times New Roman"/>
          <w:sz w:val="17"/>
          <w:szCs w:val="17"/>
          <w:color w:val="auto"/>
        </w:rPr>
        <w:t>Historically, the major source of our cash has been from proceeds from various public and private offerings of our common stock. The actual amount of cash that we will need is subject to many factors. There can be no assurances that additional financing will be available if needed or that management will be able to obtain financing on terms acceptable to us or that we will become profitable and generate positive operating cash flow.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not profitable and may never become profitable.</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a history of losses and expect to incur substantial losses and negative operating cash flows into fiscal 2023, and we may never achieve or maintain profitability. For the three months ended March 31, 2022 and 2021, we incurred net losses of $25.0 million and $18.4 million, respectively, and for the years ended December 31, 2021 and 2020, we incurred net losses of $71.6 million and $75.7 million, respectively. From our inception in 2004 through December 31, 2021, we have incurred an accumulated deficit of $437.1 million. We expect that we will not be able to generate a sufficient amount of product revenue to achieve profitability until the beginning of 2024 and, as a result, we may need to continue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8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commercialization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controls and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build out our plasma center network;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production capacity at the Boca Facility.</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a result, we will need to generate significant revenues in order to achieve and maintain profitability. We may not be able to generate these revenues or achieve profitability in the future.</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efforts to reduce its spread has significantly affected worldwide economic conditions, caused supply chain disruptions and could have a material adverse impact on our business, liquidity, financial condition and results of operations</w:t>
      </w:r>
    </w:p>
    <w:p>
      <w:pPr>
        <w:spacing w:after="0" w:line="159"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7"/>
          <w:szCs w:val="17"/>
          <w:color w:val="auto"/>
        </w:rPr>
        <w:t>The COVID-19 pandemic, including the Delta and Omicron variants and other resistant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availability of and quality of our products. Further, in certain instances and geographic regions, we may experience decreased customer engagement (for example, as a result of a temporary shutdown of a customer’s facilities resulting from the COVID-19 pandemic or the continuation of no in-person meetings) could impact our results of operations.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virtual attendance or outright cancellation in response to the pandemic. Also, due to a combination of previous state and local “shelter-in-place” orders, as well as government stimulus packages, amongst other initiatives, we have experienced, and may experience in the future, lower than expected donor collections at our FDA-licensed plasma collection centers. We were also subject to delays in shipments of source plasma from our contracted third-party suppliers, as well as delays in deliveries for personal protective equipment, reagents and other non-plasma raw materials and supplies used in the manufacture, testing and distribution of our products. We have also experienced supply chain delays as a result of significant resources being diverted towards the rapid development and distribution of COVID-19 vaccines, which could result in our need to carry more inventory than we have in the past, which would put an additional strain on our cash resources.</w:t>
      </w:r>
    </w:p>
    <w:p>
      <w:pPr>
        <w:spacing w:after="0" w:line="200" w:lineRule="exact"/>
        <w:rPr>
          <w:sz w:val="20"/>
          <w:szCs w:val="20"/>
          <w:color w:val="auto"/>
        </w:rPr>
      </w:pPr>
    </w:p>
    <w:p>
      <w:pPr>
        <w:spacing w:after="0" w:line="20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the pandemic or the restrictions resulting from the outbreak,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the pandemic that may otherwise adversely impact our supply chains or the quality of the resulting products or supplies. Depending on the change, we may need to obtain FDA pre-approval or otherwise provide the FDA with a notification of the change.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or our partners are conducting clinical trials, the pandemic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IRBs, and the FDA. The foregoing may also impact the integrity of our study data. The effects of the COVID-19 pandemic may also increase the need for clinical trial patient monitoring and regulatory reporting of adverse effects. The pandemic could further impact our ability to interact with the FDA or other regulatory authorities and may result in delays in the conduct of inspections or review of pending applications or submissions. No assurances can be provided as to the timing for completion of any regulatory submissions or applications that may be impacted by restrictions related to COVID-19 or other circumstances unknown to us presently or that are out of our direct control. Due to the potential impact of the COVID-19 outbreak on clinical trials, drug development, and manufacturing, the FDA issued a number of guidances specifically concerning COVID-19, including guidances with respect to blood and blood components. The FDA’s guidance is continually evolving.</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COVID-19 pandemic may also result in changes in laws and regulations. By example, in March 2020, the U.S. Congress passed the CARES Act, which includes various provisions regarding FDA drug shortage reporting requirements, as well as provisions regarding supply chain security, such as risk management plan requirements, and the promotion of supply chain redundancy and domestic manufacturing. The CARES Act further included reporting requirements related to the volume of products produced over the course of the year. FDA recently issued guidance regarding this requirement. This and any future changes in law may require that we change our internal processes and procedures to ensure continued compliance. Additionally, the previous guidelines that were issued by public health authorities or any new or changing recommendations or guidelines may still impact the demand for or usage as well as the prescriptions of our IVIG products.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a portion of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7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and results from operations.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Although we have received FDA approval for the fill/finish suite we built at the Boca Facility, we also intend to continue to utilize third parties to supplement our fill/finish process for final drug substance. Our anticipated reliance on a limited number of third-party manufacturers exposes us to the following risks:</w:t>
      </w:r>
    </w:p>
    <w:p>
      <w:pPr>
        <w:spacing w:after="0" w:line="176" w:lineRule="exact"/>
        <w:rPr>
          <w:sz w:val="20"/>
          <w:szCs w:val="20"/>
          <w:color w:val="auto"/>
        </w:rPr>
      </w:pPr>
    </w:p>
    <w:p>
      <w:pPr>
        <w:ind w:left="660" w:right="20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61" w:lineRule="exact"/>
        <w:rPr>
          <w:rFonts w:ascii="Times New Roman" w:cs="Times New Roman" w:eastAsia="Times New Roman" w:hAnsi="Times New Roman"/>
          <w:sz w:val="18"/>
          <w:szCs w:val="18"/>
          <w:color w:val="auto"/>
        </w:rPr>
      </w:pPr>
    </w:p>
    <w:p>
      <w:pPr>
        <w:ind w:left="660" w:right="38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fill/finisher would have to be educated in, or develop substantially equivalent processes for, the production of our products and product candidates;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affect our contracted fill/finishers’ operations, supply chain or workforce;</w:t>
      </w:r>
    </w:p>
    <w:p>
      <w:pPr>
        <w:spacing w:after="0" w:line="225"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fill/finishers might be unable to timely provide finished drug product in sufficient quantity to meet our commercial needs;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inspection procedures and required tests appropriately;</w:t>
      </w:r>
    </w:p>
    <w:p>
      <w:pPr>
        <w:spacing w:after="0" w:line="225" w:lineRule="exact"/>
        <w:rPr>
          <w:rFonts w:ascii="Times New Roman" w:cs="Times New Roman" w:eastAsia="Times New Roman" w:hAnsi="Times New Roman"/>
          <w:sz w:val="18"/>
          <w:szCs w:val="18"/>
          <w:color w:val="auto"/>
        </w:rPr>
      </w:pPr>
    </w:p>
    <w:p>
      <w:pPr>
        <w:ind w:left="660" w:right="4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75"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fail to comply with applicable regulatory requirements, placing them and us at risk of regulatory enforcement actions, recalls and other adverse consequences, which may negatively impact our business and their ability to supply products to meet our development, clinical and commercial needs;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fill/finishers could breach or terminate their agreements with us; and</w:t>
      </w:r>
    </w:p>
    <w:p>
      <w:pPr>
        <w:spacing w:after="0" w:line="225"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finished drug product and the release of finished drug product by us or the FDA, which could result in higher costs or adversely impact the commercialization of our products.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 including the COVID-19 pandemic.</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Both of our business segments and our facilities, as well as our suppliers and contractors, are subject to periodic inspections by the FDA, which, depending on the outcome of such inspections, could result in certain FDA actions, including the issuance of observations, notices, citations or warning letters.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our suppliers and contractors may be unable to comply with our specifications, cGMP requirements and with other FDA, state, and foreign regulatory requirements for commercial and clinical supply. The FDA is authorized to perform inspections of our and our suppliers’ facilities, including the Boca Facility. The FDA also may inspect and approve our and our third-parties’ facilities before they may be used for commercial production. At the end of such an inspection, the FDA could issue a Form 483 Notice of Inspectional Observations, which could cause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may not be able to timely resolve concerns raised by the FDA as a result of an inspection or without expending significant resources. We are unable to control the timing of FDA inspections, communications and actions, and will be required to respond to the FDA and make certain submissions within certain timeframes. We also do not know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cyberattacks on our operations and information technology systems and breakdown, human error, employee issues, global health occurrences such as the COVID-19 pandemic,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18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suspension resulting from the COVID-19 pandemic.</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could be adversely affected.</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5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Other issues that may impact our clinical trials and that could delay or prevent our ability to receive marketing approval or commercialize our product candidates, include:</w:t>
      </w:r>
    </w:p>
    <w:p>
      <w:pPr>
        <w:spacing w:after="0" w:line="162" w:lineRule="exact"/>
        <w:rPr>
          <w:sz w:val="20"/>
          <w:szCs w:val="20"/>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our CROs;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requiring us to perform additional or unanticipated clinical trials to obtain approval or becoming subject to additional post-marketing testing, surveillance, or REMS requirements to maintain regulatory approval;</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or our having insufficient funds for a clinical trial or to pay the substantial user fees required by FDA upon the filing of a marketing application;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inadequate quality of our product candidates or other materials necessary to conduct clinical trials;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Flaws in our clinical trial design that are not discoverable until the clinical trial has progressed;</w:t>
      </w:r>
    </w:p>
    <w:p>
      <w:pPr>
        <w:spacing w:after="0" w:line="2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make changes to our product candidates that require additional testing or that cause our product candidates to perform differently than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policies that may impact our ability to obtain raw materials and/or finished product for commercialization;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taking longer than we anticipate to make decisions on our products or product candidates; and</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demonstrate that a product or product candidate provides an advantage over current standards of care or current or future competitive therapies in development.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19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revenues from,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8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 the approval of ASCENIV, there can be no assurance that we will be successful in further developing and expanding commercial operations or balancing our research and development activities with our commercialization activities.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depend on independent investigators and collaborators, such as universities and medical institutions, contract laboratories, CROs,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9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5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90"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or manufacturing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further post-marketing studies or clinical trials, implement risk mitigation strategies, or to issue corrective information;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healthcare programs, consent decrees, or corporate integrity agreements;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three customers, BioCARE, Inc. (“BioCare”), Biolife Plasma Services, L.P. (“Biolife”), and Priority Healthcare Distribution, Inc. (“Curascript”), represented an aggregate of 83% of our consolidated revenues. For the year ended December 31, 2021, four customers, BioCare, Reliance Life Sciences Pvt Limited (“Reliance”), Curascript and AmerisourceBergen Corporation, represented an aggregate of 81% of our consolidated revenues.</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four customers, BioCare, Biolife, Curascript and Reliance represented an aggregate of 92% of our consolidated accounts receivable. As of December 31, 2021, three customers, Curascript, BioCare and Reliance, represented a total of 94% of our consolidated accounts receivable.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at competitive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features and quality standards for our products sufficient to meet the expectations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deliver a sufficient quantity of our products in a timely manner to meet our customers’ requirements;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right="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and government responses thereto on our customers and their businesses, operations and financial condition.</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5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products relative to competing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 from government or other healthcare payers;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7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current product development portfolio consists primarily of label expansion activities for Nabi-HB, BIVIGAM and ASCENIV, as well as expanding our IP estate with patents issued for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5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19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and will be amended by the California Privacy Rights Act, effective January 1, 2023.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Hayfin Credit Facility is subject to acceleration in specified circumstances, which may result in Hayfin taking possession and disposing of any collateral.</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23, 2022 (the “Hayfin Closing Date”), we entered into the Hayfin Credit Agreement with Hayfin (see “Liquidity and Capital Resources”). The Hayfin Credit Agreement provides for a senior secured term loan facility in the principal amount of up to $175.0 million (the “Hayfin Credit Facility”), composed of (i) a term loan made on the Hayfin Closing Date in the principal amount of $150.0 million (the “Hayfin Closing Date Loan”), (ii) a delayed draw term loan in the principal amount of $25.0 million (the “Hayfin Delayed Draw Loan” and, together with the Hayfin Closing Date Loan, the “Hayfin Loans”). The obligation of the lenders to make the Hayfin Delayed Draw Loan expires on March 22, 2023 is subject to the satisfaction of certain conditions, including but not limited to, our meeting certain 12-month revenue targets as set forth in the Hayfin Credit Agreement. The Hayfin Credit Facility has a maturity date of March 23, 2027 (the “Hayfin Maturity Date”). The Hayfin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Hayfin Loans of 3% per annum, the occurrence of an Event of Default could result in, among other things, the termination of commitments under the Hayfin Credit Facility, the declaration that all outstanding Loans are immediately due and payable in whole or in part, and Hayfin taking immediate possession of, and selling, any collateral securing the Hayfin Loans.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5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market exclusivity of a product earlier than expected.</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manage our growth, our business may be harmed.</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could adversely affect our business.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could compromise our proprietary and confidential information, which could harm our business and reputation.</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and retain a substantial number of qualified personnel, our ability to sustain and grow our business may be harmed.</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including but not limited to overall increases in the cost of labor or travel restrictions related to COVID-19, prevent us from being able to hire qualified personnel.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create or acquire rights to, we may be adversely affected and may not be able to sell or use this human blood plasma for future commercial purposes.</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intend to maintain FDA approval of our ADMA BioCenters collection facilities for the collection of human blood plasma and we may seek other governmental and regulatory approvals for these facilities.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and blood standards and FDA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w:t>
      </w:r>
    </w:p>
    <w:p>
      <w:pPr>
        <w:spacing w:after="0" w:line="1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7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There are no assurances we will be able to maintain compliance with all FDA or other regulations.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civil and criminal Federal False Claims Act, the civil monetary penalty statute, requirements regarding the reporting and repayment of overpayments, other fraud and abuse laws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states, including the State of Florida with respect to the manufacture and marketing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discount safe harbor.</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physicians, physician assistants, nurse practitioners, clinical nurse specialists and certified registered nurse anesthetists and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9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87"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87"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Both before and after the approval of our products, our products, operations, facilities, suppliers and CROs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approvals. Any failure to receive the marketing approvals necessary to commercialize our product or product candidates could harm our business.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5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5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our supply contract with Grifols for the purchase of normal source plasma (“NSP”) expires December 31, 2022. There can be no assurances that we will be able to obtain NSP from other third-party suppliers or be able to collect NSP in the same quantities, or at all, through our ADMA BioCenters plasma collection facilities at a cost that is comparable to the price we currently pay to Grifols for NSP. If our costs to obtain NSP through collections at our ADMA BioCenters plasma collection facilities or from other third-party suppliers are higher than what we currently pay to Grifols, our liquidity and results of operations could be adversely impacted.</w:t>
      </w:r>
    </w:p>
    <w:p>
      <w:pPr>
        <w:spacing w:after="0" w:line="179"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75"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biosimilar pathway established as part of healthcare reform may make it easier for competitors to market biosimilar products.</w:t>
      </w:r>
    </w:p>
    <w:p>
      <w:pPr>
        <w:spacing w:after="0" w:line="22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Healthcare Reform Law in the U.S. may adversely affect our business.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9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responsibility, specifically related to environmental, social and governance (“ESG”) matters, may impose additional costs and expose us to new risks.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Capital Requirements and Other Financial Matters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additional funding and may be unable to raise capital when needed, which would adversely affect our operations and could force us to delay, curtail or eliminate some of our commercialization efforts or one or more of our research and development programs.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For the three months ended March 31, 2022 and 2021, we had negative cash flows from operations of $26.0 million and $33.2 million, and for the years ended December 31, 2021 and 2020, we had negative cash flows from operations of approximately $112.4 million and $102.0 million, respectively. We expect to continue to spend substantial amounts on procurement of raw material plasma and other raw materials necessary to scale up our manufacturing operations, commercial product launches, capacity expansion at the Boca Facility and building additional plasma collection facilities.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including the proceeds received and expected to be received from the refinancing of our senior credit facility, along with the remaining funds available under the distribution agreement for the sale of our common stock (see “Liquidity and Capital Resources”), will be sufficient to fund our operations, as currently conducted, into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If we are unable to raise additional capital if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to us in amounts sufficient to enable us to make interest or principal payments on our indebtedness when due.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Hayfin Credit Facility provides for a senior secured term loan facility in an aggregate principal amount of up to $175.0 million, of which $150.0 million has been drawn down and is currently outstanding. Borrowings under the Hayfin Credit Facility bear interest at a rate per annum equal to</w:t>
      </w:r>
    </w:p>
    <w:p>
      <w:pPr>
        <w:ind w:right="60"/>
        <w:spacing w:after="0" w:line="252" w:lineRule="auto"/>
        <w:rPr>
          <w:sz w:val="20"/>
          <w:szCs w:val="20"/>
          <w:color w:val="auto"/>
        </w:rPr>
      </w:pPr>
      <w:r>
        <w:rPr>
          <w:rFonts w:ascii="Times New Roman" w:cs="Times New Roman" w:eastAsia="Times New Roman" w:hAnsi="Times New Roman"/>
          <w:sz w:val="18"/>
          <w:szCs w:val="18"/>
          <w:color w:val="auto"/>
        </w:rPr>
        <w:t>9.5% plus the greater of (i) one- or three-month SOFR as we elect and (ii) 1.25%, as more fully described in “Liquidity and Capital Resources”; provided, however, that upon, and during the continuance of, an Event of Default, the interest rate will automatically increase by an additional 300 basis points. We are currently required to make monthly payments of interest during the term of the Hayfin Credit Facility of approximately $1.1 million, with all principal and unpaid interest due at maturity. The Hayfin Credit Facility has a maturity date of March 23, 2027, subject to acceleration pursuant to the Hayfin Credit Agreement, including upon an Event of Default. All of our obligations under the Hayfin Credit Facility are secured by a first-priority lien and security interest in substantially all of our and our subsidiaries’ tangible and intangible assets, including intellectual property, and all of the equity interests in our subsidiaries.</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Hayfin Credit Facility, seek to enforce their security interests, which could lead to our creditors taking immediate possession of and selling substantially all of our assets with no return provided to our stockholders.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83"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3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(“NOLs”) may be limited.</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2021, we had federal and state NOLs of $299.9 million and $185.0 million, respectively. Federal and State NOLs of approximately $55.2 million and $77.8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We may experience ownership changes in the future as a result of subsequent changes in our stock ownership that we cannot predict or control that could result in further limitations being placed on our ability to utilize our federal NOLs.</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fluctuate in a way that is disproportionate to our operating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equity markets related to the effects of the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or completing preclinical or clinical trials or unsatisfactory results of these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 decision by federal, state or local business regulatory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acceptance, third-party reimbursement and sales of BIVIGAM and ASCENIV;</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about our competitors, including clinical trial results, regulatory approvals or new product introductions;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licensors or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or biotechnology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May 6, 2022, most of our 196,351,925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2021, Perceptive, Stonepine Capital Management, LLC, Caligan LP, NWQ Investment Management Company, LLC and our directors and executive officers and their affiliates owned approximately 26%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Board also recently adopted a short-term stockholder rights agreement with an expiration date of June 15, 2022 and an ownership trigger threshold of 10%. This stockholder rights agreement could render more difficult or discourage a merger, tender offer or assumption of control of the Company that is not approved by our Board. The rights agreement, however, should not interfere with any merger, tender or exchange offer or other business combination approved by our Board. In addition, the rights agreement does not prevent our Board from considering any offer that it considers to be in the best interest of the Company’s stockholders.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Hayfin Credit Agreement prohibits us from paying dividends. As a result, capital appreciation, if any, of our common stock will be your sole source of gain for the foreseeable future.</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stock regulations may affect your ability to sell our common stock.</w:t>
      </w:r>
    </w:p>
    <w:p>
      <w:pPr>
        <w:spacing w:after="0" w:line="22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March 31, 2022, there were 70,840,818 shares remaining available for issuance, after giving effect to 27,047,033 shares of our common stock that were subject to outstanding stock options, RSUs and warrants as of March 31, 2022 that may be issued by us without stockholder approval, as well as an additional 5,764,620 shares reserved for the future issuance of awards under our equity compensation plans.</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ADMA Biologics, Inc.</w:t>
      </w:r>
    </w:p>
    <w:p>
      <w:pPr>
        <w:spacing w:after="0" w:line="229"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May 11, 2022</w:t>
      </w:r>
      <w:r>
        <w:rPr>
          <w:sz w:val="20"/>
          <w:szCs w:val="20"/>
          <w:color w:val="auto"/>
        </w:rPr>
        <w:tab/>
      </w:r>
      <w:r>
        <w:rPr>
          <w:rFonts w:ascii="Times New Roman" w:cs="Times New Roman" w:eastAsia="Times New Roman" w:hAnsi="Times New Roman"/>
          <w:sz w:val="18"/>
          <w:szCs w:val="18"/>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S. Grossman</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May 11, 2022</w:t>
      </w:r>
      <w:r>
        <w:rPr>
          <w:sz w:val="20"/>
          <w:szCs w:val="20"/>
          <w:color w:val="auto"/>
        </w:rPr>
        <w:tab/>
      </w:r>
      <w:r>
        <w:rPr>
          <w:rFonts w:ascii="Times New Roman" w:cs="Times New Roman" w:eastAsia="Times New Roman" w:hAnsi="Times New Roman"/>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Lenz</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6" w:right="6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820" w:type="dxa"/>
            <w:vAlign w:val="bottom"/>
            <w:gridSpan w:val="6"/>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580" w:type="dxa"/>
            <w:vAlign w:val="bottom"/>
          </w:tcPr>
          <w:p>
            <w:pPr>
              <w:spacing w:after="0"/>
              <w:rPr>
                <w:sz w:val="13"/>
                <w:szCs w:val="13"/>
                <w:color w:val="auto"/>
              </w:rPr>
            </w:pPr>
          </w:p>
        </w:tc>
      </w:tr>
      <w:tr>
        <w:trPr>
          <w:trHeight w:val="385"/>
        </w:trPr>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8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37"/>
        </w:trPr>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580" w:type="dxa"/>
            <w:vAlign w:val="bottom"/>
          </w:tcPr>
          <w:p>
            <w:pPr>
              <w:spacing w:after="0"/>
              <w:rPr>
                <w:sz w:val="20"/>
                <w:szCs w:val="20"/>
                <w:color w:val="auto"/>
              </w:rPr>
            </w:pP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Warrant to Purchase Stock, in the form issued by the Company to various entities affiliated with Hayfin Services LLP,</w:t>
            </w: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dated as of March 23, 2022 (incorporated by reference to Exhibit 4.13 to the Company’s Annual Report on Form 10-K, filed with</w:t>
            </w: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SEC on March 24, 2022.</w:t>
            </w:r>
          </w:p>
        </w:tc>
      </w:tr>
      <w:tr>
        <w:trPr>
          <w:trHeight w:val="176"/>
        </w:trPr>
        <w:tc>
          <w:tcPr>
            <w:tcW w:w="32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5"/>
              </w:rPr>
            </w:pPr>
            <w:hyperlink r:id="rId8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Credit Agreement and Guaranty, dated as of March 23, 2022, by and among the Company, Hayfin Services LLP and the lenders</w:t>
            </w:r>
          </w:p>
        </w:tc>
      </w:tr>
      <w:tr>
        <w:trPr>
          <w:trHeight w:val="21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party thereto (incorporated by reference to Exhibit 10.24 to the Company’s Annual Report on Form 10-K, filed with the SEC on</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24, 2022).</w:t>
            </w:r>
          </w:p>
        </w:tc>
      </w:tr>
      <w:tr>
        <w:trPr>
          <w:trHeight w:val="175"/>
        </w:trPr>
        <w:tc>
          <w:tcPr>
            <w:tcW w:w="32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5"/>
              </w:rPr>
            </w:pPr>
            <w:hyperlink r:id="rId8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Security Agreement, dated as of March 23, 2022, by and among the Company, certain subsidiaries of the Company and Hayfin</w:t>
            </w:r>
          </w:p>
        </w:tc>
      </w:tr>
      <w:tr>
        <w:trPr>
          <w:trHeight w:val="218"/>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LLP (incorporated by reference to Exhibit 10.25 to the Company’s Annual Report on Form 10-K, filed with the SEC on</w:t>
            </w: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24, 2022).</w:t>
            </w:r>
          </w:p>
        </w:tc>
      </w:tr>
      <w:tr>
        <w:trPr>
          <w:trHeight w:val="176"/>
        </w:trPr>
        <w:tc>
          <w:tcPr>
            <w:tcW w:w="5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as adopted pursuant to Section 302 of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75"/>
        </w:trPr>
        <w:tc>
          <w:tcPr>
            <w:tcW w:w="5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as adopted pursuant to Section 302 of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94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76"/>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640" w:type="dxa"/>
            <w:vAlign w:val="bottom"/>
          </w:tcPr>
          <w:p>
            <w:pPr>
              <w:spacing w:after="0"/>
              <w:rPr>
                <w:sz w:val="15"/>
                <w:szCs w:val="15"/>
                <w:color w:val="auto"/>
              </w:rPr>
            </w:pPr>
          </w:p>
        </w:tc>
        <w:tc>
          <w:tcPr>
            <w:tcW w:w="9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76"/>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640" w:type="dxa"/>
            <w:vAlign w:val="bottom"/>
            <w:shd w:val="clear" w:color="auto" w:fill="CCEEFF"/>
          </w:tcPr>
          <w:p>
            <w:pPr>
              <w:spacing w:after="0"/>
              <w:rPr>
                <w:sz w:val="15"/>
                <w:szCs w:val="15"/>
                <w:color w:val="auto"/>
              </w:rPr>
            </w:pPr>
          </w:p>
        </w:tc>
        <w:tc>
          <w:tcPr>
            <w:tcW w:w="9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94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98"/>
        </w:trPr>
        <w:tc>
          <w:tcPr>
            <w:tcW w:w="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The following materials from ADMA Biologics, Inc.’s Form 10-Q for the quarter ended March 31, 2022, formatted in Extensible</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Reporting Language (XBRL): (i) Condensed Consolidated Balance Sheets as of March 31, 2022 (Unaudited) and</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 (ii) Condensed Consolidated Statements of Operations (Unaudited) for the three months ended March 31,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2022 and 2021, (iii) Condensed Consolidated Statements of Changes in Stockholders’ Equity (Unaudited) for the three months</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ended March 31, 2022 and 2021, (iv) Condensed Consolidated Statements of Cash Flows (Unaudited) for the three months ended</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2022 and 2021, and (v) Notes to (Unaudited) Condensed Consolidated Financial Statements.</w:t>
            </w:r>
          </w:p>
        </w:tc>
      </w:tr>
      <w:tr>
        <w:trPr>
          <w:trHeight w:val="216"/>
        </w:trPr>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23"/>
        </w:trPr>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58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accordance with SEC Release 33-8238, Exhibit 32.1 and 32.2 are being furnished and not filed.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THE PRINCIPAL EXECUTIVE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Adam S. Grossman, certify that:</w:t>
      </w:r>
    </w:p>
    <w:p>
      <w:pPr>
        <w:spacing w:after="0" w:line="24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 Grossman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THE PRINCIPAL FINANCIAL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Brian Lenz, certify that:</w:t>
      </w:r>
    </w:p>
    <w:p>
      <w:pPr>
        <w:spacing w:after="0" w:line="24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Lenz</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THE PRINCIPAL EXECUTIVE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209"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ADMA Biologics, Inc., a Delaware corporation (the “Company”), on Form 10-Q for the quarter ended March 31, 2022,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21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198"/>
        </w:trPr>
        <w:tc>
          <w:tcPr>
            <w:tcW w:w="3540" w:type="dxa"/>
            <w:vAlign w:val="bottom"/>
          </w:tcPr>
          <w:p>
            <w:pPr>
              <w:spacing w:after="0"/>
              <w:rPr>
                <w:sz w:val="17"/>
                <w:szCs w:val="17"/>
                <w:color w:val="auto"/>
              </w:rPr>
            </w:pPr>
          </w:p>
        </w:tc>
        <w:tc>
          <w:tcPr>
            <w:tcW w:w="2660" w:type="dxa"/>
            <w:vAlign w:val="bottom"/>
          </w:tcPr>
          <w:p>
            <w:pPr>
              <w:ind w:left="21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Adam S. Grossman</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1"/>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THE PRINCIPAL FINANCIAL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20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ADMA Biologics, Inc., a Delaware corporation (the “Company”), on Form 10-Q for the quarter ended March 31, 2022,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21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Lenz</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decimal"/>
      <w:start w:val="4"/>
    </w:lvl>
  </w:abstractNum>
  <w:abstractNum w:abstractNumId="8">
    <w:nsid w:val="79838CB2"/>
    <w:multiLevelType w:val="hybridMultilevel"/>
    <w:lvl w:ilvl="0">
      <w:lvlJc w:val="left"/>
      <w:lvlText w:val="%1."/>
      <w:numFmt w:val="decimal"/>
      <w:start w:val="6"/>
    </w:lvl>
  </w:abstractNum>
  <w:abstractNum w:abstractNumId="9">
    <w:nsid w:val="4353D0CD"/>
    <w:multiLevelType w:val="hybridMultilevel"/>
    <w:lvl w:ilvl="0">
      <w:lvlJc w:val="left"/>
      <w:lvlText w:val="(%1)"/>
      <w:numFmt w:val="lowerRoman"/>
      <w:start w:val="2"/>
    </w:lvl>
  </w:abstractNum>
  <w:abstractNum w:abstractNumId="10">
    <w:nsid w:val="B03E0C6"/>
    <w:multiLevelType w:val="hybridMultilevel"/>
    <w:lvl w:ilvl="0">
      <w:lvlJc w:val="left"/>
      <w:lvlText w:val="(%1)"/>
      <w:numFmt w:val="lowerRoman"/>
      <w:start w:val="2"/>
    </w:lvl>
  </w:abstractNum>
  <w:abstractNum w:abstractNumId="11">
    <w:nsid w:val="189A769B"/>
    <w:multiLevelType w:val="hybridMultilevel"/>
    <w:lvl w:ilvl="0">
      <w:lvlJc w:val="left"/>
      <w:lvlText w:val="%1."/>
      <w:numFmt w:val="decimal"/>
      <w:start w:val="8"/>
    </w:lvl>
  </w:abstractNum>
  <w:abstractNum w:abstractNumId="12">
    <w:nsid w:val="54E49EB4"/>
    <w:multiLevelType w:val="hybridMultilevel"/>
    <w:lvl w:ilvl="0">
      <w:lvlJc w:val="left"/>
      <w:lvlText w:val="%1."/>
      <w:numFmt w:val="decimal"/>
      <w:start w:val="9"/>
    </w:lvl>
  </w:abstractNum>
  <w:abstractNum w:abstractNumId="13">
    <w:nsid w:val="71F32454"/>
    <w:multiLevelType w:val="hybridMultilevel"/>
    <w:lvl w:ilvl="0">
      <w:lvlJc w:val="left"/>
      <w:lvlText w:val="%1."/>
      <w:numFmt w:val="decimal"/>
      <w:start w:val="10"/>
    </w:lvl>
  </w:abstractNum>
  <w:abstractNum w:abstractNumId="14">
    <w:nsid w:val="2CA88611"/>
    <w:multiLevelType w:val="hybridMultilevel"/>
    <w:lvl w:ilvl="0">
      <w:lvlJc w:val="left"/>
      <w:lvlText w:val="%1."/>
      <w:numFmt w:val="decimal"/>
      <w:start w:val="11"/>
    </w:lvl>
  </w:abstractNum>
  <w:abstractNum w:abstractNumId="15">
    <w:nsid w:val="836C40E"/>
    <w:multiLevelType w:val="hybridMultilevel"/>
    <w:lvl w:ilvl="0">
      <w:lvlJc w:val="left"/>
      <w:lvlText w:val="%1."/>
      <w:numFmt w:val="decimal"/>
      <w:start w:val="12"/>
    </w:lvl>
  </w:abstractNum>
  <w:abstractNum w:abstractNumId="16">
    <w:nsid w:val="2901D82"/>
    <w:multiLevelType w:val="hybridMultilevel"/>
    <w:lvl w:ilvl="0">
      <w:lvlJc w:val="left"/>
      <w:lvlText w:val="%1."/>
      <w:numFmt w:val="decimal"/>
      <w:start w:val="13"/>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lowerRoman"/>
      <w:start w:val="3"/>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81" Type="http://schemas.openxmlformats.org/officeDocument/2006/relationships/hyperlink" Target="https://www.sec.gov/Archives/edgar/data/1368514/000114036122011030/brhc10035480_ex4-13.htm" TargetMode="External"/><Relationship Id="rId82" Type="http://schemas.openxmlformats.org/officeDocument/2006/relationships/hyperlink" Target="https://www.sec.gov/Archives/edgar/data/1368514/000114036122011030/brhc10035480_ex10-24.htm" TargetMode="External"/><Relationship Id="rId83" Type="http://schemas.openxmlformats.org/officeDocument/2006/relationships/hyperlink" Target="https://www.sec.gov/Archives/edgar/data/1368514/000114036122011030/brhc10035480_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2022-05-11T15:53:14Z</dcterms:created>
  <dcterms:modified xsi:type="dcterms:W3CDTF">2022-05-11T15:53:14Z</dcterms:modified>
</cp:coreProperties>
</file>