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39"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b w:val="1"/>
          <w:bCs w:val="1"/>
          <w:u w:val="single" w:color="auto"/>
          <w:color w:val="auto"/>
        </w:rPr>
        <w:t>June 30, 2020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w:t>
      </w:r>
    </w:p>
    <w:p>
      <w:pPr>
        <w:spacing w:after="0" w:line="22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45" w:lineRule="exact"/>
        <w:rPr>
          <w:sz w:val="24"/>
          <w:szCs w:val="24"/>
          <w:color w:val="auto"/>
        </w:rPr>
      </w:pPr>
    </w:p>
    <w:p>
      <w:pPr>
        <w:ind w:left="3320"/>
        <w:spacing w:after="0"/>
        <w:rPr>
          <w:sz w:val="20"/>
          <w:szCs w:val="20"/>
          <w:color w:val="auto"/>
        </w:rPr>
      </w:pPr>
      <w:r>
        <w:rPr>
          <w:rFonts w:ascii="Arial" w:cs="Arial" w:eastAsia="Arial" w:hAnsi="Arial"/>
          <w:sz w:val="22"/>
          <w:szCs w:val="22"/>
          <w:color w:val="auto"/>
        </w:rPr>
        <w:t>For the transition period from ________ to ________</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001-36728</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24130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08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gridSpan w:val="4"/>
          </w:tcPr>
          <w:p>
            <w:pPr>
              <w:jc w:val="right"/>
              <w:ind w:right="1630"/>
              <w:spacing w:after="0"/>
              <w:rPr>
                <w:sz w:val="20"/>
                <w:szCs w:val="20"/>
                <w:color w:val="auto"/>
              </w:rPr>
            </w:pPr>
            <w:r>
              <w:rPr>
                <w:rFonts w:ascii="Arial" w:cs="Arial" w:eastAsia="Arial" w:hAnsi="Arial"/>
                <w:sz w:val="18"/>
                <w:szCs w:val="18"/>
                <w:b w:val="1"/>
                <w:bCs w:val="1"/>
                <w:color w:val="auto"/>
              </w:rPr>
              <w:t>56-2590442</w:t>
            </w:r>
          </w:p>
        </w:tc>
      </w:tr>
      <w:tr>
        <w:trPr>
          <w:trHeight w:val="195"/>
        </w:trPr>
        <w:tc>
          <w:tcPr>
            <w:tcW w:w="4080" w:type="dxa"/>
            <w:vAlign w:val="bottom"/>
            <w:tcBorders>
              <w:top w:val="single" w:sz="8" w:color="auto"/>
            </w:tcBorders>
          </w:tcPr>
          <w:p>
            <w:pPr>
              <w:jc w:val="center"/>
              <w:ind w:left="110"/>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22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tcPr>
          <w:p>
            <w:pPr>
              <w:spacing w:after="0"/>
              <w:rPr>
                <w:sz w:val="16"/>
                <w:szCs w:val="16"/>
                <w:color w:val="auto"/>
              </w:rPr>
            </w:pPr>
          </w:p>
        </w:tc>
      </w:tr>
      <w:tr>
        <w:trPr>
          <w:trHeight w:val="230"/>
        </w:trPr>
        <w:tc>
          <w:tcPr>
            <w:tcW w:w="4080" w:type="dxa"/>
            <w:vAlign w:val="bottom"/>
          </w:tcPr>
          <w:p>
            <w:pPr>
              <w:jc w:val="center"/>
              <w:ind w:left="110"/>
              <w:spacing w:after="0"/>
              <w:rPr>
                <w:sz w:val="20"/>
                <w:szCs w:val="20"/>
                <w:color w:val="auto"/>
              </w:rPr>
            </w:pPr>
            <w:r>
              <w:rPr>
                <w:rFonts w:ascii="Arial" w:cs="Arial" w:eastAsia="Arial" w:hAnsi="Arial"/>
                <w:sz w:val="18"/>
                <w:szCs w:val="18"/>
                <w:color w:val="auto"/>
                <w:w w:val="92"/>
              </w:rPr>
              <w:t>Organization)</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tcPr>
          <w:p>
            <w:pPr>
              <w:jc w:val="center"/>
              <w:ind w:right="110"/>
              <w:spacing w:after="0"/>
              <w:rPr>
                <w:sz w:val="20"/>
                <w:szCs w:val="20"/>
                <w:color w:val="auto"/>
              </w:rPr>
            </w:pPr>
            <w:r>
              <w:rPr>
                <w:rFonts w:ascii="Arial" w:cs="Arial" w:eastAsia="Arial" w:hAnsi="Arial"/>
                <w:sz w:val="18"/>
                <w:szCs w:val="18"/>
                <w:color w:val="auto"/>
                <w:w w:val="94"/>
              </w:rPr>
              <w:t>(I.R.S. Employer Identification No.)</w:t>
            </w:r>
          </w:p>
        </w:tc>
      </w:tr>
      <w:tr>
        <w:trPr>
          <w:trHeight w:val="459"/>
        </w:trPr>
        <w:tc>
          <w:tcPr>
            <w:tcW w:w="408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465 State Route 17, Ramsey, New Jersey</w:t>
            </w:r>
          </w:p>
        </w:tc>
        <w:tc>
          <w:tcPr>
            <w:tcW w:w="5460" w:type="dxa"/>
            <w:vAlign w:val="bottom"/>
            <w:gridSpan w:val="4"/>
          </w:tcPr>
          <w:p>
            <w:pPr>
              <w:jc w:val="right"/>
              <w:ind w:right="1830"/>
              <w:spacing w:after="0"/>
              <w:rPr>
                <w:sz w:val="20"/>
                <w:szCs w:val="20"/>
                <w:color w:val="auto"/>
              </w:rPr>
            </w:pPr>
            <w:r>
              <w:rPr>
                <w:rFonts w:ascii="Arial" w:cs="Arial" w:eastAsia="Arial" w:hAnsi="Arial"/>
                <w:sz w:val="18"/>
                <w:szCs w:val="18"/>
                <w:b w:val="1"/>
                <w:bCs w:val="1"/>
                <w:color w:val="auto"/>
              </w:rPr>
              <w:t>07446</w:t>
            </w:r>
          </w:p>
        </w:tc>
      </w:tr>
      <w:tr>
        <w:trPr>
          <w:trHeight w:val="224"/>
        </w:trPr>
        <w:tc>
          <w:tcPr>
            <w:tcW w:w="408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(Zip Code)</w:t>
            </w:r>
          </w:p>
        </w:tc>
      </w:tr>
      <w:tr>
        <w:trPr>
          <w:trHeight w:val="431"/>
        </w:trPr>
        <w:tc>
          <w:tcPr>
            <w:tcW w:w="4080" w:type="dxa"/>
            <w:vAlign w:val="bottom"/>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w w:val="89"/>
              </w:rPr>
              <w:t>(201) 478-5552</w:t>
            </w:r>
          </w:p>
        </w:tc>
        <w:tc>
          <w:tcPr>
            <w:tcW w:w="4100" w:type="dxa"/>
            <w:vAlign w:val="bottom"/>
          </w:tcPr>
          <w:p>
            <w:pPr>
              <w:spacing w:after="0"/>
              <w:rPr>
                <w:sz w:val="24"/>
                <w:szCs w:val="24"/>
                <w:color w:val="auto"/>
              </w:rPr>
            </w:pPr>
          </w:p>
        </w:tc>
      </w:tr>
    </w:tbl>
    <w:p>
      <w:pPr>
        <w:spacing w:after="0" w:line="6" w:lineRule="exact"/>
        <w:rPr>
          <w:sz w:val="24"/>
          <w:szCs w:val="24"/>
          <w:color w:val="auto"/>
        </w:rPr>
      </w:pPr>
    </w:p>
    <w:p>
      <w:pPr>
        <w:jc w:val="center"/>
        <w:ind w:right="260"/>
        <w:spacing w:after="0"/>
        <w:rPr>
          <w:sz w:val="20"/>
          <w:szCs w:val="20"/>
          <w:color w:val="auto"/>
        </w:rPr>
      </w:pPr>
      <w:r>
        <w:rPr>
          <w:rFonts w:ascii="Arial" w:cs="Arial" w:eastAsia="Arial" w:hAnsi="Arial"/>
          <w:sz w:val="22"/>
          <w:szCs w:val="22"/>
          <w:color w:val="auto"/>
        </w:rPr>
        <w:t>(Registrant’s Telephone Number, Including Area Code)</w:t>
      </w:r>
    </w:p>
    <w:p>
      <w:pPr>
        <w:spacing w:after="0" w:line="233"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_______________________________________________________________________</w:t>
      </w:r>
    </w:p>
    <w:p>
      <w:pPr>
        <w:spacing w:after="0" w:line="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(Former Name, Former Address and Former Fiscal Year, if Changed Since Last Report)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870" w:type="dxa"/>
        <w:tblCellMar>
          <w:top w:w="0" w:type="dxa"/>
          <w:left w:w="0" w:type="dxa"/>
          <w:bottom w:w="0" w:type="dxa"/>
          <w:right w:w="0" w:type="dxa"/>
        </w:tblCellMar>
      </w:tblPr>
      <w:tr>
        <w:trPr>
          <w:trHeight w:val="250"/>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22" w:lineRule="exact"/>
        <w:rPr>
          <w:sz w:val="24"/>
          <w:szCs w:val="24"/>
          <w:color w:val="auto"/>
        </w:rPr>
      </w:pPr>
    </w:p>
    <w:p>
      <w:pPr>
        <w:jc w:val="both"/>
        <w:ind w:firstLine="607"/>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ind w:firstLine="607"/>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ind w:firstLine="607"/>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jc w:val="both"/>
        <w:ind w:firstLine="607"/>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162" w:lineRule="exact"/>
        <w:rPr>
          <w:sz w:val="24"/>
          <w:szCs w:val="24"/>
          <w:color w:val="auto"/>
        </w:rPr>
      </w:pPr>
    </w:p>
    <w:p>
      <w:pPr>
        <w:ind w:left="620"/>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p>
    <w:p>
      <w:pPr>
        <w:spacing w:after="0" w:line="88"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No </w:t>
      </w:r>
      <w:r>
        <w:rPr>
          <w:rFonts w:ascii="MS PGothic" w:cs="MS PGothic" w:eastAsia="MS PGothic" w:hAnsi="MS PGothic"/>
          <w:sz w:val="22"/>
          <w:szCs w:val="22"/>
          <w:color w:val="auto"/>
        </w:rPr>
        <w:t>☒</w:t>
      </w:r>
    </w:p>
    <w:p>
      <w:pPr>
        <w:spacing w:after="0" w:line="223" w:lineRule="exact"/>
        <w:rPr>
          <w:sz w:val="24"/>
          <w:szCs w:val="24"/>
          <w:color w:val="auto"/>
        </w:rPr>
      </w:pPr>
    </w:p>
    <w:p>
      <w:pPr>
        <w:ind w:left="620"/>
        <w:spacing w:after="0"/>
        <w:rPr>
          <w:sz w:val="20"/>
          <w:szCs w:val="20"/>
          <w:color w:val="auto"/>
        </w:rPr>
      </w:pPr>
      <w:r>
        <w:rPr>
          <w:rFonts w:ascii="Arial" w:cs="Arial" w:eastAsia="Arial" w:hAnsi="Arial"/>
          <w:sz w:val="22"/>
          <w:szCs w:val="22"/>
          <w:color w:val="auto"/>
        </w:rPr>
        <w:t>As of August 3, 2020, there were 86,349,981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195580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693" w:right="339" w:bottom="0" w:gutter="0" w:footer="0" w:header="0"/>
        </w:sectPr>
      </w:pPr>
    </w:p>
    <w:bookmarkStart w:id="1" w:name="page2"/>
    <w:bookmarkEnd w:id="1"/>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106045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40" w:type="dxa"/>
            <w:vAlign w:val="bottom"/>
            <w:gridSpan w:val="6"/>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80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40" w:type="dxa"/>
            <w:vAlign w:val="bottom"/>
            <w:shd w:val="clear" w:color="auto" w:fill="CCEEFF"/>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9100" w:type="dxa"/>
            <w:vAlign w:val="bottom"/>
            <w:gridSpan w:val="5"/>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1340" w:type="dxa"/>
            <w:vAlign w:val="bottom"/>
          </w:tcPr>
          <w:p>
            <w:pPr>
              <w:spacing w:after="0"/>
              <w:rPr>
                <w:sz w:val="18"/>
                <w:szCs w:val="18"/>
                <w:color w:val="auto"/>
              </w:rPr>
            </w:pPr>
          </w:p>
        </w:tc>
        <w:tc>
          <w:tcPr>
            <w:tcW w:w="910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June 30, 2020 (Unaudited) and December 31, 2019</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176"/>
        </w:trPr>
        <w:tc>
          <w:tcPr>
            <w:tcW w:w="1340" w:type="dxa"/>
            <w:vAlign w:val="bottom"/>
            <w:shd w:val="clear" w:color="auto" w:fill="CCEEFF"/>
          </w:tcPr>
          <w:p>
            <w:pPr>
              <w:spacing w:after="0"/>
              <w:rPr>
                <w:sz w:val="15"/>
                <w:szCs w:val="15"/>
                <w:color w:val="auto"/>
              </w:rPr>
            </w:pPr>
          </w:p>
        </w:tc>
        <w:tc>
          <w:tcPr>
            <w:tcW w:w="9100" w:type="dxa"/>
            <w:vAlign w:val="bottom"/>
            <w:gridSpan w:val="5"/>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(Unaudited) for the Three and Six Months Ended June 30, 2020 and</w:t>
              </w:r>
            </w:hyperlink>
          </w:p>
        </w:tc>
        <w:tc>
          <w:tcPr>
            <w:tcW w:w="80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w:t>
            </w:r>
          </w:p>
        </w:tc>
      </w:tr>
      <w:tr>
        <w:trPr>
          <w:trHeight w:val="221"/>
        </w:trPr>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1840" w:type="dxa"/>
            <w:vAlign w:val="bottom"/>
            <w:tcBorders>
              <w:top w:val="single" w:sz="8" w:color="0000EE"/>
              <w:bottom w:val="single" w:sz="8" w:color="CCEEFF"/>
            </w:tcBorders>
            <w:shd w:val="clear" w:color="auto" w:fill="CCEEFF"/>
          </w:tcPr>
          <w:p>
            <w:pPr>
              <w:spacing w:after="0"/>
              <w:rPr>
                <w:sz w:val="18"/>
                <w:szCs w:val="18"/>
                <w:color w:val="auto"/>
              </w:rPr>
            </w:pPr>
          </w:p>
        </w:tc>
        <w:tc>
          <w:tcPr>
            <w:tcW w:w="610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340" w:type="dxa"/>
            <w:vAlign w:val="bottom"/>
            <w:tcBorders>
              <w:top w:val="single" w:sz="8" w:color="CCEEFF"/>
            </w:tcBorders>
          </w:tcPr>
          <w:p>
            <w:pPr>
              <w:spacing w:after="0"/>
              <w:rPr>
                <w:sz w:val="15"/>
                <w:szCs w:val="15"/>
                <w:color w:val="auto"/>
              </w:rPr>
            </w:pPr>
          </w:p>
        </w:tc>
        <w:tc>
          <w:tcPr>
            <w:tcW w:w="8300" w:type="dxa"/>
            <w:vAlign w:val="bottom"/>
            <w:tcBorders>
              <w:top w:val="single" w:sz="8" w:color="CCEEFF"/>
              <w:bottom w:val="single" w:sz="8" w:color="0000EE"/>
            </w:tcBorders>
            <w:gridSpan w:val="3"/>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Stockholders’ Equity (Unaudited) for the Three and Six months</w:t>
              </w:r>
            </w:hyperlink>
          </w:p>
        </w:tc>
        <w:tc>
          <w:tcPr>
            <w:tcW w:w="800" w:type="dxa"/>
            <w:vAlign w:val="bottom"/>
            <w:tcBorders>
              <w:top w:val="single" w:sz="8" w:color="CCEEFF"/>
            </w:tcBorders>
            <w:gridSpan w:val="2"/>
          </w:tcPr>
          <w:p>
            <w:pPr>
              <w:spacing w:after="0"/>
              <w:rPr>
                <w:sz w:val="15"/>
                <w:szCs w:val="15"/>
                <w:color w:val="auto"/>
              </w:rPr>
            </w:pPr>
          </w:p>
        </w:tc>
        <w:tc>
          <w:tcPr>
            <w:tcW w:w="80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3</w:t>
            </w:r>
          </w:p>
        </w:tc>
      </w:tr>
      <w:tr>
        <w:trPr>
          <w:trHeight w:val="196"/>
        </w:trPr>
        <w:tc>
          <w:tcPr>
            <w:tcW w:w="1340" w:type="dxa"/>
            <w:vAlign w:val="bottom"/>
          </w:tcPr>
          <w:p>
            <w:pPr>
              <w:spacing w:after="0"/>
              <w:rPr>
                <w:sz w:val="17"/>
                <w:szCs w:val="17"/>
                <w:color w:val="auto"/>
              </w:rPr>
            </w:pPr>
          </w:p>
        </w:tc>
        <w:tc>
          <w:tcPr>
            <w:tcW w:w="910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June 30, 2020 and 2019</w:t>
              </w:r>
            </w:hyperlink>
          </w:p>
        </w:tc>
        <w:tc>
          <w:tcPr>
            <w:tcW w:w="800" w:type="dxa"/>
            <w:vAlign w:val="bottom"/>
          </w:tcPr>
          <w:p>
            <w:pPr>
              <w:spacing w:after="0"/>
              <w:rPr>
                <w:sz w:val="17"/>
                <w:szCs w:val="17"/>
                <w:color w:val="auto"/>
              </w:rPr>
            </w:pPr>
          </w:p>
        </w:tc>
      </w:tr>
      <w:tr>
        <w:trPr>
          <w:trHeight w:val="21"/>
        </w:trPr>
        <w:tc>
          <w:tcPr>
            <w:tcW w:w="13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9100" w:type="dxa"/>
            <w:vAlign w:val="bottom"/>
            <w:gridSpan w:val="5"/>
            <w:shd w:val="clear" w:color="auto" w:fill="CCEEFF"/>
          </w:tcPr>
          <w:p>
            <w:pPr>
              <w:spacing w:after="0"/>
              <w:rPr>
                <w:rFonts w:ascii="Arial" w:cs="Arial" w:eastAsia="Arial" w:hAnsi="Arial"/>
                <w:sz w:val="18"/>
                <w:szCs w:val="18"/>
                <w:u w:val="single" w:color="auto"/>
                <w:color w:val="0000EE"/>
                <w:w w:val="98"/>
              </w:rPr>
            </w:pPr>
            <w:hyperlink w:anchor="page6">
              <w:r>
                <w:rPr>
                  <w:rFonts w:ascii="Arial" w:cs="Arial" w:eastAsia="Arial" w:hAnsi="Arial"/>
                  <w:sz w:val="18"/>
                  <w:szCs w:val="18"/>
                  <w:u w:val="single" w:color="auto"/>
                  <w:color w:val="0000EE"/>
                  <w:w w:val="98"/>
                </w:rPr>
                <w:t>Condensed Consolidated Statements of Cash Flows (Unaudited) for the Six Months Ended June 30, 2020 and 2019</w:t>
              </w:r>
            </w:hyperlink>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1340" w:type="dxa"/>
            <w:vAlign w:val="bottom"/>
          </w:tcPr>
          <w:p>
            <w:pPr>
              <w:spacing w:after="0"/>
              <w:rPr>
                <w:sz w:val="18"/>
                <w:szCs w:val="18"/>
                <w:color w:val="auto"/>
              </w:rPr>
            </w:pPr>
          </w:p>
        </w:tc>
        <w:tc>
          <w:tcPr>
            <w:tcW w:w="910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(Unaudited) Condensed Consolidated Financial Statements</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1340" w:type="dxa"/>
            <w:vAlign w:val="bottom"/>
            <w:shd w:val="clear" w:color="auto" w:fill="CCEEFF"/>
          </w:tcPr>
          <w:p>
            <w:pPr>
              <w:ind w:left="3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w:t>
              </w:r>
            </w:hyperlink>
          </w:p>
        </w:tc>
        <w:tc>
          <w:tcPr>
            <w:tcW w:w="9100" w:type="dxa"/>
            <w:vAlign w:val="bottom"/>
            <w:gridSpan w:val="5"/>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16"/>
        </w:trPr>
        <w:tc>
          <w:tcPr>
            <w:tcW w:w="1340" w:type="dxa"/>
            <w:vAlign w:val="bottom"/>
          </w:tcPr>
          <w:p>
            <w:pPr>
              <w:ind w:left="3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w:t>
              </w:r>
            </w:hyperlink>
          </w:p>
        </w:tc>
        <w:tc>
          <w:tcPr>
            <w:tcW w:w="9100" w:type="dxa"/>
            <w:vAlign w:val="bottom"/>
            <w:gridSpan w:val="5"/>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16"/>
        </w:trPr>
        <w:tc>
          <w:tcPr>
            <w:tcW w:w="1340" w:type="dxa"/>
            <w:vAlign w:val="bottom"/>
            <w:shd w:val="clear" w:color="auto" w:fill="CCEEFF"/>
          </w:tcPr>
          <w:p>
            <w:pPr>
              <w:ind w:left="3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w:t>
              </w:r>
            </w:hyperlink>
          </w:p>
        </w:tc>
        <w:tc>
          <w:tcPr>
            <w:tcW w:w="9100" w:type="dxa"/>
            <w:vAlign w:val="bottom"/>
            <w:gridSpan w:val="5"/>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u w:val="single" w:color="auto"/>
                  <w:color w:val="0000EE"/>
                </w:rPr>
                <w:t>Controls and Procedures</w:t>
              </w:r>
              <w:r>
                <w:rPr>
                  <w:rFonts w:ascii="Arial" w:cs="Arial" w:eastAsia="Arial" w:hAnsi="Arial"/>
                  <w:sz w:val="18"/>
                  <w:szCs w:val="18"/>
                  <w:color w:val="0000EE"/>
                </w:rPr>
                <w:t>.</w:t>
              </w:r>
            </w:hyperlink>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432"/>
        </w:trPr>
        <w:tc>
          <w:tcPr>
            <w:tcW w:w="10440" w:type="dxa"/>
            <w:vAlign w:val="bottom"/>
            <w:gridSpan w:val="6"/>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OTHER INFORMATION</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40" w:type="dxa"/>
            <w:vAlign w:val="bottom"/>
            <w:shd w:val="clear" w:color="auto" w:fill="CCEEFF"/>
          </w:tcPr>
          <w:p>
            <w:pPr>
              <w:ind w:left="3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w:t>
              </w:r>
            </w:hyperlink>
          </w:p>
        </w:tc>
        <w:tc>
          <w:tcPr>
            <w:tcW w:w="9100" w:type="dxa"/>
            <w:vAlign w:val="bottom"/>
            <w:gridSpan w:val="5"/>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tcPr>
          <w:p>
            <w:pPr>
              <w:ind w:left="340"/>
              <w:spacing w:after="0"/>
              <w:rPr>
                <w:rFonts w:ascii="Arial" w:cs="Arial" w:eastAsia="Arial" w:hAnsi="Arial"/>
                <w:sz w:val="18"/>
                <w:szCs w:val="18"/>
                <w:color w:val="0000EE"/>
              </w:rPr>
            </w:pPr>
            <w:hyperlink w:anchor="page33">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10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u w:val="single" w:color="auto"/>
                  <w:color w:val="0000EE"/>
                </w:rPr>
                <w:t>Risk Factors</w:t>
              </w:r>
              <w:r>
                <w:rPr>
                  <w:rFonts w:ascii="Arial" w:cs="Arial" w:eastAsia="Arial" w:hAnsi="Arial"/>
                  <w:sz w:val="18"/>
                  <w:szCs w:val="18"/>
                  <w:color w:val="0000EE"/>
                </w:rPr>
                <w:t>.</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16"/>
        </w:trPr>
        <w:tc>
          <w:tcPr>
            <w:tcW w:w="1340" w:type="dxa"/>
            <w:vAlign w:val="bottom"/>
            <w:shd w:val="clear" w:color="auto" w:fill="CCEEFF"/>
          </w:tcPr>
          <w:p>
            <w:pPr>
              <w:ind w:left="3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2.</w:t>
              </w:r>
            </w:hyperlink>
          </w:p>
        </w:tc>
        <w:tc>
          <w:tcPr>
            <w:tcW w:w="9100" w:type="dxa"/>
            <w:vAlign w:val="bottom"/>
            <w:gridSpan w:val="5"/>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u w:val="single" w:color="auto"/>
                  <w:color w:val="0000EE"/>
                </w:rPr>
                <w:t>Unregistered Sales of Equity Securities and Use of Proceeds</w:t>
              </w:r>
              <w:r>
                <w:rPr>
                  <w:rFonts w:ascii="Arial" w:cs="Arial" w:eastAsia="Arial" w:hAnsi="Arial"/>
                  <w:sz w:val="18"/>
                  <w:szCs w:val="18"/>
                  <w:color w:val="0000EE"/>
                </w:rPr>
                <w:t>.</w:t>
              </w:r>
            </w:hyperlink>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340" w:type="dxa"/>
            <w:vAlign w:val="bottom"/>
          </w:tcPr>
          <w:p>
            <w:pPr>
              <w:ind w:left="3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3.</w:t>
              </w:r>
            </w:hyperlink>
          </w:p>
        </w:tc>
        <w:tc>
          <w:tcPr>
            <w:tcW w:w="9100" w:type="dxa"/>
            <w:vAlign w:val="bottom"/>
            <w:gridSpan w:val="5"/>
          </w:tcPr>
          <w:p>
            <w:pPr>
              <w:spacing w:after="0"/>
              <w:rPr>
                <w:rFonts w:ascii="Arial" w:cs="Arial" w:eastAsia="Arial" w:hAnsi="Arial"/>
                <w:sz w:val="18"/>
                <w:szCs w:val="18"/>
                <w:color w:val="0000EE"/>
              </w:rPr>
            </w:pPr>
            <w:hyperlink w:anchor="page55">
              <w:r>
                <w:rPr>
                  <w:rFonts w:ascii="Arial" w:cs="Arial" w:eastAsia="Arial" w:hAnsi="Arial"/>
                  <w:sz w:val="18"/>
                  <w:szCs w:val="18"/>
                  <w:u w:val="single" w:color="auto"/>
                  <w:color w:val="0000EE"/>
                </w:rPr>
                <w:t>Defaults Upon Senior Securities</w:t>
              </w:r>
              <w:r>
                <w:rPr>
                  <w:rFonts w:ascii="Arial" w:cs="Arial" w:eastAsia="Arial" w:hAnsi="Arial"/>
                  <w:sz w:val="18"/>
                  <w:szCs w:val="18"/>
                  <w:color w:val="0000EE"/>
                </w:rPr>
                <w:t>.</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340" w:type="dxa"/>
            <w:vAlign w:val="bottom"/>
            <w:shd w:val="clear" w:color="auto" w:fill="CCEEFF"/>
          </w:tcPr>
          <w:p>
            <w:pPr>
              <w:ind w:left="3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4.</w:t>
              </w:r>
            </w:hyperlink>
          </w:p>
        </w:tc>
        <w:tc>
          <w:tcPr>
            <w:tcW w:w="9100" w:type="dxa"/>
            <w:vAlign w:val="bottom"/>
            <w:gridSpan w:val="5"/>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Mine Safety Disclosures.</w:t>
              </w:r>
            </w:hyperlink>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340" w:type="dxa"/>
            <w:vAlign w:val="bottom"/>
          </w:tcPr>
          <w:p>
            <w:pPr>
              <w:ind w:left="3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5.</w:t>
              </w:r>
            </w:hyperlink>
          </w:p>
        </w:tc>
        <w:tc>
          <w:tcPr>
            <w:tcW w:w="9100" w:type="dxa"/>
            <w:vAlign w:val="bottom"/>
            <w:gridSpan w:val="5"/>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Other Information.</w:t>
              </w:r>
            </w:hyperlink>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1340" w:type="dxa"/>
            <w:vAlign w:val="bottom"/>
            <w:shd w:val="clear" w:color="auto" w:fill="CCEEFF"/>
          </w:tcPr>
          <w:p>
            <w:pPr>
              <w:ind w:left="3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6.</w:t>
              </w:r>
            </w:hyperlink>
          </w:p>
        </w:tc>
        <w:tc>
          <w:tcPr>
            <w:tcW w:w="9100" w:type="dxa"/>
            <w:vAlign w:val="bottom"/>
            <w:gridSpan w:val="5"/>
            <w:shd w:val="clear" w:color="auto" w:fill="CCEEFF"/>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Exhibits.</w:t>
              </w:r>
            </w:hyperlink>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4"/>
        </w:trPr>
        <w:tc>
          <w:tcPr>
            <w:tcW w:w="1340" w:type="dxa"/>
            <w:vAlign w:val="bottom"/>
          </w:tcPr>
          <w:p>
            <w:pPr>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SIGNATURES</w:t>
              </w:r>
            </w:hyperlink>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w:t>
            </w:r>
          </w:p>
        </w:tc>
      </w:tr>
    </w:tbl>
    <w:p>
      <w:pPr>
        <w:spacing w:after="0" w:line="15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Quarterly Report on Form 10-Q includes our trademarks, trade names and service marks, such as “ASCENIV</w:t>
      </w:r>
      <w:r>
        <w:rPr>
          <w:rFonts w:ascii="Arial" w:cs="Arial" w:eastAsia="Arial" w:hAnsi="Arial"/>
          <w:sz w:val="32"/>
          <w:szCs w:val="32"/>
          <w:color w:val="auto"/>
          <w:vertAlign w:val="superscript"/>
        </w:rPr>
        <w:t>™</w:t>
      </w:r>
      <w:r>
        <w:rPr>
          <w:rFonts w:ascii="Arial" w:cs="Arial" w:eastAsia="Arial" w:hAnsi="Arial"/>
          <w:sz w:val="20"/>
          <w:szCs w:val="20"/>
          <w:color w:val="auto"/>
        </w:rPr>
        <w:t>,”</w:t>
      </w:r>
    </w:p>
    <w:p>
      <w:pPr>
        <w:ind w:right="140"/>
        <w:spacing w:after="0" w:line="230" w:lineRule="auto"/>
        <w:rPr>
          <w:sz w:val="20"/>
          <w:szCs w:val="20"/>
          <w:color w:val="auto"/>
        </w:rPr>
      </w:pPr>
      <w:r>
        <w:rPr>
          <w:rFonts w:ascii="Arial" w:cs="Arial" w:eastAsia="Arial" w:hAnsi="Arial"/>
          <w:sz w:val="19"/>
          <w:szCs w:val="19"/>
          <w:color w:val="auto"/>
        </w:rPr>
        <w:t>“Nabi-HB</w:t>
      </w:r>
      <w:r>
        <w:rPr>
          <w:rFonts w:ascii="Arial" w:cs="Arial" w:eastAsia="Arial" w:hAnsi="Arial"/>
          <w:sz w:val="30"/>
          <w:szCs w:val="30"/>
          <w:color w:val="auto"/>
          <w:vertAlign w:val="superscript"/>
        </w:rPr>
        <w:t>®</w:t>
      </w:r>
      <w:r>
        <w:rPr>
          <w:rFonts w:ascii="Arial" w:cs="Arial" w:eastAsia="Arial" w:hAnsi="Arial"/>
          <w:sz w:val="19"/>
          <w:szCs w:val="19"/>
          <w:color w:val="auto"/>
        </w:rPr>
        <w:t>” and “BIVIGAM</w:t>
      </w:r>
      <w:r>
        <w:rPr>
          <w:rFonts w:ascii="Arial" w:cs="Arial" w:eastAsia="Arial" w:hAnsi="Arial"/>
          <w:sz w:val="30"/>
          <w:szCs w:val="30"/>
          <w:color w:val="auto"/>
          <w:vertAlign w:val="superscript"/>
        </w:rPr>
        <w:t>®</w:t>
      </w:r>
      <w:r>
        <w:rPr>
          <w:rFonts w:ascii="Arial" w:cs="Arial" w:eastAsia="Arial" w:hAnsi="Arial"/>
          <w:sz w:val="19"/>
          <w:szCs w:val="19"/>
          <w:color w:val="auto"/>
        </w:rPr>
        <w:t>,” which are protected under applicable intellectual property laws and are the property of ADMA Biologics, Inc., or its subsidiaries. Solely for convenience, trademarks, trade names and service marks referred to in this report</w:t>
      </w:r>
    </w:p>
    <w:p>
      <w:pPr>
        <w:ind w:right="120"/>
        <w:spacing w:after="0" w:line="250" w:lineRule="auto"/>
        <w:rPr>
          <w:sz w:val="20"/>
          <w:szCs w:val="20"/>
          <w:color w:val="auto"/>
        </w:rPr>
      </w:pPr>
      <w:r>
        <w:rPr>
          <w:rFonts w:ascii="Arial" w:cs="Arial" w:eastAsia="Arial" w:hAnsi="Arial"/>
          <w:sz w:val="19"/>
          <w:szCs w:val="19"/>
          <w:color w:val="auto"/>
        </w:rPr>
        <w:t xml:space="preserve">may appear without the </w:t>
      </w:r>
      <w:r>
        <w:rPr>
          <w:rFonts w:ascii="Arial" w:cs="Arial" w:eastAsia="Arial" w:hAnsi="Arial"/>
          <w:sz w:val="30"/>
          <w:szCs w:val="30"/>
          <w:color w:val="auto"/>
          <w:vertAlign w:val="superscript"/>
        </w:rPr>
        <w:t>®</w:t>
      </w:r>
      <w:r>
        <w:rPr>
          <w:rFonts w:ascii="Arial" w:cs="Arial" w:eastAsia="Arial" w:hAnsi="Arial"/>
          <w:sz w:val="19"/>
          <w:szCs w:val="19"/>
          <w:color w:val="auto"/>
        </w:rPr>
        <w:t xml:space="preserve">, </w:t>
      </w:r>
      <w:r>
        <w:rPr>
          <w:rFonts w:ascii="Arial" w:cs="Arial" w:eastAsia="Arial" w:hAnsi="Arial"/>
          <w:sz w:val="30"/>
          <w:szCs w:val="30"/>
          <w:color w:val="auto"/>
          <w:vertAlign w:val="superscript"/>
        </w:rPr>
        <w:t>™</w:t>
      </w:r>
      <w:r>
        <w:rPr>
          <w:rFonts w:ascii="Arial" w:cs="Arial" w:eastAsia="Arial" w:hAnsi="Arial"/>
          <w:sz w:val="19"/>
          <w:szCs w:val="19"/>
          <w:color w:val="auto"/>
        </w:rPr>
        <w:t xml:space="preserve"> or </w:t>
      </w:r>
      <w:r>
        <w:rPr>
          <w:rFonts w:ascii="Arial" w:cs="Arial" w:eastAsia="Arial" w:hAnsi="Arial"/>
          <w:sz w:val="30"/>
          <w:szCs w:val="30"/>
          <w:color w:val="auto"/>
          <w:vertAlign w:val="superscript"/>
        </w:rPr>
        <w:t>SM</w:t>
      </w:r>
      <w:r>
        <w:rPr>
          <w:rFonts w:ascii="Arial" w:cs="Arial" w:eastAsia="Arial" w:hAnsi="Arial"/>
          <w:sz w:val="19"/>
          <w:szCs w:val="19"/>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39" w:lineRule="exact"/>
        <w:rPr>
          <w:sz w:val="20"/>
          <w:szCs w:val="20"/>
          <w:color w:val="auto"/>
        </w:rPr>
      </w:pPr>
    </w:p>
    <w:p>
      <w:pPr>
        <w:ind w:right="180" w:firstLine="607"/>
        <w:spacing w:after="0"/>
        <w:rPr>
          <w:sz w:val="20"/>
          <w:szCs w:val="20"/>
          <w:color w:val="auto"/>
        </w:rPr>
      </w:pPr>
      <w:r>
        <w:rPr>
          <w:rFonts w:ascii="Arial" w:cs="Arial" w:eastAsia="Arial" w:hAnsi="Arial"/>
          <w:sz w:val="22"/>
          <w:szCs w:val="22"/>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220" w:lineRule="exact"/>
        <w:rPr>
          <w:sz w:val="20"/>
          <w:szCs w:val="20"/>
          <w:color w:val="auto"/>
        </w:rPr>
      </w:pPr>
    </w:p>
    <w:p>
      <w:pPr>
        <w:ind w:left="900" w:right="2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on a commercial scale and commercialize this product as a result of the approval of the Prior Approval Supplement for BIVIGAM by the U.S. Food and Drug Administration (the “FDA”) on May 9, 2019;</w:t>
      </w:r>
    </w:p>
    <w:p>
      <w:pPr>
        <w:spacing w:after="0" w:line="197" w:lineRule="exact"/>
        <w:rPr>
          <w:rFonts w:ascii="Arial" w:cs="Arial" w:eastAsia="Arial" w:hAnsi="Arial"/>
          <w:sz w:val="18"/>
          <w:szCs w:val="18"/>
          <w:color w:val="auto"/>
        </w:rPr>
      </w:pPr>
    </w:p>
    <w:p>
      <w:pPr>
        <w:ind w:left="900" w:right="24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ASCENIV on a commercial scale and commercialize this product as a result of the FDA approval of ASCENIV’s Biologics License Application on April 1, 2019;</w:t>
      </w:r>
    </w:p>
    <w:p>
      <w:pPr>
        <w:spacing w:after="0" w:line="197" w:lineRule="exact"/>
        <w:rPr>
          <w:rFonts w:ascii="Arial" w:cs="Arial" w:eastAsia="Arial" w:hAnsi="Arial"/>
          <w:sz w:val="18"/>
          <w:szCs w:val="18"/>
          <w:color w:val="auto"/>
        </w:rPr>
      </w:pPr>
    </w:p>
    <w:p>
      <w:pPr>
        <w:ind w:left="900" w:right="64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97" w:lineRule="exact"/>
        <w:rPr>
          <w:rFonts w:ascii="Arial" w:cs="Arial" w:eastAsia="Arial" w:hAnsi="Arial"/>
          <w:sz w:val="18"/>
          <w:szCs w:val="18"/>
          <w:color w:val="auto"/>
        </w:rPr>
      </w:pPr>
    </w:p>
    <w:p>
      <w:pPr>
        <w:ind w:left="900" w:right="36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97" w:lineRule="exact"/>
        <w:rPr>
          <w:rFonts w:ascii="Arial" w:cs="Arial" w:eastAsia="Arial" w:hAnsi="Arial"/>
          <w:sz w:val="18"/>
          <w:szCs w:val="18"/>
          <w:color w:val="auto"/>
        </w:rPr>
      </w:pPr>
    </w:p>
    <w:p>
      <w:pPr>
        <w:ind w:left="900" w:right="24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97"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52"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have addressed the delays experienced with final drug product GMP release testing by our third-party vendors by adding additional release testing laboratories to our FDA-approved consortium listed in our drug approval documents;</w:t>
      </w:r>
    </w:p>
    <w:p>
      <w:pPr>
        <w:sectPr>
          <w:pgSz w:w="11900" w:h="16909" w:orient="portrait"/>
          <w:cols w:equalWidth="0" w:num="1">
            <w:col w:w="11240"/>
          </w:cols>
          <w:pgMar w:left="320" w:top="1314" w:right="339" w:bottom="0" w:gutter="0" w:footer="0" w:header="0"/>
        </w:sectPr>
      </w:pPr>
    </w:p>
    <w:bookmarkStart w:id="2" w:name="page3"/>
    <w:bookmarkEnd w:id="2"/>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52" w:lineRule="exact"/>
        <w:rPr>
          <w:rFonts w:ascii="Arial" w:cs="Arial" w:eastAsia="Arial" w:hAnsi="Arial"/>
          <w:sz w:val="18"/>
          <w:szCs w:val="18"/>
          <w:color w:val="auto"/>
        </w:rPr>
      </w:pPr>
    </w:p>
    <w:p>
      <w:pPr>
        <w:ind w:left="900" w:right="52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and reliance on third-party supply agreements as well as any extensions to such agreements;</w:t>
      </w:r>
    </w:p>
    <w:p>
      <w:pPr>
        <w:spacing w:after="0" w:line="197"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52"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52" w:lineRule="exact"/>
        <w:rPr>
          <w:rFonts w:ascii="Arial" w:cs="Arial" w:eastAsia="Arial" w:hAnsi="Arial"/>
          <w:sz w:val="18"/>
          <w:szCs w:val="18"/>
          <w:color w:val="auto"/>
        </w:rPr>
      </w:pPr>
    </w:p>
    <w:p>
      <w:pPr>
        <w:ind w:left="900" w:right="6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Nabi-HB, BIVIGAM and ASCENIV, for any purpose, including FDA-approved indications, by physicians, patients or payers;</w:t>
      </w:r>
    </w:p>
    <w:p>
      <w:pPr>
        <w:spacing w:after="0" w:line="197"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52"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97"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52" w:lineRule="exact"/>
        <w:rPr>
          <w:rFonts w:ascii="Arial" w:cs="Arial" w:eastAsia="Arial" w:hAnsi="Arial"/>
          <w:sz w:val="18"/>
          <w:szCs w:val="18"/>
          <w:color w:val="auto"/>
        </w:rPr>
      </w:pPr>
    </w:p>
    <w:p>
      <w:pPr>
        <w:ind w:left="900" w:right="180" w:hanging="447"/>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products to other comparably run hyperimmune and immune globulin clinical trials;</w:t>
      </w:r>
    </w:p>
    <w:p>
      <w:pPr>
        <w:spacing w:after="0" w:line="197" w:lineRule="exact"/>
        <w:rPr>
          <w:rFonts w:ascii="Arial" w:cs="Arial" w:eastAsia="Arial" w:hAnsi="Arial"/>
          <w:sz w:val="18"/>
          <w:szCs w:val="18"/>
          <w:color w:val="auto"/>
        </w:rPr>
      </w:pPr>
    </w:p>
    <w:p>
      <w:pPr>
        <w:jc w:val="both"/>
        <w:ind w:left="900" w:hanging="447"/>
        <w:spacing w:after="0" w:line="2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ASCENIV and BIVIGAM to provide meaningful clinical improvement for patients living with Primary Immune Deficiency Disease, Primary Humoral Immunodeficiency Disease (“PIDD” or “PI”)or other immune deficiencies or any other condition for which the products may be prescribed or evaluated;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900" w:right="4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97" w:lineRule="exact"/>
        <w:rPr>
          <w:rFonts w:ascii="Arial" w:cs="Arial" w:eastAsia="Arial" w:hAnsi="Arial"/>
          <w:sz w:val="18"/>
          <w:szCs w:val="18"/>
          <w:color w:val="auto"/>
        </w:rPr>
      </w:pPr>
    </w:p>
    <w:p>
      <w:pPr>
        <w:ind w:left="900" w:right="24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97"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52" w:lineRule="exact"/>
        <w:rPr>
          <w:rFonts w:ascii="Arial" w:cs="Arial" w:eastAsia="Arial" w:hAnsi="Arial"/>
          <w:sz w:val="18"/>
          <w:szCs w:val="18"/>
          <w:color w:val="auto"/>
        </w:rPr>
      </w:pPr>
    </w:p>
    <w:p>
      <w:pPr>
        <w:ind w:left="900" w:right="72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the expansion of our manufacturing capacity, yield improvements, supply-chain robustness, distribution and other collaborative agreements and the success of such endeavors;</w:t>
      </w:r>
    </w:p>
    <w:p>
      <w:pPr>
        <w:spacing w:after="0" w:line="197" w:lineRule="exact"/>
        <w:rPr>
          <w:rFonts w:ascii="Arial" w:cs="Arial" w:eastAsia="Arial" w:hAnsi="Arial"/>
          <w:sz w:val="18"/>
          <w:szCs w:val="18"/>
          <w:color w:val="auto"/>
        </w:rPr>
      </w:pPr>
    </w:p>
    <w:p>
      <w:pPr>
        <w:ind w:left="900" w:right="70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revenues, expenses, capital requirements, timing to profitability and the need for and availability of additional financing;</w:t>
      </w:r>
    </w:p>
    <w:p>
      <w:pPr>
        <w:spacing w:after="0" w:line="197"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52" w:lineRule="exact"/>
        <w:rPr>
          <w:rFonts w:ascii="Arial" w:cs="Arial" w:eastAsia="Arial" w:hAnsi="Arial"/>
          <w:sz w:val="18"/>
          <w:szCs w:val="18"/>
          <w:color w:val="auto"/>
        </w:rPr>
      </w:pPr>
    </w:p>
    <w:p>
      <w:pPr>
        <w:ind w:left="900" w:right="560" w:hanging="447"/>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97" w:lineRule="exact"/>
        <w:rPr>
          <w:rFonts w:ascii="Arial" w:cs="Arial" w:eastAsia="Arial" w:hAnsi="Arial"/>
          <w:sz w:val="18"/>
          <w:szCs w:val="18"/>
          <w:color w:val="auto"/>
        </w:rPr>
      </w:pPr>
    </w:p>
    <w:p>
      <w:pPr>
        <w:ind w:left="900" w:right="20" w:hanging="447"/>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effects of the coronavirus (COVID-19) pandemic on our business, financial condition, liquidity and results of operations, and our ability to continue operations in the same manner as previously conducted prior to the macroeconomic effects of the COVID-19 pandemic;</w:t>
      </w:r>
    </w:p>
    <w:p>
      <w:pPr>
        <w:spacing w:after="0" w:line="173"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domestic and global economic conditions or performance; and</w:t>
      </w:r>
    </w:p>
    <w:p>
      <w:pPr>
        <w:spacing w:after="0" w:line="252" w:lineRule="exact"/>
        <w:rPr>
          <w:rFonts w:ascii="Arial" w:cs="Arial" w:eastAsia="Arial" w:hAnsi="Arial"/>
          <w:sz w:val="18"/>
          <w:szCs w:val="18"/>
          <w:color w:val="auto"/>
        </w:rPr>
      </w:pPr>
    </w:p>
    <w:p>
      <w:pPr>
        <w:ind w:left="900" w:hanging="447"/>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45" w:lineRule="exact"/>
        <w:rPr>
          <w:sz w:val="20"/>
          <w:szCs w:val="20"/>
          <w:color w:val="auto"/>
        </w:rPr>
      </w:pPr>
    </w:p>
    <w:p>
      <w:pPr>
        <w:ind w:right="20" w:firstLine="607"/>
        <w:spacing w:after="0" w:line="272" w:lineRule="auto"/>
        <w:rPr>
          <w:sz w:val="20"/>
          <w:szCs w:val="20"/>
          <w:color w:val="auto"/>
        </w:rPr>
      </w:pPr>
      <w:r>
        <w:rPr>
          <w:rFonts w:ascii="Arial" w:cs="Arial" w:eastAsia="Arial" w:hAnsi="Arial"/>
          <w:sz w:val="19"/>
          <w:szCs w:val="19"/>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2019 and in this Quarterly Report on Form 10-Q for the quarter ended June 30, 2020.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ectPr>
          <w:pgSz w:w="11900" w:h="16838" w:orient="portrait"/>
          <w:cols w:equalWidth="0" w:num="1">
            <w:col w:w="11240"/>
          </w:cols>
          <w:pgMar w:left="320" w:top="368" w:right="339" w:bottom="75"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75,781,122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26,752,135</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6,514,165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3,469,919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56,001,348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53,064,734</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4,693,427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2,533,593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142,990,062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85,820,381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37,373,366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31,741,317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2,801,797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3,159,474</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3,529,509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3,529,509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4,846,834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2,840,044</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191,541,568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127,090,725</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6,909,659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9,174,591</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5,616,666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4,481,395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210,870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229,073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12,880,029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14,027,893</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Senior notes payable, net of discount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81,648,187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68,291,163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2,190,115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2,261,532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Subordinated note payable, net of discount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14,925,760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14,908,053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 net of current portion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2,937,292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1,302,361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80,730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106,574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114,662,113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100,897,576</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$0.0001 par value, 150,000,000 shares authorized, 86,349,981 and 59,318,355 shares issued and</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381,010,696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290,903,772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(304,139,876)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(264,716,555)</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76,879,455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26,193,149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191,541,568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127,090,725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60"/>
        <w:spacing w:after="0" w:line="243" w:lineRule="auto"/>
        <w:rPr>
          <w:sz w:val="20"/>
          <w:szCs w:val="20"/>
          <w:color w:val="auto"/>
        </w:rPr>
      </w:pPr>
      <w:r>
        <w:rPr>
          <w:rFonts w:ascii="Arial" w:cs="Arial" w:eastAsia="Arial" w:hAnsi="Arial"/>
          <w:sz w:val="22"/>
          <w:szCs w:val="22"/>
          <w:b w:val="1"/>
          <w:bCs w:val="1"/>
          <w:color w:val="auto"/>
        </w:rPr>
        <w:t>ADMA BIOLOGICS, INC. AND SUBSIDIARIES CONDENSED CONSOLIDATED STATEMENTS OF OPERATIONS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6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Three Months Ended June 30,</w:t>
            </w:r>
          </w:p>
        </w:tc>
        <w:tc>
          <w:tcPr>
            <w:tcW w:w="2540" w:type="dxa"/>
            <w:vAlign w:val="bottom"/>
            <w:gridSpan w:val="4"/>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7,751,885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6,525,233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  17,915,921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10,018,114</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License revenue</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35,709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35,709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71,417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71,417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7,787,594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6,560,942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17,987,338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10,089,531</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w w:val="98"/>
              </w:rPr>
              <w:t>Cost of product revenue (exclusive of amortization expense shown below)</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13,495,629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10,491,236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30,324,855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19,896,415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1,656,420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516,986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3,185,158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1,387,621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Plasma center operating expenses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877,902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594,113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1,378,546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1,248,599</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357,676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422,469</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8,702,630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6,086,047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16,634,714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11,681,517</w:t>
            </w: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24,911,419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17,899,616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51,880,949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34,636,621</w:t>
            </w:r>
          </w:p>
        </w:tc>
      </w:tr>
      <w:tr>
        <w:trPr>
          <w:trHeight w:val="210"/>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(17,123,825)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(11,338,674)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(33,893,611)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(24,547,090)</w:t>
            </w:r>
          </w:p>
        </w:tc>
      </w:tr>
      <w:tr>
        <w:trPr>
          <w:trHeight w:val="209"/>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209,808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267,479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337,207</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(3,067,306)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(2,072,578)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(5,784,397)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(3,613,085)</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(9,962,495)</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transfer of plasma center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11,527,421</w:t>
            </w: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(6,371)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(10,428)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(12,792)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(21,785)</w:t>
            </w: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Other expense,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(3,054,266)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(1,873,198)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(5,529,710)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(1,732,737)</w:t>
            </w:r>
          </w:p>
        </w:tc>
      </w:tr>
      <w:tr>
        <w:trPr>
          <w:trHeight w:val="209"/>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(20,178,091)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(13,211,872)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(39,423,321)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(26,279,827)</w:t>
            </w:r>
          </w:p>
        </w:tc>
      </w:tr>
      <w:tr>
        <w:trPr>
          <w:trHeight w:val="197"/>
        </w:trPr>
        <w:tc>
          <w:tcPr>
            <w:tcW w:w="60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r>
      <w:tr>
        <w:trPr>
          <w:trHeight w:val="197"/>
        </w:trPr>
        <w:tc>
          <w:tcPr>
            <w:tcW w:w="60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b w:val="1"/>
                <w:bCs w:val="1"/>
                <w:color w:val="auto"/>
              </w:rPr>
              <w:t>Basic and Diluted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86,347,467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52,206,204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80,064,641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49,295,805</w:t>
            </w:r>
          </w:p>
        </w:tc>
      </w:tr>
      <w:tr>
        <w:trPr>
          <w:trHeight w:val="20"/>
        </w:trPr>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w:t>
      </w:r>
    </w:p>
    <w:p>
      <w:pPr>
        <w:jc w:val="center"/>
        <w:ind w:right="40"/>
        <w:spacing w:after="0" w:line="230" w:lineRule="auto"/>
        <w:rPr>
          <w:sz w:val="20"/>
          <w:szCs w:val="20"/>
          <w:color w:val="auto"/>
        </w:rPr>
      </w:pPr>
      <w:r>
        <w:rPr>
          <w:rFonts w:ascii="Arial" w:cs="Arial" w:eastAsia="Arial" w:hAnsi="Arial"/>
          <w:sz w:val="22"/>
          <w:szCs w:val="22"/>
          <w:b w:val="1"/>
          <w:bCs w:val="1"/>
          <w:color w:val="auto"/>
        </w:rPr>
        <w:t>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640" w:type="dxa"/>
            <w:vAlign w:val="bottom"/>
            <w:gridSpan w:val="5"/>
            <w:vMerge w:val="restart"/>
          </w:tcPr>
          <w:p>
            <w:pPr>
              <w:jc w:val="right"/>
              <w:ind w:right="8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19"/>
                <w:szCs w:val="19"/>
                <w:color w:val="auto"/>
              </w:rPr>
            </w:pPr>
          </w:p>
        </w:tc>
        <w:tc>
          <w:tcPr>
            <w:tcW w:w="264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59,318,355</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290,903,772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(264,716,555)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26,193,149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676,548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676,548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27,025,000</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88,701,336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88,704,039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(19,245,230)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(19,245,230)</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100" w:type="dxa"/>
            <w:vAlign w:val="bottom"/>
          </w:tcPr>
          <w:p>
            <w:pPr>
              <w:jc w:val="right"/>
              <w:spacing w:after="0"/>
              <w:rPr>
                <w:sz w:val="20"/>
                <w:szCs w:val="20"/>
                <w:color w:val="auto"/>
              </w:rPr>
            </w:pPr>
            <w:r>
              <w:rPr>
                <w:rFonts w:ascii="Arial" w:cs="Arial" w:eastAsia="Arial" w:hAnsi="Arial"/>
                <w:sz w:val="18"/>
                <w:szCs w:val="18"/>
                <w:color w:val="auto"/>
              </w:rPr>
              <w:t>86,345,313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8,635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380,288,833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(283,961,785)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96,335,683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715,608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715,608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6,255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(20,178,091)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(20,178,091)</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100" w:type="dxa"/>
            <w:vAlign w:val="bottom"/>
          </w:tcPr>
          <w:p>
            <w:pPr>
              <w:jc w:val="right"/>
              <w:spacing w:after="0"/>
              <w:rPr>
                <w:sz w:val="20"/>
                <w:szCs w:val="20"/>
                <w:color w:val="auto"/>
              </w:rPr>
            </w:pPr>
            <w:r>
              <w:rPr>
                <w:rFonts w:ascii="Arial" w:cs="Arial" w:eastAsia="Arial" w:hAnsi="Arial"/>
                <w:sz w:val="18"/>
                <w:szCs w:val="18"/>
                <w:color w:val="auto"/>
              </w:rPr>
              <w:t>86,349,981</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8,635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381,010,696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(304,139,876)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76,879,455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700" w:type="dxa"/>
            <w:vAlign w:val="bottom"/>
            <w:gridSpan w:val="9"/>
          </w:tcPr>
          <w:p>
            <w:pPr>
              <w:ind w:left="3640"/>
              <w:spacing w:after="0"/>
              <w:rPr>
                <w:sz w:val="20"/>
                <w:szCs w:val="20"/>
                <w:color w:val="auto"/>
              </w:rPr>
            </w:pPr>
            <w:r>
              <w:rPr>
                <w:rFonts w:ascii="Arial" w:cs="Arial" w:eastAsia="Arial" w:hAnsi="Arial"/>
                <w:sz w:val="18"/>
                <w:szCs w:val="18"/>
                <w:b w:val="1"/>
                <w:bCs w:val="1"/>
                <w:color w:val="auto"/>
              </w:rPr>
              <w:t>For the Three and Six Months Ended June 30, 2019</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740" w:type="dxa"/>
            <w:vAlign w:val="bottom"/>
          </w:tcPr>
          <w:p>
            <w:pPr>
              <w:spacing w:after="0"/>
              <w:rPr>
                <w:sz w:val="24"/>
                <w:szCs w:val="24"/>
                <w:color w:val="auto"/>
              </w:rPr>
            </w:pPr>
          </w:p>
        </w:tc>
        <w:tc>
          <w:tcPr>
            <w:tcW w:w="2640" w:type="dxa"/>
            <w:vAlign w:val="bottom"/>
            <w:gridSpan w:val="5"/>
            <w:vMerge w:val="restart"/>
          </w:tcPr>
          <w:p>
            <w:pPr>
              <w:jc w:val="right"/>
              <w:ind w:right="8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19"/>
                <w:szCs w:val="19"/>
                <w:color w:val="auto"/>
              </w:rPr>
            </w:pPr>
          </w:p>
        </w:tc>
        <w:tc>
          <w:tcPr>
            <w:tcW w:w="264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46,353,068</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236,203,041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(216,437,238)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19,770,438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637,263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637,263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connection with note payable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2,699,208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2,699,208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(13,067,955)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(13,067,955)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46,353,068</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239,539,512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(229,505,193)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10,038,954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27,238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75,045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75,048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12,937,500</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48,395,794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48,397,088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Warrants issued in connection with note payable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879,907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879,907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726,736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726,736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(13,211,872)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(13,211,872)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59,317,806</w:t>
            </w:r>
          </w:p>
        </w:tc>
        <w:tc>
          <w:tcPr>
            <w:tcW w:w="22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289,616,994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(242,717,065)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46,905,861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2">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0" w:gutter="0" w:footer="0" w:header="0"/>
          <w:type w:val="continuous"/>
        </w:sectPr>
      </w:pPr>
    </w:p>
    <w:bookmarkStart w:id="5" w:name="page6"/>
    <w:bookmarkEnd w:id="5"/>
    <w:p>
      <w:pPr>
        <w:jc w:val="center"/>
        <w:spacing w:after="0" w:line="243" w:lineRule="auto"/>
        <w:rPr>
          <w:sz w:val="20"/>
          <w:szCs w:val="20"/>
          <w:color w:val="auto"/>
        </w:rPr>
      </w:pPr>
      <w:r>
        <w:rPr>
          <w:rFonts w:ascii="Arial" w:cs="Arial" w:eastAsia="Arial" w:hAnsi="Arial"/>
          <w:sz w:val="22"/>
          <w:szCs w:val="22"/>
          <w:b w:val="1"/>
          <w:bCs w:val="1"/>
          <w:color w:val="auto"/>
        </w:rPr>
        <w:t>ADMA BIOLOGICS, INC. AND SUBSIDIARIES CONDENSED CONSOLIDATED STATEMENTS OF CASH FLOWS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9"/>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(39,423,321)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(26,279,827)</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1,674,490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1,611,422</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8,788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1,363,999</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Gain on transfer of plasma center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(11,527,421)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340,481</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9,962,495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license revenue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(71,417)</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 net of acquisition: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(3,044,246)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(3,694,222)</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(2,936,614)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(5,175,148)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(2,159,834)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163,747</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(283,195)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118,832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(2,264,932)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887,753</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399,295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(529,589)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and non-current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(91,029)</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(45,931,435)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(32,911,136)</w:t>
            </w: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(6,243,284)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(245,675)</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(6,241,284)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(245,675)</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(30,000,000)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end of term fee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Payment of debt refinancing fees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(6,499,867)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note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72,500,000</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(1,679,661)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common stock, net of offering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88,704,039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48,397,088</w:t>
            </w:r>
          </w:p>
        </w:tc>
        <w:tc>
          <w:tcPr>
            <w:tcW w:w="0" w:type="dxa"/>
            <w:vAlign w:val="bottom"/>
          </w:tcPr>
          <w:p>
            <w:pPr>
              <w:spacing w:after="0"/>
              <w:rPr>
                <w:sz w:val="1"/>
                <w:szCs w:val="1"/>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75,048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finance lease obligations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(14,740)</w:t>
            </w:r>
          </w:p>
        </w:tc>
        <w:tc>
          <w:tcPr>
            <w:tcW w:w="0" w:type="dxa"/>
            <w:vAlign w:val="bottom"/>
          </w:tcPr>
          <w:p>
            <w:pPr>
              <w:spacing w:after="0"/>
              <w:rPr>
                <w:sz w:val="1"/>
                <w:szCs w:val="1"/>
                <w:color w:val="auto"/>
              </w:rPr>
            </w:pPr>
          </w:p>
        </w:tc>
      </w:tr>
      <w:tr>
        <w:trPr>
          <w:trHeight w:val="210"/>
        </w:trPr>
        <w:tc>
          <w:tcPr>
            <w:tcW w:w="870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101,201,706</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80,017,868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49,028,987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46,861,057</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including restricted cash -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26,752,135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26,754,852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75,781,122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73,615,909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09"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ORGANIZATION AND BUSINESS</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214"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as more fully described below. BTBU had been the Company’s third-party manufacturer for its then-lead pipeline product candidate, ASCENIV, previously referred to as “RI-002.” ADMA BioCenters is the Company’s source plasma collection business with a plasma collection facility located in the U.S., which holds an approved license with the U.S. Food and Drug Administration (the “FDA”).</w:t>
      </w:r>
    </w:p>
    <w:p>
      <w:pPr>
        <w:sectPr>
          <w:pgSz w:w="11900" w:h="16838" w:orient="portrait"/>
          <w:cols w:equalWidth="0" w:num="1">
            <w:col w:w="11240"/>
          </w:cols>
          <w:pgMar w:left="320" w:top="355" w:right="339" w:bottom="0" w:gutter="0" w:footer="0" w:header="0"/>
        </w:sectPr>
      </w:pPr>
    </w:p>
    <w:bookmarkStart w:id="6" w:name="page7"/>
    <w:bookmarkEnd w:id="6"/>
    <w:p>
      <w:pPr>
        <w:ind w:right="80" w:firstLine="648"/>
        <w:spacing w:after="0" w:line="272" w:lineRule="auto"/>
        <w:rPr>
          <w:sz w:val="20"/>
          <w:szCs w:val="20"/>
          <w:color w:val="auto"/>
        </w:rPr>
      </w:pPr>
      <w:r>
        <w:rPr>
          <w:rFonts w:ascii="Arial" w:cs="Arial" w:eastAsia="Arial" w:hAnsi="Arial"/>
          <w:sz w:val="19"/>
          <w:szCs w:val="19"/>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for the commercial re-launch of the product and commenced the commercial re-launch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88"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On June 6, 2017, ADMA completed the acquisition of certain assets (the “Biotest Assets”) of BTBU, which included the FDA-licensed BIVIGAM and Nabi-HB immunoglobulin products, and an FDA-licensed plasma fractionation manufacturing facility located in Boca Raton, FL (the “Boca Facility”) (the “Biotest Transaction”).</w:t>
      </w:r>
    </w:p>
    <w:p>
      <w:pPr>
        <w:spacing w:after="0" w:line="21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As of June 30, 2020, the Company had working capital of $130.1 million, including $75.8 million of cash and cash equivalents. Based upon the Company’s current projected revenue and expenditures, including capital expenditures and continued implementation of the Company’s commercialization and expansion activities, as well as certain other assumptions, the Company’s management currently believes that its cash, cash equivalents, projected revenue and accounts receivable will be sufficient to fund ADMA’s operations, as currently conducted, into the second quarter of 2021. In order to have sufficient cash to fund its operations thereafter, the Company anticipates it will need to raise additional capital before the end of the second quarter of 2021. These estimates may change based upon several factors, including the success of the Company’s commercial sales of its products, manufacturing ramp-up activities, the acceptability of ADMA’s immune globulin products by physicians, patients or payers and the various financing options that may be available to the Company. In addition, the Company’s end-to-end production cycle from procurement of raw materials to commercial release of finished product can take between seven and 12 months, requiring substantial investments in raw material plasma and other manufacturing materials. The Company currently has no firm commitments for additional financing, and there can be no assurance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Due to numerous risks and uncertainties associated with FDA approvals related to the Company’s products or the labeled indications of such products, ongoing compliance requirements and capacity expansion efforts at the Company’s Boca Facility and future commercialization of the Company’s products, including the Company’s ability to obtain adequate quantities of FDA-approved plasma with proper specifications on acceptable terms for use in the Company’s manufacturing process, as well as the additional uncertainties surrounding the COVID-19 pandemic (see Note 9) the Company is unable to estimate with certainty the amounts of increased capital outlays and operating expenditures required to fund its commercial and development activities. The Company’s current estimates may be subject to change as circumstances regarding its business requirements evolve. Failure to secure any necessary financing in a timely manner and on commercially reasonable terms could have a material adverse effect on the Company’s business plan and financial performance and it could be forced to delay or discontinue its commercialization, product development or clinical activities or delay or discontinue the approval efforts for any of the Company’s products or product candidates. The Company has reported cumulative losses since inception in June 2004 through June 30, 2020 of $304.1 million.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191" w:lineRule="exact"/>
        <w:rPr>
          <w:sz w:val="20"/>
          <w:szCs w:val="20"/>
          <w:color w:val="auto"/>
        </w:rPr>
      </w:pPr>
    </w:p>
    <w:p>
      <w:pPr>
        <w:ind w:right="140" w:firstLine="648"/>
        <w:spacing w:after="0" w:line="246" w:lineRule="auto"/>
        <w:rPr>
          <w:sz w:val="20"/>
          <w:szCs w:val="20"/>
          <w:color w:val="auto"/>
        </w:rPr>
      </w:pPr>
      <w:r>
        <w:rPr>
          <w:rFonts w:ascii="Arial" w:cs="Arial" w:eastAsia="Arial" w:hAnsi="Arial"/>
          <w:sz w:val="21"/>
          <w:szCs w:val="21"/>
          <w:color w:val="auto"/>
        </w:rPr>
        <w:t>The Company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the Company’s existing stockholders and, in such event, the market value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There can be no assurance that the Company’s approved products will be commercially viable, or that research and development,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w:t>
      </w:r>
    </w:p>
    <w:p>
      <w:pPr>
        <w:sectPr>
          <w:pgSz w:w="11900" w:h="16838" w:orient="portrait"/>
          <w:cols w:equalWidth="0" w:num="1">
            <w:col w:w="11240"/>
          </w:cols>
          <w:pgMar w:left="320" w:top="361" w:right="339" w:bottom="0" w:gutter="0" w:footer="0" w:header="0"/>
        </w:sectPr>
      </w:pPr>
    </w:p>
    <w:bookmarkStart w:id="7" w:name="page8"/>
    <w:bookmarkEnd w:id="7"/>
    <w:p>
      <w:pPr>
        <w:jc w:val="both"/>
        <w:ind w:right="160"/>
        <w:spacing w:after="0" w:line="329" w:lineRule="auto"/>
        <w:rPr>
          <w:sz w:val="20"/>
          <w:szCs w:val="20"/>
          <w:color w:val="auto"/>
        </w:rPr>
      </w:pPr>
      <w:r>
        <w:rPr>
          <w:rFonts w:ascii="Arial" w:cs="Arial" w:eastAsia="Arial" w:hAnsi="Arial"/>
          <w:sz w:val="19"/>
          <w:szCs w:val="19"/>
          <w:color w:val="auto"/>
        </w:rPr>
        <w:t>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2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Basis of presentation</w:t>
      </w:r>
    </w:p>
    <w:p>
      <w:pPr>
        <w:spacing w:after="0" w:line="23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9"/>
          <w:szCs w:val="19"/>
          <w:color w:val="auto"/>
        </w:rPr>
        <w:t>The accompanying unaudited condensed consolidated financial statements should be read in conjunction with the annual audited consolidated financial statements and notes thereto as of and for the year ended December 31, 2019 included in the Company’s Annual Report on Form 10-K filed with the U.S. Securities and Exchange Commission (the “SEC”) on March 13, 2020.The accompanying consolidated balance sheet as of December 31, 2019 was derived from the audited financial statements for the year ended December 31, 2019.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June 30, 2020 and its results of operations, changes in equity and cash flows for the three and six months ended June 30, 2020.</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During the three and six months ended June 30, 2020 and 2019,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Use of estimates</w:t>
      </w:r>
    </w:p>
    <w:p>
      <w:pPr>
        <w:spacing w:after="0" w:line="233" w:lineRule="exact"/>
        <w:rPr>
          <w:sz w:val="20"/>
          <w:szCs w:val="20"/>
          <w:color w:val="auto"/>
        </w:rPr>
      </w:pPr>
    </w:p>
    <w:p>
      <w:pPr>
        <w:jc w:val="both"/>
        <w:ind w:right="200" w:firstLine="648"/>
        <w:spacing w:after="0" w:line="273" w:lineRule="auto"/>
        <w:rPr>
          <w:sz w:val="20"/>
          <w:szCs w:val="20"/>
          <w:color w:val="auto"/>
        </w:rPr>
      </w:pPr>
      <w:r>
        <w:rPr>
          <w:rFonts w:ascii="Arial" w:cs="Arial" w:eastAsia="Arial" w:hAnsi="Arial"/>
          <w:sz w:val="19"/>
          <w:szCs w:val="19"/>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 w:lineRule="exact"/>
        <w:rPr>
          <w:sz w:val="20"/>
          <w:szCs w:val="20"/>
          <w:color w:val="auto"/>
        </w:rPr>
      </w:pPr>
    </w:p>
    <w:p>
      <w:pPr>
        <w:ind w:right="220"/>
        <w:spacing w:after="0" w:line="233" w:lineRule="auto"/>
        <w:rPr>
          <w:sz w:val="20"/>
          <w:szCs w:val="20"/>
          <w:color w:val="auto"/>
        </w:rPr>
      </w:pPr>
      <w:r>
        <w:rPr>
          <w:rFonts w:ascii="Arial" w:cs="Arial" w:eastAsia="Arial" w:hAnsi="Arial"/>
          <w:sz w:val="22"/>
          <w:szCs w:val="22"/>
          <w:color w:val="auto"/>
        </w:rPr>
        <w:t>Significant estimates include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Fair value of financial instruments</w:t>
      </w:r>
    </w:p>
    <w:p>
      <w:pPr>
        <w:spacing w:after="0" w:line="233" w:lineRule="exact"/>
        <w:rPr>
          <w:sz w:val="20"/>
          <w:szCs w:val="20"/>
          <w:color w:val="auto"/>
        </w:rPr>
      </w:pPr>
    </w:p>
    <w:p>
      <w:pPr>
        <w:ind w:right="120" w:firstLine="648"/>
        <w:spacing w:after="0" w:line="246" w:lineRule="auto"/>
        <w:rPr>
          <w:sz w:val="20"/>
          <w:szCs w:val="20"/>
          <w:color w:val="auto"/>
        </w:rPr>
      </w:pPr>
      <w:r>
        <w:rPr>
          <w:rFonts w:ascii="Arial" w:cs="Arial" w:eastAsia="Arial" w:hAnsi="Arial"/>
          <w:sz w:val="21"/>
          <w:szCs w:val="21"/>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6) approximates fair value due to the variable interest rate on this debt. With respect to the subordinated note payable in the amount of $15.0 million as of June 30, 2020 and December 31, 2019 held by Biotest, a principal stockholder of the Company at the time the note was issued concurrent with an acquisition transaction with an affiliate of such stockholder (see Note 6), the Company has concluded that an estimation of fair value for this note is not practicable.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Accounts receivable</w:t>
      </w:r>
    </w:p>
    <w:p>
      <w:pPr>
        <w:spacing w:after="0" w:line="233"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Accounts receivable is reported at realizable value, net of allowances for contractual credits and doubtful accounts, which are recognized in the period the related revenue is recorded. The Company extends credit to its customers based upon an evaluation of each customer's financial condition and credit history. Evaluations of the financial condition and associated credit risk of customers are performed on an ongoing basis. Based on these evaluations, the Company has concluded that its credit risk is minimal. At June 30, 2020, three customers accounted for an aggregate of 76% of the Company’s total accounts receivable, and at December 31, 2019, two customers accounted for 89% of the Company’s total accounts receivable.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Inventories</w:t>
      </w:r>
    </w:p>
    <w:p>
      <w:pPr>
        <w:sectPr>
          <w:pgSz w:w="11900" w:h="16838" w:orient="portrait"/>
          <w:cols w:equalWidth="0" w:num="1">
            <w:col w:w="11240"/>
          </w:cols>
          <w:pgMar w:left="320" w:top="118" w:right="339" w:bottom="0" w:gutter="0" w:footer="0" w:header="0"/>
        </w:sectPr>
      </w:pPr>
    </w:p>
    <w:bookmarkStart w:id="8" w:name="page9"/>
    <w:bookmarkEnd w:id="8"/>
    <w:p>
      <w:pPr>
        <w:ind w:right="60" w:firstLine="648"/>
        <w:spacing w:after="0" w:line="234" w:lineRule="auto"/>
        <w:rPr>
          <w:sz w:val="20"/>
          <w:szCs w:val="20"/>
          <w:color w:val="auto"/>
        </w:rPr>
      </w:pPr>
      <w:r>
        <w:rPr>
          <w:rFonts w:ascii="Arial" w:cs="Arial" w:eastAsia="Arial" w:hAnsi="Arial"/>
          <w:sz w:val="22"/>
          <w:szCs w:val="22"/>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Due to previous uncertainties surrounding certain prior submissions made to the FDA, all costs related to the production of BIVIGAM and ASCENIV prior to their FDA approval dates of May 9, 2019 and April 1, 2019, respectively, have been charged to cost of product revenue in the accompanying consolidated statements of operations during the period the product was produced. In addition, costs associated with the production of conformance or engineering lots that would not qualify as immediately available for commercial sale are charged to cost of product revenue and not capitalized into inventory.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Goodwill</w:t>
      </w:r>
    </w:p>
    <w:p>
      <w:pPr>
        <w:spacing w:after="0" w:line="233"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Goodwill represents the excess of purchase price over the fair value of net assets acquired by the Company. Goodwill at June 30, 2020 and December 31, 2019 was $3.5 million. All of the Company’s goodwill is attributable to its ADMA BioManufacturing business segment and is related to a 2017acquisition transaction.</w:t>
      </w:r>
    </w:p>
    <w:p>
      <w:pPr>
        <w:spacing w:after="0" w:line="213"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2019 did not result in a goodwill impairment charge, and the Company did not record any impairment charges related to goodwill for the three and six months ended June 30, 2020 and 2019.</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Impairment of long-lived assets</w:t>
      </w:r>
    </w:p>
    <w:p>
      <w:pPr>
        <w:spacing w:after="0" w:line="233"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six months ended June 30, 2020 and 2019, the Company determined that there was no impairment of its long-lived assets.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Revenue recognition</w:t>
      </w:r>
    </w:p>
    <w:p>
      <w:pPr>
        <w:spacing w:after="0" w:line="233"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Revenues for the three and six months ended June 30, 2020 and 2019 are comprised of (i) revenues from the sale of the Company’s immunoglobulin products, ASCENIV, BIVIGAM and Nabi-HB, (ii) product revenues from the sale of human plasma collected through the Company’s Plasma Collection Centers business segment, (iii) contract manufacturing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84"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8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ectPr>
          <w:pgSz w:w="11900" w:h="16838" w:orient="portrait"/>
          <w:cols w:equalWidth="0" w:num="1">
            <w:col w:w="11240"/>
          </w:cols>
          <w:pgMar w:left="320" w:top="118" w:right="339" w:bottom="157" w:gutter="0" w:footer="0" w:header="0"/>
        </w:sectPr>
      </w:pPr>
    </w:p>
    <w:bookmarkStart w:id="9" w:name="page10"/>
    <w:bookmarkEnd w:id="9"/>
    <w:p>
      <w:pPr>
        <w:spacing w:after="0" w:line="84"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For the six months ended June 30, 2020, three customers represented an aggregate of 81% of the Company’s consolidated revenues. For the six months ended June 30, 2019, three customers represented an aggregate of 84% of the Company’s consolidated revenues.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Cost of product revenue</w:t>
      </w:r>
    </w:p>
    <w:p>
      <w:pPr>
        <w:spacing w:after="0" w:line="233" w:lineRule="exact"/>
        <w:rPr>
          <w:sz w:val="20"/>
          <w:szCs w:val="20"/>
          <w:color w:val="auto"/>
        </w:rPr>
      </w:pPr>
    </w:p>
    <w:p>
      <w:pPr>
        <w:ind w:right="600" w:firstLine="648"/>
        <w:spacing w:after="0" w:line="236" w:lineRule="auto"/>
        <w:rPr>
          <w:sz w:val="20"/>
          <w:szCs w:val="20"/>
          <w:color w:val="auto"/>
        </w:rPr>
      </w:pPr>
      <w:r>
        <w:rPr>
          <w:rFonts w:ascii="Arial" w:cs="Arial" w:eastAsia="Arial" w:hAnsi="Arial"/>
          <w:sz w:val="22"/>
          <w:szCs w:val="22"/>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Loss per common share</w:t>
      </w:r>
    </w:p>
    <w:p>
      <w:pPr>
        <w:spacing w:after="0" w:line="233"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as the Company reported a net loss for all periods presented. For the six months ended June 30, 2020 and 2019, the following securities were excluded from the calculation of diluted loss per common share because of their anti-dilutive effects:</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7360" w:type="dxa"/>
            <w:vAlign w:val="bottom"/>
          </w:tcPr>
          <w:p>
            <w:pPr>
              <w:spacing w:after="0"/>
              <w:rPr>
                <w:sz w:val="20"/>
                <w:szCs w:val="20"/>
                <w:color w:val="auto"/>
              </w:rPr>
            </w:pPr>
          </w:p>
        </w:tc>
        <w:tc>
          <w:tcPr>
            <w:tcW w:w="13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6,801,779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5,624,603</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326,000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2,138,160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2,138,160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73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9,265,939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7,762,763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Stock-based compensation</w:t>
      </w:r>
    </w:p>
    <w:p>
      <w:pPr>
        <w:spacing w:after="0" w:line="233"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21"/>
          <w:szCs w:val="21"/>
          <w:i w:val="1"/>
          <w:iCs w:val="1"/>
          <w:color w:val="auto"/>
        </w:rPr>
        <w:t>Improvements to Employee Share-Based Payment Accounting (Topic 718)</w:t>
      </w:r>
      <w:r>
        <w:rPr>
          <w:rFonts w:ascii="Arial" w:cs="Arial" w:eastAsia="Arial" w:hAnsi="Arial"/>
          <w:sz w:val="21"/>
          <w:szCs w:val="21"/>
          <w:color w:val="auto"/>
        </w:rPr>
        <w:t>, the Company has elected not to establish a forfeiture rate, as stock-based compensation expense related to forfeitures of unvested stock options is fully reversed at the time of forfeiture.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Income Taxes</w:t>
      </w:r>
    </w:p>
    <w:p>
      <w:pPr>
        <w:spacing w:after="0" w:line="23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9"/>
          <w:szCs w:val="19"/>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2015 and for previous periods as it relates to the Company’s net operating loss carryforwards.</w:t>
      </w:r>
    </w:p>
    <w:p>
      <w:pPr>
        <w:spacing w:after="0" w:line="179"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June 30, 2020 and</w:t>
      </w:r>
    </w:p>
    <w:p>
      <w:pPr>
        <w:sectPr>
          <w:pgSz w:w="11900" w:h="16922" w:orient="portrait"/>
          <w:cols w:equalWidth="0" w:num="1">
            <w:col w:w="11240"/>
          </w:cols>
          <w:pgMar w:left="320" w:top="118" w:right="339" w:bottom="0" w:gutter="0" w:footer="0" w:header="0"/>
        </w:sectPr>
      </w:pPr>
    </w:p>
    <w:bookmarkStart w:id="10" w:name="page11"/>
    <w:bookmarkEnd w:id="10"/>
    <w:p>
      <w:pPr>
        <w:ind w:right="20"/>
        <w:spacing w:after="0" w:line="251" w:lineRule="auto"/>
        <w:rPr>
          <w:sz w:val="20"/>
          <w:szCs w:val="20"/>
          <w:color w:val="auto"/>
        </w:rPr>
      </w:pPr>
      <w:r>
        <w:rPr>
          <w:rFonts w:ascii="Arial" w:cs="Arial" w:eastAsia="Arial" w:hAnsi="Arial"/>
          <w:sz w:val="22"/>
          <w:szCs w:val="22"/>
          <w:color w:val="auto"/>
        </w:rPr>
        <w:t>December 31, 2019, and during the three and six months ended June 30, 2020 and 2019, the Company recognized no adjustments for uncertain tax positions.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Recent Accounting Pronouncements</w:t>
      </w:r>
    </w:p>
    <w:p>
      <w:pPr>
        <w:spacing w:after="0" w:line="233"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auto"/>
        </w:rPr>
        <w:t xml:space="preserve">In June 2016, the FASB issued ASU No. 2016-13, </w:t>
      </w:r>
      <w:r>
        <w:rPr>
          <w:rFonts w:ascii="Arial" w:cs="Arial" w:eastAsia="Arial" w:hAnsi="Arial"/>
          <w:sz w:val="19"/>
          <w:szCs w:val="19"/>
          <w:i w:val="1"/>
          <w:iCs w:val="1"/>
          <w:color w:val="auto"/>
        </w:rPr>
        <w:t>Financial Instruments – Credit Losses (Topic 326)</w:t>
      </w:r>
      <w:r>
        <w:rPr>
          <w:rFonts w:ascii="Arial" w:cs="Arial" w:eastAsia="Arial" w:hAnsi="Arial"/>
          <w:sz w:val="19"/>
          <w:szCs w:val="19"/>
          <w:color w:val="auto"/>
        </w:rPr>
        <w:t xml:space="preserve"> (“ASU 2016-13”), which requires financial assets to be presented at the net amount expected to be collected, with 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2019.The Company adopted ASU No. 2016-13, and the adoption of this update did not have a significant impact on the Company’s consolidated financial statements.</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 xml:space="preserve">In February 2016, the FASB issued ASU No. 2016-02, </w:t>
      </w:r>
      <w:r>
        <w:rPr>
          <w:rFonts w:ascii="Arial" w:cs="Arial" w:eastAsia="Arial" w:hAnsi="Arial"/>
          <w:sz w:val="19"/>
          <w:szCs w:val="19"/>
          <w:i w:val="1"/>
          <w:iCs w:val="1"/>
          <w:color w:val="auto"/>
        </w:rPr>
        <w:t>Leases (Topic 842)</w:t>
      </w:r>
      <w:r>
        <w:rPr>
          <w:rFonts w:ascii="Arial" w:cs="Arial" w:eastAsia="Arial" w:hAnsi="Arial"/>
          <w:sz w:val="19"/>
          <w:szCs w:val="19"/>
          <w:color w:val="auto"/>
        </w:rPr>
        <w:t xml:space="preserve"> (“ASU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The Company adopted ASU 2016-02 on January 1, 2019 using the option to recognize the cumulative-effect adjustment, if any, as of the date of application, which was also January 1, 2019. The Company recognized right-to-use assets of $1.4 million and corresponding lease liabilities of approximately $1.6 million at the date of adoption (see Note 12). The Company also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all leases that qualify, including the agreement under which the Company occupies certain office space as discussed in Note 8.</w:t>
      </w:r>
    </w:p>
    <w:p>
      <w:pPr>
        <w:spacing w:after="0" w:line="182"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In July 2017, the FASB issued ASU No. 2017-11, Earnings Per Share (Topic 260), </w:t>
      </w:r>
      <w:r>
        <w:rPr>
          <w:rFonts w:ascii="Arial" w:cs="Arial" w:eastAsia="Arial" w:hAnsi="Arial"/>
          <w:sz w:val="19"/>
          <w:szCs w:val="19"/>
          <w:i w:val="1"/>
          <w:iCs w:val="1"/>
          <w:color w:val="auto"/>
        </w:rPr>
        <w:t>Distinguishing Liabilities from Equity</w:t>
      </w:r>
      <w:r>
        <w:rPr>
          <w:rFonts w:ascii="Arial" w:cs="Arial" w:eastAsia="Arial" w:hAnsi="Arial"/>
          <w:sz w:val="19"/>
          <w:szCs w:val="19"/>
          <w:color w:val="auto"/>
        </w:rPr>
        <w:t xml:space="preserve"> </w:t>
      </w:r>
      <w:r>
        <w:rPr>
          <w:rFonts w:ascii="Arial" w:cs="Arial" w:eastAsia="Arial" w:hAnsi="Arial"/>
          <w:sz w:val="19"/>
          <w:szCs w:val="19"/>
          <w:i w:val="1"/>
          <w:iCs w:val="1"/>
          <w:color w:val="auto"/>
        </w:rPr>
        <w:t>(Topic 480), Derivatives and Hedging (Topic 815)</w:t>
      </w:r>
      <w:r>
        <w:rPr>
          <w:rFonts w:ascii="Arial" w:cs="Arial" w:eastAsia="Arial" w:hAnsi="Arial"/>
          <w:sz w:val="19"/>
          <w:szCs w:val="19"/>
          <w:color w:val="auto"/>
        </w:rPr>
        <w:t>” (“ASU 2017-11”). ASU 2017-11 changed the classification analysis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will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“Debt—Debt with Conversion and Other Options.” ASU 2017-11 became effective for the Company on January 1, 2019, and this update did not have a significant impact on the Company’s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3. </w:t>
      </w:r>
      <w:r>
        <w:rPr>
          <w:rFonts w:ascii="Arial" w:cs="Arial" w:eastAsia="Arial" w:hAnsi="Arial"/>
          <w:sz w:val="22"/>
          <w:szCs w:val="22"/>
          <w:b w:val="1"/>
          <w:bCs w:val="1"/>
          <w:u w:val="single" w:color="auto"/>
          <w:color w:val="auto"/>
        </w:rPr>
        <w:t>INVENTORIES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inventories:</w:t>
      </w: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$ 24,830,796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$ 33,381,806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Work-in-progress</w:t>
            </w:r>
          </w:p>
        </w:tc>
        <w:tc>
          <w:tcPr>
            <w:tcW w:w="960" w:type="dxa"/>
            <w:vAlign w:val="bottom"/>
          </w:tcPr>
          <w:p>
            <w:pPr>
              <w:jc w:val="right"/>
              <w:spacing w:after="0"/>
              <w:rPr>
                <w:sz w:val="20"/>
                <w:szCs w:val="20"/>
                <w:color w:val="auto"/>
              </w:rPr>
            </w:pPr>
            <w:r>
              <w:rPr>
                <w:rFonts w:ascii="Arial" w:cs="Arial" w:eastAsia="Arial" w:hAnsi="Arial"/>
                <w:sz w:val="18"/>
                <w:szCs w:val="18"/>
                <w:color w:val="auto"/>
              </w:rPr>
              <w:t>22,066,417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14,455,665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9,104,135</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5,227,263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Total inventories</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$ 56,001,348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$ 53,064,734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34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300" w:firstLine="648"/>
        <w:spacing w:after="0" w:line="252" w:lineRule="auto"/>
        <w:rPr>
          <w:sz w:val="20"/>
          <w:szCs w:val="20"/>
          <w:color w:val="auto"/>
        </w:rPr>
      </w:pPr>
      <w:r>
        <w:rPr>
          <w:rFonts w:ascii="Arial" w:cs="Arial" w:eastAsia="Arial" w:hAnsi="Arial"/>
          <w:sz w:val="21"/>
          <w:szCs w:val="21"/>
          <w:color w:val="auto"/>
        </w:rPr>
        <w:t>Raw materials includes plasma and other materials expected to be used in the production of ASCENIV, BIVIGAM and Nabi-HB, as there are alternative uses for these materials that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ectPr>
          <w:pgSz w:w="11900" w:h="16838"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Work-in-process inventory primarily consists of bulk drug substance and unlabeled filled vials of the Company’s immunoglobulin products. Finished goods inventory is comprised of immunoglobulin product inventory and related intermediates that are available for commercial sale, as well as plasma collected at the Company’s plasma collection center which is expected to be sold to third-party customers.</w:t>
      </w:r>
    </w:p>
    <w:p>
      <w:pPr>
        <w:spacing w:after="0" w:line="206"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INTANGIBLE ASSETS</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Intangible assets at June 30, 2020 and December 31, 2019 consist of the following:</w:t>
      </w: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June 30, 2020</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7"/>
          </w:tcPr>
          <w:p>
            <w:pPr>
              <w:ind w:left="80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1220" w:type="dxa"/>
            <w:vAlign w:val="bottom"/>
            <w:gridSpan w:val="3"/>
          </w:tcPr>
          <w:p>
            <w:pPr>
              <w:ind w:left="18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1240" w:type="dxa"/>
            <w:vAlign w:val="bottom"/>
            <w:gridSpan w:val="3"/>
          </w:tcPr>
          <w:p>
            <w:pPr>
              <w:ind w:left="20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Trademark and other intangible rights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related to Nabi-HB</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$4,100,046</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1,805,973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$2,294,073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1,513,112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$2,586,934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820" w:type="dxa"/>
            <w:vAlign w:val="bottom"/>
          </w:tcPr>
          <w:p>
            <w:pPr>
              <w:jc w:val="right"/>
              <w:spacing w:after="0"/>
              <w:rPr>
                <w:sz w:val="20"/>
                <w:szCs w:val="20"/>
                <w:color w:val="auto"/>
              </w:rPr>
            </w:pPr>
            <w:r>
              <w:rPr>
                <w:rFonts w:ascii="Arial" w:cs="Arial" w:eastAsia="Arial" w:hAnsi="Arial"/>
                <w:sz w:val="18"/>
                <w:szCs w:val="18"/>
                <w:color w:val="auto"/>
              </w:rPr>
              <w:t>907,421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399,697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507,724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907,421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334,881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572,540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1,076,557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1,076,557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1,076,557</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6,084,024</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3,282,227</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2,801,797</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6,084,024</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2,924,550</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3,159,474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right w:val="single" w:sz="8" w:color="auto"/>
            </w:tcBorders>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20" w:firstLine="607"/>
        <w:spacing w:after="0" w:line="238" w:lineRule="auto"/>
        <w:rPr>
          <w:sz w:val="20"/>
          <w:szCs w:val="20"/>
          <w:color w:val="auto"/>
        </w:rPr>
      </w:pPr>
      <w:r>
        <w:rPr>
          <w:rFonts w:ascii="Arial" w:cs="Arial" w:eastAsia="Arial" w:hAnsi="Arial"/>
          <w:sz w:val="22"/>
          <w:szCs w:val="22"/>
          <w:color w:val="auto"/>
        </w:rPr>
        <w:t>All of the Company’s intangible assets were acquired in the Biotest Transaction. Amortization expense related to these intangible assets for the three months ended June 30, 2020 and 2019 was $0.2 million, and amortization expense for the six months ended June 30, 2020 and 2019 was $0.4 million. Estimated aggregate future aggregate amortization expense for the next five years is expected to be as follows: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Remainder of 2020</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   357,676</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2024</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298,065</w:t>
            </w:r>
          </w:p>
        </w:tc>
      </w:tr>
    </w:tbl>
    <w:p>
      <w:pPr>
        <w:spacing w:after="0" w:line="201"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PROPERTY AND EQUIPMENT</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22"/>
          <w:szCs w:val="22"/>
          <w:color w:val="auto"/>
        </w:rPr>
        <w:t>Property and equipment and related accumulated depreciation are summarized as follows:</w:t>
      </w: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June 30,</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31, 2019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9,898,186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Office equipment and computer software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2,220,856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1,690,248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1,400,129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6,672,211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4,285,915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3,011,009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4,339,441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4,339,441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16,869,821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16,063,680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44,411,653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37,466,273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(7,038,287)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(5,724,956)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37,373,366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31,741,317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3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212" w:lineRule="exact"/>
        <w:rPr>
          <w:sz w:val="20"/>
          <w:szCs w:val="20"/>
          <w:color w:val="auto"/>
        </w:rPr>
      </w:pPr>
    </w:p>
    <w:p>
      <w:pPr>
        <w:ind w:firstLine="607"/>
        <w:spacing w:after="0"/>
        <w:rPr>
          <w:sz w:val="20"/>
          <w:szCs w:val="20"/>
          <w:color w:val="auto"/>
        </w:rPr>
      </w:pPr>
      <w:r>
        <w:rPr>
          <w:rFonts w:ascii="Arial" w:cs="Arial" w:eastAsia="Arial" w:hAnsi="Arial"/>
          <w:sz w:val="22"/>
          <w:szCs w:val="22"/>
          <w:color w:val="auto"/>
        </w:rPr>
        <w:t>The Company recorded depreciation expense on property and equipment for the three and six months ended June 30, 2020 of $0.7 million and $1.3 million, respectively. Depreciation expense for the three and six months ended June 30, 2019 was $0.6 million and $1.2 million, respectively.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ectPr>
          <w:pgSz w:w="11900" w:h="16838" w:orient="portrait"/>
          <w:cols w:equalWidth="0" w:num="1">
            <w:col w:w="11220"/>
          </w:cols>
          <w:pgMar w:left="320" w:top="193" w:right="359" w:bottom="8"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2"/>
          <w:szCs w:val="22"/>
          <w:b w:val="1"/>
          <w:bCs w:val="1"/>
          <w:u w:val="single" w:color="auto"/>
          <w:color w:val="auto"/>
        </w:rPr>
        <w:t>DEBT</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Senior Notes Payable</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 summary of outstanding senior notes payable is as follows:</w:t>
      </w: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June 30,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31, 2019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$ 85,000,000</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(3,351,813)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(4,208,837)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Senior notes payable</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$ 81,648,187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$ 68,291,163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34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20" w:firstLine="607"/>
        <w:spacing w:after="0" w:line="269" w:lineRule="auto"/>
        <w:rPr>
          <w:sz w:val="20"/>
          <w:szCs w:val="20"/>
          <w:color w:val="auto"/>
        </w:rPr>
      </w:pPr>
      <w:r>
        <w:rPr>
          <w:rFonts w:ascii="Arial" w:cs="Arial" w:eastAsia="Arial" w:hAnsi="Arial"/>
          <w:sz w:val="19"/>
          <w:szCs w:val="19"/>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up to $27.5 million (the “Perceptive Tranche II Loan”) evidenced by the Company’s issuance of a promissory note (the “Perceptive Tranche II Note”) in favor of Perceptive on May 3, 2019; and (iii) a term loan in the principal amount of up to $12.5 million evidenced by the Company’s issuance of a promissory note (the “Perceptive Tranche</w:t>
      </w:r>
    </w:p>
    <w:p>
      <w:pPr>
        <w:spacing w:after="0" w:line="1" w:lineRule="exact"/>
        <w:rPr>
          <w:sz w:val="20"/>
          <w:szCs w:val="20"/>
          <w:color w:val="auto"/>
        </w:rPr>
      </w:pPr>
    </w:p>
    <w:p>
      <w:pPr>
        <w:ind w:right="20" w:firstLine="8"/>
        <w:spacing w:after="0" w:line="275" w:lineRule="auto"/>
        <w:tabs>
          <w:tab w:leader="none" w:pos="270" w:val="left"/>
        </w:tabs>
        <w:numPr>
          <w:ilvl w:val="0"/>
          <w:numId w:val="10"/>
        </w:numPr>
        <w:rPr>
          <w:rFonts w:ascii="Arial" w:cs="Arial" w:eastAsia="Arial" w:hAnsi="Arial"/>
          <w:sz w:val="19"/>
          <w:szCs w:val="19"/>
          <w:color w:val="auto"/>
        </w:rPr>
      </w:pPr>
      <w:r>
        <w:rPr>
          <w:rFonts w:ascii="Arial" w:cs="Arial" w:eastAsia="Arial" w:hAnsi="Arial"/>
          <w:sz w:val="19"/>
          <w:szCs w:val="19"/>
          <w:color w:val="auto"/>
        </w:rPr>
        <w:t>Note”) in favor of Perceptive on March 20, 2020 (the “Perceptive Tranche III Loan,” and together with the Perceptive Tranche I Loan and the Perceptive Tranche II Loan, the “Perceptive Loans”). The Perceptive Tranche III Loan is the result of an amendment to the Perceptive Credit Agreement (the “Perceptive Amendment”) that the Company and Perceptive entered into on May 3, 2019, and the Perceptive Tranche III Loan became available to the Company upon the approval of BIVIGAM on May 9, 2019. The Perceptive Credit Facility has a maturity date of March 1, 2022 (the “Maturity Date”), subject to acceleration pursuant to the Perceptive Credit Agreement, including upon an Event of Default (as defined in the Perceptive Credit Agreement).</w:t>
      </w:r>
    </w:p>
    <w:p>
      <w:pPr>
        <w:spacing w:after="0" w:line="181"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On the Perceptive Closing Date, the Company used $30.0 million of the Perceptive Tranche I Loan to terminate and pay in full all of the outstanding obligations under its previously existing credit agreement with Marathon Healthcare Finance Fund, L.P. (“Marathon”) (the “Marathon Credit Facility”). The Company also used proceeds from the Perceptive Tranche I Loan to: (i) pay a deferred facility fee to Marathon in the amount of $2.8 million, (ii) pay a prepayment penalty to Marathon in the amount of $6.5 million, (iii) pay outstanding accrued interest to Marathon in the amount of $0.7 million, and (iv) pay certain fees and expenses incurred in connection with the Perceptive Credit Facility of approximately $1.5 million. In addition, Marathon released $4.0 million of cash to the Company that was held in a debt service reserve account per the terms of the Marathon Credit Facility. In connection with the Perceptive Amendment, the Company paid an additional facility fee to Perceptive in the amount of $0.1 million on May 3, 2019.</w:t>
      </w:r>
    </w:p>
    <w:p>
      <w:pPr>
        <w:spacing w:after="0" w:line="211"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As a result of the Company’s entering into the Perceptive Credit Agreement and terminating the Marathon Credit Facility, the Company recognized a loss on the extinguishment of debt for the six months ended June 30, 2019 in the amount of approximately $10.0 million, comprised of the $6.5 million prepayment penalty and the write-off of unamortized debt discount related to the Marathon Credit Facility in the amount of $3.5 million.</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Borrowings under the Perceptive Credit Agreement bear interest at a rate per annum equal to 7.5% plus the greater of (i) one-month LIBOR and (ii) 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Facility.The rate of interest in effect as of the Perceptive Closing Date and at June 30, 2020 was 11.0%.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On the Maturity Date, the Company will pay Perceptive the entire outstanding principal amount underlying the Perceptive Loans and any accrued and unpaid interest thereon. Prior to the Maturity Date, there will be no scheduled principal payments on the Perceptive Loans. The Company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ectPr>
          <w:pgSz w:w="11900" w:h="16838" w:orient="portrait"/>
          <w:cols w:equalWidth="0" w:num="1">
            <w:col w:w="11240"/>
          </w:cols>
          <w:pgMar w:left="320" w:top="112" w:right="339" w:bottom="0" w:gutter="0" w:footer="0" w:header="0"/>
        </w:sectPr>
      </w:pPr>
    </w:p>
    <w:bookmarkStart w:id="13" w:name="page14"/>
    <w:bookmarkEnd w:id="13"/>
    <w:p>
      <w:pPr>
        <w:ind w:right="80" w:firstLine="648"/>
        <w:spacing w:after="0" w:line="271" w:lineRule="auto"/>
        <w:rPr>
          <w:sz w:val="20"/>
          <w:szCs w:val="20"/>
          <w:color w:val="auto"/>
        </w:rPr>
      </w:pPr>
      <w:r>
        <w:rPr>
          <w:rFonts w:ascii="Arial" w:cs="Arial" w:eastAsia="Arial" w:hAnsi="Arial"/>
          <w:sz w:val="19"/>
          <w:szCs w:val="19"/>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 The Perceptive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have the impact of restricting the Company’s ability to make loan repayments under the Perceptive Credit Agreement. In addition, the Company must (i) at all times prior to the Maturity Date maintain a minimum cash balance of $3.0 million; and (ii) as of the last day of each fiscal quarter commencing with the fiscal quarter ended June 30, 2019, report revenues for the trailing 12-month period that exceed the amounts set forth in the Perceptive Credit Agreement, which range from $7.0 million for the fiscal quarter ended June 30, 2019 to $55.0 million for the fiscal quarter ending December 31, 2021. At June 30, 2020, the Company was in compliance with all of the covenants contained in the Perceptive Credit Agreement.</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As consideration for the Perceptive Credit Agreement, the Company issued to Perceptive a warrant to purchase 1,360,000 shares of the Company’s common stock (the “Perceptive Warrant”) on the Perceptive Closing Date. The Perceptive Warrant has an exercise price equal to $3.28 per share, which is equal to the trailing 10-day volume weighted average price (“VWAP”) of the Company’s common stock on the business day immediately prior to the Perceptive Closing Date multiplied by 1.15. The Company valued the Perceptive Warrant at $2.7 million as of the Perceptive Closing Date and it has an expiration date of February 11, 2029. In connection with the Perceptive Amendment, the Company issued an additional warrant (the “Perceptive Tranche III Warrant” and, together with the Perceptive Warrant, the “Perceptive Warrants”) to purchase 250,000 shares of the Company’s common stock to Perceptive with an exercise price equal to $4.64 per share, which represents the trailing 10-day VWAP of the Company’s common stock as of May 2, 2019. The Perceptive Tranche III Warrant was valued by the Company at $0.9 million and has an expiration date of May 3, 2029. Perceptive has represented to the Company, among other things, that it was an “accredited investor” (as such term is defined in Rule 501(a) of Regulation D under the Securities Act) and the Company issued the Perceptive Warrants in reliance upon an exemption from registration contained in Section 4(2) under the Securities Act. The Perceptive Warrants and the shares of common stock issuable thereunder may not be offered, sold, pledged or otherwise transferred in the U.S. absent registration or an applicable exemption from the registration requirements under the Securities Act.</w:t>
      </w:r>
    </w:p>
    <w:p>
      <w:pPr>
        <w:spacing w:after="0" w:line="191"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As a result of the fees paid to Perceptive and the value of the Perceptive Warrants, the Company recognized an aggregate discount on the Perceptive Tranche I Note and Perceptive Tranche II Note in the amount of $5.3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the Perceptive Loans as of May 3, 2019 was approximately 14.1%.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Subordinated Note Payable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summary of the outstanding subordinated note payable is as follows:</w:t>
      </w: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June 30,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31, 2019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 payable to Biotest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$ 15,000,000</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(74,240)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Subordinated note payable</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$ 14,925,760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$ 14,908,053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34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In connection with the acquisition of the Biotest Assets (see Note 1), ADMA BioManufacturing issued a subordinated note payable to BPC and in connection therewith received cash proceeds of $15.0 million. This note has since been assigned from BPC to Biotest AG. The note bears interest at a rate of 6.0% per annum and matures on June 6, 2022.The Company is obligated to make semi-annual interest payments, with all principal and unpaid interest due at maturity. The note is subordinate to all amounts outstanding under the Perceptive Credit Agreement. In the event of default, all principal and unpaid interest is due on demand. The subordinated note also contains several non-financial covenants with which the Company was in compliance as of June 30, 2020.</w:t>
      </w:r>
    </w:p>
    <w:p>
      <w:pPr>
        <w:spacing w:after="0" w:line="212"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STOCKHOLDERS’ EQUITY</w:t>
      </w:r>
    </w:p>
    <w:p>
      <w:pPr>
        <w:sectPr>
          <w:pgSz w:w="11900" w:h="16838" w:orient="portrait"/>
          <w:cols w:equalWidth="0" w:num="1">
            <w:col w:w="11240"/>
          </w:cols>
          <w:pgMar w:left="320" w:top="118" w:right="339" w:bottom="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Preferred Stock</w:t>
      </w:r>
    </w:p>
    <w:p>
      <w:pPr>
        <w:sectPr>
          <w:pgSz w:w="11900" w:h="16838" w:orient="portrait"/>
          <w:cols w:equalWidth="0" w:num="1">
            <w:col w:w="11240"/>
          </w:cols>
          <w:pgMar w:left="320" w:top="118" w:right="339" w:bottom="0" w:gutter="0" w:footer="0" w:header="0"/>
          <w:type w:val="continuous"/>
        </w:sectPr>
      </w:pPr>
    </w:p>
    <w:bookmarkStart w:id="14" w:name="page15"/>
    <w:bookmarkEnd w:id="14"/>
    <w:p>
      <w:pPr>
        <w:spacing w:after="0" w:line="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is currently authorized to issue up to 10 million shares of preferred stock, $0.0001, par value per share.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 were no shares of preferred stock outstanding at June 30, 2020 and December 31, 2019.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Common Stock</w:t>
      </w:r>
    </w:p>
    <w:p>
      <w:pPr>
        <w:spacing w:after="0" w:line="233"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As of June 30, 2020 and December 31, 2019, the Company was authorized to issue 150,000,000 shares of its common stock, $0.0001 par value per share, and 86,349,981 and 59,318,355 shares of common stock were outstanding as of June 30, 2020 and December 31, 2019, respectively. After giving effect to the 9,265,939 shares reserved for outstanding warrants and awards issued under the Company’s equity incentive plans, as of June 30, 2020 there were 54,384,080 shares of common stock available for issuance.</w:t>
      </w:r>
    </w:p>
    <w:p>
      <w:pPr>
        <w:spacing w:after="0" w:line="214"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On February 11, 2020, the Company completed an underwritten public offering of 23,500,000 shares of its common stock for gross proceeds of $82.3 million. On February 21, 2020, the Company sold an additional 3,525,000 shares pursuant to the underwriters’ exercise of their option to purchase additional shares of the Company’s common stock for additional gross proceeds of $12.3 million. The Company received net proceeds, after underwriting discounts and other expenses associated with the offering, of approximately $88.7 million.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Warrants</w:t>
      </w:r>
    </w:p>
    <w:p>
      <w:pPr>
        <w:spacing w:after="0" w:line="233"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At June 30, 2020 and December 31, 2019, the Company had outstanding warrants to purchase an aggregate of 2,138,160 shares of common stock, with a weighted average exercise price of $3.81 per share and expiration dates ranging between June 2022 and May 2029.</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Equity Incentive Plans</w:t>
      </w:r>
    </w:p>
    <w:p>
      <w:pPr>
        <w:spacing w:after="0" w:line="233"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six months ended June 30, 2020 and 2019:</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Six Months Ended June</w:t>
            </w:r>
          </w:p>
        </w:tc>
      </w:tr>
      <w:tr>
        <w:trPr>
          <w:trHeight w:val="234"/>
        </w:trPr>
        <w:tc>
          <w:tcPr>
            <w:tcW w:w="4500" w:type="dxa"/>
            <w:vAlign w:val="bottom"/>
          </w:tcPr>
          <w:p>
            <w:pPr>
              <w:spacing w:after="0"/>
              <w:rPr>
                <w:sz w:val="20"/>
                <w:szCs w:val="20"/>
                <w:color w:val="auto"/>
              </w:rPr>
            </w:pPr>
          </w:p>
        </w:tc>
        <w:tc>
          <w:tcPr>
            <w:tcW w:w="48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18"/>
                <w:szCs w:val="18"/>
                <w:color w:val="auto"/>
              </w:rPr>
            </w:pPr>
          </w:p>
        </w:tc>
      </w:tr>
      <w:tr>
        <w:trPr>
          <w:trHeight w:val="195"/>
        </w:trPr>
        <w:tc>
          <w:tcPr>
            <w:tcW w:w="4500" w:type="dxa"/>
            <w:vAlign w:val="bottom"/>
            <w:shd w:val="clear" w:color="auto" w:fill="CCEEFF"/>
          </w:tcPr>
          <w:p>
            <w:pPr>
              <w:spacing w:after="0"/>
              <w:rPr>
                <w:sz w:val="16"/>
                <w:szCs w:val="16"/>
                <w:color w:val="auto"/>
              </w:rPr>
            </w:pPr>
          </w:p>
        </w:tc>
        <w:tc>
          <w:tcPr>
            <w:tcW w:w="3820" w:type="dxa"/>
            <w:vAlign w:val="bottom"/>
            <w:gridSpan w:val="2"/>
            <w:shd w:val="clear" w:color="auto" w:fill="CCEEFF"/>
          </w:tcPr>
          <w:p>
            <w:pPr>
              <w:jc w:val="center"/>
              <w:ind w:left="2850"/>
              <w:spacing w:after="0" w:line="195" w:lineRule="exact"/>
              <w:rPr>
                <w:sz w:val="20"/>
                <w:szCs w:val="20"/>
                <w:color w:val="auto"/>
              </w:rPr>
            </w:pPr>
            <w:r>
              <w:rPr>
                <w:rFonts w:ascii="Arial" w:cs="Arial" w:eastAsia="Arial" w:hAnsi="Arial"/>
                <w:sz w:val="18"/>
                <w:szCs w:val="18"/>
                <w:color w:val="auto"/>
                <w:w w:val="90"/>
              </w:rPr>
              <w:t>5.5 - 6.3</w:t>
            </w:r>
          </w:p>
        </w:tc>
        <w:tc>
          <w:tcPr>
            <w:tcW w:w="1040" w:type="dxa"/>
            <w:vAlign w:val="bottom"/>
            <w:gridSpan w:val="2"/>
            <w:shd w:val="clear" w:color="auto" w:fill="CCEEFF"/>
          </w:tcPr>
          <w:p>
            <w:pPr>
              <w:jc w:val="center"/>
              <w:ind w:left="70"/>
              <w:spacing w:after="0" w:line="195" w:lineRule="exact"/>
              <w:rPr>
                <w:sz w:val="20"/>
                <w:szCs w:val="20"/>
                <w:color w:val="auto"/>
              </w:rPr>
            </w:pPr>
            <w:r>
              <w:rPr>
                <w:rFonts w:ascii="Arial" w:cs="Arial" w:eastAsia="Arial" w:hAnsi="Arial"/>
                <w:sz w:val="18"/>
                <w:szCs w:val="18"/>
                <w:color w:val="auto"/>
                <w:w w:val="90"/>
              </w:rPr>
              <w:t>5.8 - 6.3</w:t>
            </w:r>
          </w:p>
        </w:tc>
        <w:tc>
          <w:tcPr>
            <w:tcW w:w="180" w:type="dxa"/>
            <w:vAlign w:val="bottom"/>
            <w:shd w:val="clear" w:color="auto" w:fill="CCEEFF"/>
          </w:tcPr>
          <w:p>
            <w:pPr>
              <w:spacing w:after="0"/>
              <w:rPr>
                <w:sz w:val="16"/>
                <w:szCs w:val="16"/>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960" w:type="dxa"/>
            <w:vAlign w:val="bottom"/>
            <w:shd w:val="clear" w:color="auto" w:fill="CCEEFF"/>
          </w:tcPr>
          <w:p>
            <w:pPr>
              <w:spacing w:after="0"/>
              <w:rPr>
                <w:sz w:val="20"/>
                <w:szCs w:val="20"/>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years</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years</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Volatility</w:t>
            </w:r>
          </w:p>
        </w:tc>
        <w:tc>
          <w:tcPr>
            <w:tcW w:w="3820" w:type="dxa"/>
            <w:vAlign w:val="bottom"/>
            <w:gridSpan w:val="2"/>
          </w:tcPr>
          <w:p>
            <w:pPr>
              <w:jc w:val="center"/>
              <w:ind w:left="2850"/>
              <w:spacing w:after="0"/>
              <w:rPr>
                <w:sz w:val="20"/>
                <w:szCs w:val="20"/>
                <w:color w:val="auto"/>
              </w:rPr>
            </w:pPr>
            <w:r>
              <w:rPr>
                <w:rFonts w:ascii="Arial" w:cs="Arial" w:eastAsia="Arial" w:hAnsi="Arial"/>
                <w:sz w:val="18"/>
                <w:szCs w:val="18"/>
                <w:color w:val="auto"/>
                <w:w w:val="92"/>
              </w:rPr>
              <w:t>62%-67%</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54%-62%</w:t>
            </w:r>
          </w:p>
        </w:tc>
        <w:tc>
          <w:tcPr>
            <w:tcW w:w="1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20" w:type="dxa"/>
            <w:vAlign w:val="bottom"/>
            <w:gridSpan w:val="2"/>
            <w:shd w:val="clear" w:color="auto" w:fill="CCEEFF"/>
          </w:tcPr>
          <w:p>
            <w:pPr>
              <w:jc w:val="center"/>
              <w:ind w:left="2870"/>
              <w:spacing w:after="0"/>
              <w:rPr>
                <w:sz w:val="20"/>
                <w:szCs w:val="20"/>
                <w:color w:val="auto"/>
              </w:rPr>
            </w:pPr>
            <w:r>
              <w:rPr>
                <w:rFonts w:ascii="Arial" w:cs="Arial" w:eastAsia="Arial" w:hAnsi="Arial"/>
                <w:sz w:val="18"/>
                <w:szCs w:val="18"/>
                <w:color w:val="auto"/>
                <w:w w:val="87"/>
              </w:rPr>
              <w:t>0.0</w:t>
            </w:r>
          </w:p>
        </w:tc>
        <w:tc>
          <w:tcPr>
            <w:tcW w:w="10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0.0</w:t>
            </w:r>
          </w:p>
        </w:tc>
        <w:tc>
          <w:tcPr>
            <w:tcW w:w="180" w:type="dxa"/>
            <w:vAlign w:val="bottom"/>
            <w:shd w:val="clear" w:color="auto" w:fill="CCEEFF"/>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20" w:type="dxa"/>
            <w:vAlign w:val="bottom"/>
            <w:gridSpan w:val="2"/>
          </w:tcPr>
          <w:p>
            <w:pPr>
              <w:jc w:val="center"/>
              <w:ind w:left="2850"/>
              <w:spacing w:after="0"/>
              <w:rPr>
                <w:sz w:val="20"/>
                <w:szCs w:val="20"/>
                <w:color w:val="auto"/>
              </w:rPr>
            </w:pPr>
            <w:r>
              <w:rPr>
                <w:rFonts w:ascii="Arial" w:cs="Arial" w:eastAsia="Arial" w:hAnsi="Arial"/>
                <w:sz w:val="18"/>
                <w:szCs w:val="18"/>
                <w:color w:val="auto"/>
                <w:w w:val="91"/>
              </w:rPr>
              <w:t>0.38-1.68%</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1.80-2.92%</w:t>
            </w:r>
          </w:p>
        </w:tc>
        <w:tc>
          <w:tcPr>
            <w:tcW w:w="180" w:type="dxa"/>
            <w:vAlign w:val="bottom"/>
          </w:tcPr>
          <w:p>
            <w:pPr>
              <w:spacing w:after="0"/>
              <w:rPr>
                <w:sz w:val="20"/>
                <w:szCs w:val="20"/>
                <w:color w:val="auto"/>
              </w:rPr>
            </w:pPr>
          </w:p>
        </w:tc>
      </w:tr>
    </w:tbl>
    <w:p>
      <w:pPr>
        <w:spacing w:after="0" w:line="207" w:lineRule="exact"/>
        <w:rPr>
          <w:sz w:val="20"/>
          <w:szCs w:val="20"/>
          <w:color w:val="auto"/>
        </w:rPr>
      </w:pPr>
    </w:p>
    <w:p>
      <w:pPr>
        <w:ind w:firstLine="607"/>
        <w:spacing w:after="0" w:line="287" w:lineRule="auto"/>
        <w:rPr>
          <w:sz w:val="20"/>
          <w:szCs w:val="20"/>
          <w:color w:val="auto"/>
        </w:rPr>
      </w:pPr>
      <w:r>
        <w:rPr>
          <w:rFonts w:ascii="Arial" w:cs="Arial" w:eastAsia="Arial" w:hAnsi="Arial"/>
          <w:sz w:val="19"/>
          <w:szCs w:val="19"/>
          <w:color w:val="auto"/>
        </w:rPr>
        <w:t>During the six months ended June 30, 2020 and 2019, the Company granted options to purchase an aggregate of 1,232,500 and 1,429,100 shares of common stock, respectively, to its directors, employees and certain third-party service providers. The weighted average remaining contractual life of stock options outstanding and expected to vest at June 30, 2020 is 6.9 years. The weighted average remaining contractual life of stock options exercisable at June 30, 2020 is 5.6 years.</w:t>
      </w: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 summary of the Company’s option activity under the 2007 Plan and 2014 Plan and related information is as follows:</w:t>
      </w:r>
    </w:p>
    <w:p>
      <w:pPr>
        <w:spacing w:after="0" w:line="27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5,630,351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(47,683)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1,232,500</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6,801,779</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CEEFF"/>
            </w:tcBorders>
          </w:tcPr>
          <w:p>
            <w:pPr>
              <w:spacing w:after="0"/>
              <w:rPr>
                <w:sz w:val="20"/>
                <w:szCs w:val="20"/>
                <w:color w:val="auto"/>
              </w:rPr>
            </w:pPr>
          </w:p>
        </w:tc>
      </w:tr>
      <w:tr>
        <w:trPr>
          <w:trHeight w:val="63"/>
        </w:trPr>
        <w:tc>
          <w:tcPr>
            <w:tcW w:w="20" w:type="dxa"/>
            <w:vAlign w:val="bottom"/>
            <w:shd w:val="clear" w:color="auto" w:fill="CCEEFF"/>
          </w:tcPr>
          <w:p>
            <w:pPr>
              <w:spacing w:after="0"/>
              <w:rPr>
                <w:sz w:val="5"/>
                <w:szCs w:val="5"/>
                <w:color w:val="auto"/>
              </w:rPr>
            </w:pPr>
          </w:p>
        </w:tc>
        <w:tc>
          <w:tcPr>
            <w:tcW w:w="73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20"/>
          </w:cols>
          <w:pgMar w:left="320" w:top="361" w:right="359" w:bottom="0" w:gutter="0" w:footer="0" w:header="0"/>
        </w:sectPr>
      </w:pPr>
    </w:p>
    <w:bookmarkStart w:id="15" w:name="page16"/>
    <w:bookmarkEnd w:id="15"/>
    <w:p>
      <w:pPr>
        <w:ind w:left="860"/>
        <w:spacing w:after="0"/>
        <w:tabs>
          <w:tab w:leader="none" w:pos="8420" w:val="left"/>
          <w:tab w:leader="none" w:pos="9340" w:val="left"/>
          <w:tab w:leader="none" w:pos="9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748030</wp:posOffset>
            </wp:positionH>
            <wp:positionV relativeFrom="page">
              <wp:posOffset>88900</wp:posOffset>
            </wp:positionV>
            <wp:extent cx="60604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0440" cy="137160"/>
                    </a:xfrm>
                    <a:prstGeom prst="rect">
                      <a:avLst/>
                    </a:prstGeom>
                    <a:noFill/>
                  </pic:spPr>
                </pic:pic>
              </a:graphicData>
            </a:graphic>
          </wp:anchor>
        </w:drawing>
        <w:t>Options exercisable</w:t>
      </w:r>
      <w:r>
        <w:rPr>
          <w:sz w:val="20"/>
          <w:szCs w:val="20"/>
          <w:color w:val="auto"/>
        </w:rPr>
        <w:tab/>
      </w:r>
      <w:r>
        <w:rPr>
          <w:rFonts w:ascii="Arial" w:cs="Arial" w:eastAsia="Arial" w:hAnsi="Arial"/>
          <w:sz w:val="18"/>
          <w:szCs w:val="18"/>
          <w:color w:val="auto"/>
        </w:rPr>
        <w:t>4,030,098</w:t>
        <w:tab/>
        <w:t>$</w:t>
      </w:r>
      <w:r>
        <w:rPr>
          <w:sz w:val="20"/>
          <w:szCs w:val="20"/>
          <w:color w:val="auto"/>
        </w:rPr>
        <w:tab/>
      </w:r>
      <w:r>
        <w:rPr>
          <w:rFonts w:ascii="Arial" w:cs="Arial" w:eastAsia="Arial" w:hAnsi="Arial"/>
          <w:sz w:val="16"/>
          <w:szCs w:val="16"/>
          <w:color w:val="auto"/>
        </w:rPr>
        <w:t>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14605</wp:posOffset>
            </wp:positionV>
            <wp:extent cx="13201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0165" cy="25400"/>
                    </a:xfrm>
                    <a:prstGeom prst="rect">
                      <a:avLst/>
                    </a:prstGeom>
                    <a:noFill/>
                  </pic:spPr>
                </pic:pic>
              </a:graphicData>
            </a:graphic>
          </wp:anchor>
        </w:drawing>
      </w:r>
    </w:p>
    <w:p>
      <w:pPr>
        <w:spacing w:after="0" w:line="265" w:lineRule="exact"/>
        <w:rPr>
          <w:sz w:val="20"/>
          <w:szCs w:val="20"/>
          <w:color w:val="auto"/>
        </w:rPr>
      </w:pPr>
    </w:p>
    <w:p>
      <w:pPr>
        <w:jc w:val="both"/>
        <w:ind w:right="400" w:firstLine="607"/>
        <w:spacing w:after="0" w:line="328" w:lineRule="auto"/>
        <w:rPr>
          <w:sz w:val="20"/>
          <w:szCs w:val="20"/>
          <w:color w:val="auto"/>
        </w:rPr>
      </w:pPr>
      <w:r>
        <w:rPr>
          <w:rFonts w:ascii="Arial" w:cs="Arial" w:eastAsia="Arial" w:hAnsi="Arial"/>
          <w:sz w:val="19"/>
          <w:szCs w:val="19"/>
          <w:color w:val="auto"/>
        </w:rPr>
        <w:t>As of June 30, 2020, the Company had $5.1 million of unrecognized compensation expense related to options granted under the Company’s equity incentive plans, which is expected to be recognized over a weighted-average period of 2.6 years.</w:t>
      </w:r>
    </w:p>
    <w:p>
      <w:pPr>
        <w:spacing w:after="0" w:line="132"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color w:val="auto"/>
        </w:rPr>
        <w:t>During the six months ended June 30, 2020, the Company granted Restricted Stock Units (“RSUs”) to members of the Company’s Board of Directors and to certain management employees of the Company. The total RSUs granted during the period represent an aggregate of 341,000 shares of the Company’s common stock. The RSUs vest semi-annually over a period of one year for directors and annually over a period of four years for employees. Total compensation expense related to unvested RSUs for the three and six months ended June 30, 2020 was $0.1 million. A summary of the Company’s unvested RSU activity and related information is as follows:</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7360" w:type="dxa"/>
            <w:vAlign w:val="bottom"/>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341,000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ind w:right="260" w:firstLine="648"/>
        <w:spacing w:after="0"/>
        <w:rPr>
          <w:sz w:val="20"/>
          <w:szCs w:val="20"/>
          <w:color w:val="auto"/>
        </w:rPr>
      </w:pPr>
      <w:r>
        <w:rPr>
          <w:rFonts w:ascii="Arial" w:cs="Arial" w:eastAsia="Arial" w:hAnsi="Arial"/>
          <w:sz w:val="22"/>
          <w:szCs w:val="22"/>
          <w:color w:val="auto"/>
        </w:rPr>
        <w:t>As of June 30, 2020, the Company had $0.8 million of unrecognized compensation expense related to unvested RSUs granted under the Company’s equity incentive plans, which is expected to be recognized over a weighted-average period of 3.5 years.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ind w:right="200" w:firstLine="607"/>
        <w:spacing w:after="0" w:line="250" w:lineRule="auto"/>
        <w:rPr>
          <w:sz w:val="20"/>
          <w:szCs w:val="20"/>
          <w:color w:val="auto"/>
        </w:rPr>
      </w:pPr>
      <w:r>
        <w:rPr>
          <w:rFonts w:ascii="Arial" w:cs="Arial" w:eastAsia="Arial" w:hAnsi="Arial"/>
          <w:sz w:val="22"/>
          <w:szCs w:val="22"/>
          <w:color w:val="auto"/>
        </w:rPr>
        <w:t>Total stock-based compensation expense for all awards granted under the Company’s equity incentive plans for the three and six months ended June 30, 2020 and 2019 is as follows:</w:t>
      </w: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80" w:type="dxa"/>
            <w:vAlign w:val="bottom"/>
            <w:gridSpan w:val="5"/>
          </w:tcPr>
          <w:p>
            <w:pPr>
              <w:spacing w:after="0"/>
              <w:rPr>
                <w:sz w:val="20"/>
                <w:szCs w:val="20"/>
                <w:color w:val="auto"/>
              </w:rPr>
            </w:pPr>
            <w:r>
              <w:rPr>
                <w:rFonts w:ascii="Arial" w:cs="Arial" w:eastAsia="Arial" w:hAnsi="Arial"/>
                <w:sz w:val="18"/>
                <w:szCs w:val="18"/>
                <w:b w:val="1"/>
                <w:bCs w:val="1"/>
                <w:color w:val="auto"/>
                <w:w w:val="91"/>
              </w:rPr>
              <w:t>Three Months Ended June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w:t>
            </w:r>
          </w:p>
        </w:tc>
      </w:tr>
      <w:tr>
        <w:trPr>
          <w:trHeight w:val="234"/>
        </w:trPr>
        <w:tc>
          <w:tcPr>
            <w:tcW w:w="4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176,066</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Plasma centers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24,753</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1,067,820</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62,813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114,654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95,360</w:t>
            </w:r>
          </w:p>
        </w:tc>
        <w:tc>
          <w:tcPr>
            <w:tcW w:w="100" w:type="dxa"/>
            <w:vAlign w:val="bottom"/>
          </w:tcPr>
          <w:p>
            <w:pPr>
              <w:spacing w:after="0"/>
              <w:rPr>
                <w:sz w:val="18"/>
                <w:szCs w:val="18"/>
                <w:color w:val="auto"/>
              </w:rPr>
            </w:pPr>
          </w:p>
        </w:tc>
      </w:tr>
      <w:tr>
        <w:trPr>
          <w:trHeight w:val="210"/>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stock-based compensation expense</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715,608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1,392,156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1,363,999</w:t>
            </w:r>
          </w:p>
        </w:tc>
        <w:tc>
          <w:tcPr>
            <w:tcW w:w="100" w:type="dxa"/>
            <w:vAlign w:val="bottom"/>
            <w:shd w:val="clear" w:color="auto" w:fill="CCEEFF"/>
          </w:tcPr>
          <w:p>
            <w:pPr>
              <w:spacing w:after="0"/>
              <w:rPr>
                <w:sz w:val="18"/>
                <w:szCs w:val="18"/>
                <w:color w:val="auto"/>
              </w:rPr>
            </w:pPr>
          </w:p>
        </w:tc>
      </w:tr>
      <w:tr>
        <w:trPr>
          <w:trHeight w:val="40"/>
        </w:trPr>
        <w:tc>
          <w:tcPr>
            <w:tcW w:w="4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216"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RELATED PARTY TRANSACTIONS</w:t>
      </w:r>
    </w:p>
    <w:p>
      <w:pPr>
        <w:spacing w:after="0" w:line="239" w:lineRule="exact"/>
        <w:rPr>
          <w:sz w:val="20"/>
          <w:szCs w:val="20"/>
          <w:color w:val="auto"/>
        </w:rPr>
      </w:pPr>
    </w:p>
    <w:p>
      <w:pPr>
        <w:ind w:right="20" w:firstLine="607"/>
        <w:spacing w:after="0" w:line="273" w:lineRule="auto"/>
        <w:rPr>
          <w:sz w:val="20"/>
          <w:szCs w:val="20"/>
          <w:color w:val="auto"/>
        </w:rPr>
      </w:pPr>
      <w:r>
        <w:rPr>
          <w:rFonts w:ascii="Arial" w:cs="Arial" w:eastAsia="Arial" w:hAnsi="Arial"/>
          <w:sz w:val="19"/>
          <w:szCs w:val="19"/>
          <w:color w:val="auto"/>
        </w:rPr>
        <w:t>The Company leases an office building and equipment from Areth, LLC (“Areth”) pursuant to an agreement for services effective as of January 1, 2016, as amended from time to time. Effective October 1, 2017, monthly rent on this facility was set at $10,000. On November 7, 2019, an additional amendment was entered into between Areth and the Company to extend the term of this agreement through September 30, 2020, and to provide for automatic one-year renewals unless ADMA gives written notice of termination to Areth 60 days prior to the end of the term, which expires each year on September 30. The Company did not provide a written notice of termination to Areth as of July 31, 2020. Rent expense for the six months ended June 30, 2020 and 2019 amounted to $60,000. Areth is a company controlled by Dr. Jerrold B. Grossman, the Vice Chairman of the Company’s Board of Directors,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three and six months ended June 30, 2020 and 2019.</w:t>
      </w:r>
    </w:p>
    <w:p>
      <w:pPr>
        <w:spacing w:after="0" w:line="188" w:lineRule="exact"/>
        <w:rPr>
          <w:sz w:val="20"/>
          <w:szCs w:val="20"/>
          <w:color w:val="auto"/>
        </w:rPr>
      </w:pPr>
    </w:p>
    <w:p>
      <w:pPr>
        <w:ind w:firstLine="607"/>
        <w:spacing w:after="0" w:line="250" w:lineRule="auto"/>
        <w:rPr>
          <w:sz w:val="20"/>
          <w:szCs w:val="20"/>
          <w:color w:val="auto"/>
        </w:rPr>
      </w:pPr>
      <w:r>
        <w:rPr>
          <w:rFonts w:ascii="Arial" w:cs="Arial" w:eastAsia="Arial" w:hAnsi="Arial"/>
          <w:sz w:val="22"/>
          <w:szCs w:val="22"/>
          <w:color w:val="auto"/>
        </w:rPr>
        <w:t>See Note 6 for a discussion of the Company’s credit facility and related transactions with Perceptive, a holder of more than 10% of the Company’s common stock.</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connection with the February 2020 public offering of the Company’s common stock (see Note 7) on February 11, 2020:</w:t>
      </w:r>
    </w:p>
    <w:p>
      <w:pPr>
        <w:spacing w:after="0" w:line="43" w:lineRule="exact"/>
        <w:rPr>
          <w:sz w:val="20"/>
          <w:szCs w:val="20"/>
          <w:color w:val="auto"/>
        </w:rPr>
      </w:pPr>
    </w:p>
    <w:p>
      <w:pPr>
        <w:ind w:right="120" w:firstLine="8"/>
        <w:spacing w:after="0" w:line="277" w:lineRule="auto"/>
        <w:tabs>
          <w:tab w:leader="none" w:pos="258" w:val="left"/>
        </w:tabs>
        <w:numPr>
          <w:ilvl w:val="0"/>
          <w:numId w:val="13"/>
        </w:numPr>
        <w:rPr>
          <w:rFonts w:ascii="Arial" w:cs="Arial" w:eastAsia="Arial" w:hAnsi="Arial"/>
          <w:sz w:val="19"/>
          <w:szCs w:val="19"/>
          <w:color w:val="auto"/>
        </w:rPr>
      </w:pPr>
      <w:r>
        <w:rPr>
          <w:rFonts w:ascii="Arial" w:cs="Arial" w:eastAsia="Arial" w:hAnsi="Arial"/>
          <w:sz w:val="19"/>
          <w:szCs w:val="19"/>
          <w:color w:val="auto"/>
        </w:rPr>
        <w:t>Perceptive Advisors, a principal stockholder of ADMA, purchased 4,563,700 shares of common stock through one of its affiliates, (ii) Dr. Grossman purchased 22,857 shares of common stock directly and 22,857 shares indirectly through an entity he controls (iii) Lawrence P. Guiheen, a director of the Company, purchased 20,000 shares of common stock, (iv) Mr. Grossman purchased 28,571 shares of common stock directly and 57,143 shares indirectly through an entity he controls (v) Brian Lenz, the Company’s Executive Vice President and Chief Financial Officer, purchased 7,142 shares of common stock, and (vi) James</w:t>
      </w:r>
    </w:p>
    <w:p>
      <w:pPr>
        <w:sectPr>
          <w:pgSz w:w="11900" w:h="16838" w:orient="portrait"/>
          <w:cols w:equalWidth="0" w:num="1">
            <w:col w:w="11240"/>
          </w:cols>
          <w:pgMar w:left="320" w:top="341" w:right="339" w:bottom="0" w:gutter="0" w:footer="0" w:header="0"/>
        </w:sectPr>
      </w:pPr>
    </w:p>
    <w:bookmarkStart w:id="16" w:name="page17"/>
    <w:bookmarkEnd w:id="16"/>
    <w:p>
      <w:pPr>
        <w:ind w:right="360"/>
        <w:spacing w:after="0" w:line="251" w:lineRule="auto"/>
        <w:rPr>
          <w:sz w:val="20"/>
          <w:szCs w:val="20"/>
          <w:color w:val="auto"/>
        </w:rPr>
      </w:pPr>
      <w:r>
        <w:rPr>
          <w:rFonts w:ascii="Arial" w:cs="Arial" w:eastAsia="Arial" w:hAnsi="Arial"/>
          <w:sz w:val="22"/>
          <w:szCs w:val="22"/>
          <w:color w:val="auto"/>
        </w:rPr>
        <w:t>Mond, the Company’s Chief Scientific Officer and Chief Medical Officer, purchased 4,285 shares of common stock, all at the public offering price of $3.50 per share.</w:t>
      </w:r>
    </w:p>
    <w:p>
      <w:pPr>
        <w:spacing w:after="0" w:line="194"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General Legal Matters</w:t>
      </w:r>
    </w:p>
    <w:p>
      <w:pPr>
        <w:spacing w:after="0" w:line="233"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21"/>
          <w:szCs w:val="21"/>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COVID-19 Pandemic</w:t>
      </w:r>
    </w:p>
    <w:p>
      <w:pPr>
        <w:spacing w:after="0" w:line="233"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The Company continues to monitor the ongoing developments related to the COVID-19 pandemic, and its impacts to the Company’s supply-chain operations, including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The Company has experienced some delays with final drug product release testing by third-party vendors. In response to these delays, the Company added additional release testing laboratories to its FDA approved consortium listed in its drug approval documents which the Company believes has adequately addressed this issue. In addition, due to previous state and local “shelter-in-place” orders, the Company experienced lower than normal donor collections at its FDA approved plasma collection center during the three months ended June 30, 2020. The Company was also subject to delays in shipments of source plasma from its contracted third-party suppliers, as well as delays in deliveries for personal protective equipment, reagents and other non-plasma raw materials and supplies used in the manufacture of its products. The COVID-19 pandemic has also impacted, to a certain degree, the Company’s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the Company’s ability to communicate with potential customers. The Company has implemented a comprehensive suite of virtual engagement initiatives, however, clinician engagement has been reduced due to rapidly evolving COVID-19 priorities at U.S. medical centers.</w:t>
      </w:r>
    </w:p>
    <w:p>
      <w:pPr>
        <w:spacing w:after="0" w:line="188"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facility have been significantly impacted by the COVID-19 pandemic. As a result, the Company does not anticipate any material impairments with respect to any of its long-lived assets, including the Company’s property and equipment, goodwill or intangible assets.</w:t>
      </w:r>
    </w:p>
    <w:p>
      <w:pPr>
        <w:spacing w:after="0" w:line="205"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Although the COVID-19 pandemic has not, to date, materially adversely impacted the Company’s capital and financial resources, because the Company is unable to determine the ultimate severity or duration of the pandemic or its long-term effects on, among other things, the global, national or local economies, the capital and credit markets or the Company’s workforce, customers or our suppliers, at this time the Company is unable to predict whether COVID-19 will have a material adverse impact on the Company’s business, financial condition, liquidity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Vendor and Licensor Commitments</w:t>
      </w:r>
    </w:p>
    <w:p>
      <w:pPr>
        <w:spacing w:after="0" w:line="233"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continues its commercialization activities for ASCENIV. Unless terminated earlier, the 2011 Plasma Purchase Agreement expires in June 2027, after which it may be renewed for two additional five-year periods if agreed to by the parties. As part of the closing of the Biotest Transaction, the parties amended the 2011 Plasma Purchase Agreement to extend the initial term through the ten-year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w:t>
      </w:r>
    </w:p>
    <w:p>
      <w:pPr>
        <w:sectPr>
          <w:pgSz w:w="11900" w:h="16838" w:orient="portrait"/>
          <w:cols w:equalWidth="0" w:num="1">
            <w:col w:w="11240"/>
          </w:cols>
          <w:pgMar w:left="320" w:top="118" w:right="339" w:bottom="0" w:gutter="0" w:footer="0" w:header="0"/>
        </w:sectPr>
      </w:pPr>
    </w:p>
    <w:bookmarkStart w:id="17" w:name="page18"/>
    <w:bookmarkEnd w:id="17"/>
    <w:p>
      <w:pPr>
        <w:spacing w:after="0" w:line="33"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purchase RSV plasma from Grifols from the two plasma collection centers that were transferred to BPC on January 1, 2019 at a price equal to cost plus 5% without any additional increase due to inflation.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5"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85"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had an initial term of five years after which the 2017 Plasma Purchase Agreement may be renewed for two additional terms of two years each upon the mutual written consent of the parties. On July 19, 2018, the Company and BPC entered into an amendment to the 2017 Plasma Purchase Agreement to, among other things, provide agreed upon amounts of NSP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 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 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87"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The Company purchases substantially all of its raw material plasma from Grifols. For the six months ended June 30, 2020, plasma purchases from Grifols totaled approximately $3.7 million, representing approximately 42% of the Company’s total inventory purchases. For the six months ended June 30, 2019, plasma purchases from BPC totaled $5.0 million, or approximately 67% of the Company’s total inventory purchases.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Post-marketing commitments</w:t>
      </w:r>
    </w:p>
    <w:p>
      <w:pPr>
        <w:spacing w:after="0" w:line="233"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as such ADMA has assumed the remaining obligations, and the costs of the studies will be expensed as incurred as research and development expenses. The Company currently expects both studies to be completed by the end of 2021.</w:t>
      </w:r>
    </w:p>
    <w:p>
      <w:pPr>
        <w:spacing w:after="0" w:line="177"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In connection with the FDA’s approval of ASCENIV on April 1, 2019, the Company is required to perform a pediatric study to evaluate the safety and efficacy of ASCENIV in children and adolescents. This study is required to be completed by June of 2023.</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Employment contracts</w:t>
      </w:r>
    </w:p>
    <w:p>
      <w:pPr>
        <w:spacing w:after="0" w:line="233" w:lineRule="exact"/>
        <w:rPr>
          <w:sz w:val="20"/>
          <w:szCs w:val="20"/>
          <w:color w:val="auto"/>
        </w:rPr>
      </w:pPr>
    </w:p>
    <w:p>
      <w:pPr>
        <w:jc w:val="both"/>
        <w:ind w:right="240" w:firstLine="648"/>
        <w:spacing w:after="0"/>
        <w:rPr>
          <w:sz w:val="20"/>
          <w:szCs w:val="20"/>
          <w:color w:val="auto"/>
        </w:rPr>
      </w:pPr>
      <w:r>
        <w:rPr>
          <w:rFonts w:ascii="Arial" w:cs="Arial" w:eastAsia="Arial" w:hAnsi="Arial"/>
          <w:sz w:val="22"/>
          <w:szCs w:val="22"/>
          <w:color w:val="auto"/>
        </w:rPr>
        <w:t>The Company has entered into employment agreements with its executive management team consisting of its President and Chief Executive Officer, its Executive Vice President, Chief Medical Officer and Chief Scientific Officer and its Executive Vice President and 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Other commitments</w:t>
      </w:r>
    </w:p>
    <w:p>
      <w:pPr>
        <w:spacing w:after="0" w:line="23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June 30, 2020. The Company does not anticipate recognizing any significant losses relating to these arrangements.</w:t>
      </w:r>
    </w:p>
    <w:p>
      <w:pPr>
        <w:sectPr>
          <w:pgSz w:w="11900" w:h="16872" w:orient="portrait"/>
          <w:cols w:equalWidth="0" w:num="1">
            <w:col w:w="11240"/>
          </w:cols>
          <w:pgMar w:left="320" w:top="118" w:right="339" w:bottom="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72" w:orient="portrait"/>
          <w:cols w:equalWidth="0" w:num="1">
            <w:col w:w="11240"/>
          </w:cols>
          <w:pgMar w:left="320" w:top="118" w:right="339" w:bottom="0" w:gutter="0" w:footer="0" w:header="0"/>
          <w:type w:val="continuous"/>
        </w:sectPr>
      </w:pPr>
    </w:p>
    <w:bookmarkStart w:id="18" w:name="page19"/>
    <w:bookmarkEnd w:id="1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09"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SEGMENTS</w:t>
      </w:r>
    </w:p>
    <w:p>
      <w:pPr>
        <w:spacing w:after="0" w:line="251" w:lineRule="exact"/>
        <w:rPr>
          <w:sz w:val="20"/>
          <w:szCs w:val="20"/>
          <w:color w:val="auto"/>
        </w:rPr>
      </w:pPr>
    </w:p>
    <w:p>
      <w:pPr>
        <w:ind w:right="100" w:firstLine="607"/>
        <w:spacing w:after="0" w:line="245" w:lineRule="auto"/>
        <w:rPr>
          <w:sz w:val="20"/>
          <w:szCs w:val="20"/>
          <w:color w:val="auto"/>
        </w:rPr>
      </w:pPr>
      <w:r>
        <w:rPr>
          <w:rFonts w:ascii="Arial" w:cs="Arial" w:eastAsia="Arial" w:hAnsi="Arial"/>
          <w:sz w:val="21"/>
          <w:szCs w:val="21"/>
          <w:color w:val="auto"/>
        </w:rPr>
        <w:t>The Company is engaged in the manufacture, marketing and development of specialty plasma-derived biologics. The Company’s ADMA BioManufacturing segment reflects the Company’s immunoglobulin manufacturing, commercial and development operations in Boca Raton, FL, acquired on June 6, 2017 (see Note 1).The Plasma Collection Centers segment consists of one FDA-licensed source plasma collection facility, another plasma collection facility for which an FDA license is pending and a plasma collection center currently under construction.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0" w:type="dxa"/>
            <w:vAlign w:val="bottom"/>
          </w:tcPr>
          <w:p>
            <w:pPr>
              <w:spacing w:after="0"/>
              <w:rPr>
                <w:sz w:val="16"/>
                <w:szCs w:val="16"/>
                <w:color w:val="auto"/>
              </w:rPr>
            </w:pPr>
          </w:p>
        </w:tc>
        <w:tc>
          <w:tcPr>
            <w:tcW w:w="30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Plasma</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ADMA</w:t>
            </w:r>
          </w:p>
        </w:tc>
        <w:tc>
          <w:tcPr>
            <w:tcW w:w="6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Collection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40" w:type="dxa"/>
            <w:vAlign w:val="bottom"/>
            <w:gridSpan w:val="4"/>
          </w:tcPr>
          <w:p>
            <w:pPr>
              <w:ind w:left="1480"/>
              <w:spacing w:after="0"/>
              <w:rPr>
                <w:sz w:val="20"/>
                <w:szCs w:val="20"/>
                <w:color w:val="auto"/>
              </w:rPr>
            </w:pPr>
            <w:r>
              <w:rPr>
                <w:rFonts w:ascii="Arial" w:cs="Arial" w:eastAsia="Arial" w:hAnsi="Arial"/>
                <w:sz w:val="18"/>
                <w:szCs w:val="18"/>
                <w:b w:val="1"/>
                <w:bCs w:val="1"/>
                <w:color w:val="auto"/>
              </w:rPr>
              <w:t>BioManufacturing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Centers</w:t>
            </w:r>
          </w:p>
        </w:tc>
        <w:tc>
          <w:tcPr>
            <w:tcW w:w="8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7"/>
              </w:rPr>
              <w:t>Corporate</w:t>
            </w:r>
          </w:p>
        </w:tc>
        <w:tc>
          <w:tcPr>
            <w:tcW w:w="116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Consolidated</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6,502,865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1,249,020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7,787,594</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12,237,141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1,258,488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13,495,629</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(12,852,835)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(3,351,681)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(17,123,825)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(235,442)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(2,818,791)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(3,054,266)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(13,088,277)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(919,342)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(6,170,472)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(20,178,091)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8"/>
              </w:rPr>
              <w:t>Depreciation and amortization expense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885,652</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109,105,418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7,542,486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74,893,664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191,541,568</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9"/>
              </w:rPr>
              <w:t>Three Months Ended June 30, 2019</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Plasma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ADMA</w:t>
            </w:r>
          </w:p>
        </w:tc>
        <w:tc>
          <w:tcPr>
            <w:tcW w:w="6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Collection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40" w:type="dxa"/>
            <w:vAlign w:val="bottom"/>
            <w:gridSpan w:val="4"/>
          </w:tcPr>
          <w:p>
            <w:pPr>
              <w:ind w:left="1480"/>
              <w:spacing w:after="0"/>
              <w:rPr>
                <w:sz w:val="20"/>
                <w:szCs w:val="20"/>
                <w:color w:val="auto"/>
              </w:rPr>
            </w:pPr>
            <w:r>
              <w:rPr>
                <w:rFonts w:ascii="Arial" w:cs="Arial" w:eastAsia="Arial" w:hAnsi="Arial"/>
                <w:sz w:val="18"/>
                <w:szCs w:val="18"/>
                <w:b w:val="1"/>
                <w:bCs w:val="1"/>
                <w:color w:val="auto"/>
              </w:rPr>
              <w:t>BioManufacturing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Centers</w:t>
            </w:r>
          </w:p>
        </w:tc>
        <w:tc>
          <w:tcPr>
            <w:tcW w:w="8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7"/>
              </w:rPr>
              <w:t>Corporate</w:t>
            </w:r>
          </w:p>
        </w:tc>
        <w:tc>
          <w:tcPr>
            <w:tcW w:w="116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Consolidated</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4,002,445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2,522,788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6,560,942</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8,170,381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2,320,855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10,491,236</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(8,671,783)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(2,274,710)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(11,338,674)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(246,603)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(1,626,536)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(1,873,198)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(8,918,386)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(3,901,246)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(13,211,872)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8"/>
              </w:rPr>
              <w:t>Depreciation and amortization expense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806,093</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67,236,416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3,835,999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72,201,705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143,274,120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8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89"/>
              </w:rPr>
              <w:t>19</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Six Months Ended June 30, 2020</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Plasma</w:t>
            </w: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ADMA</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Collection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920" w:type="dxa"/>
            <w:vAlign w:val="bottom"/>
            <w:gridSpan w:val="4"/>
          </w:tcPr>
          <w:p>
            <w:pPr>
              <w:ind w:left="1400"/>
              <w:spacing w:after="0"/>
              <w:rPr>
                <w:sz w:val="20"/>
                <w:szCs w:val="20"/>
                <w:color w:val="auto"/>
              </w:rPr>
            </w:pPr>
            <w:r>
              <w:rPr>
                <w:rFonts w:ascii="Arial" w:cs="Arial" w:eastAsia="Arial" w:hAnsi="Arial"/>
                <w:sz w:val="18"/>
                <w:szCs w:val="18"/>
                <w:b w:val="1"/>
                <w:bCs w:val="1"/>
                <w:color w:val="auto"/>
                <w:w w:val="98"/>
              </w:rPr>
              <w:t>BioManufacturing</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Centers</w:t>
            </w:r>
          </w:p>
        </w:tc>
        <w:tc>
          <w:tcPr>
            <w:tcW w:w="18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Corporate</w:t>
            </w:r>
          </w:p>
        </w:tc>
        <w:tc>
          <w:tcPr>
            <w:tcW w:w="1280" w:type="dxa"/>
            <w:vAlign w:val="bottom"/>
            <w:gridSpan w:val="3"/>
          </w:tcPr>
          <w:p>
            <w:pPr>
              <w:ind w:left="180"/>
              <w:spacing w:after="0"/>
              <w:rPr>
                <w:sz w:val="20"/>
                <w:szCs w:val="20"/>
                <w:color w:val="auto"/>
              </w:rPr>
            </w:pPr>
            <w:r>
              <w:rPr>
                <w:rFonts w:ascii="Arial" w:cs="Arial" w:eastAsia="Arial" w:hAnsi="Arial"/>
                <w:sz w:val="18"/>
                <w:szCs w:val="18"/>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14,246,139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3,669,782</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$ 17,987,338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26,689,094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3,635,761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30,324,855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41" w:right="339" w:bottom="0" w:gutter="0" w:footer="0" w:header="0"/>
        </w:sectPr>
      </w:pPr>
    </w:p>
    <w:bookmarkStart w:id="19" w:name="page20"/>
    <w:bookmarkEnd w:id="19"/>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(25,328,980)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(1,376,464)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(7,188,167)</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(33,893,611)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(474,314)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(5,055,363)</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(5,529,710)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(25,803,294)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(1,376,497)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(12,243,530)</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(39,423,321)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5,064,494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1,178,790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6,243,284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1,447,214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222,395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Six Months Ended June 30, 2019</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8"/>
              </w:rPr>
              <w:t>Plasma</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ADMA</w:t>
            </w:r>
          </w:p>
        </w:tc>
        <w:tc>
          <w:tcPr>
            <w:tcW w:w="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Collection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80" w:type="dxa"/>
            <w:vAlign w:val="bottom"/>
            <w:gridSpan w:val="4"/>
          </w:tcPr>
          <w:p>
            <w:pPr>
              <w:ind w:left="1340"/>
              <w:spacing w:after="0"/>
              <w:rPr>
                <w:sz w:val="20"/>
                <w:szCs w:val="20"/>
                <w:color w:val="auto"/>
              </w:rPr>
            </w:pPr>
            <w:r>
              <w:rPr>
                <w:rFonts w:ascii="Arial" w:cs="Arial" w:eastAsia="Arial" w:hAnsi="Arial"/>
                <w:sz w:val="18"/>
                <w:szCs w:val="18"/>
                <w:b w:val="1"/>
                <w:bCs w:val="1"/>
                <w:color w:val="auto"/>
                <w:w w:val="99"/>
              </w:rPr>
              <w:t>BioManufacturing</w:t>
            </w:r>
          </w:p>
        </w:tc>
        <w:tc>
          <w:tcPr>
            <w:tcW w:w="8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Centers</w:t>
            </w:r>
          </w:p>
        </w:tc>
        <w:tc>
          <w:tcPr>
            <w:tcW w:w="6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Corporate</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5,346,428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4,671,686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$ 10,089,531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16,110,727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3,785,688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19,896,415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(19,292,591)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(362,601)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(4,891,898)</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(24,547,090)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and other (expense) income, net</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(416,216)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(2,895,007)</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(3,297,663)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Gain on transfer of plasma center assets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11,527,421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11,527,421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(9,962,495)</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(9,962,495)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(19,708,807)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11,178,380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(17,749,400)</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(26,279,827)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224,440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1,376,240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228,199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TRANSFER OF PLASMA CENTER ASSETS</w:t>
      </w:r>
    </w:p>
    <w:p>
      <w:pPr>
        <w:spacing w:after="0" w:line="251"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As part of the purchase price for the Biotest Transaction (see Note 1), the Company transferred its Marietta, GA and Norcross, GA plasma collection centers to BPC effective January 1, 2019. The Company had estimated the combined fair value of the two facilities to be $12.6 million, and the Company recorded an obligation for this amount as of the date of the Biotest Transaction. On January 1, 2019, upon the transfer of the two plasma collection facilities to BPC, the Company recorded a gain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09"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LEASE OBLIGATIONS</w:t>
      </w:r>
    </w:p>
    <w:p>
      <w:pPr>
        <w:spacing w:after="0" w:line="251"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The Company leases certain properties and equipment for its ADMA BioCenters subsidiary and certain equipment for its ADMA BioManufacturing subsidiary, which leases provide the right to use the underlying assets and require lease payments through the respective lease terms which expire at various dates through 2030. The Company’s lease agreements do not contain any material residual value guarantees or material restrictive covenants.</w:t>
      </w:r>
    </w:p>
    <w:p>
      <w:pPr>
        <w:spacing w:after="0" w:line="201"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of 13%. The Company’s operating lease expense is recognized on a straight-line basis over the lease term and is reflected in Plasma center operating expenses and Selling, general and administrative expenses. Aggregate lease expense and cash paid for the Company’s operating leases for the three months ended June 30, 2020 and 2019 was approximately $0.1 million, and aggregate rent expense and cash paid for the Company’s operating leases for the six months ended June 30, 2020 and 2019 was approximately $0.2 million.</w:t>
      </w:r>
    </w:p>
    <w:p>
      <w:pPr>
        <w:spacing w:after="0" w:line="200" w:lineRule="exact"/>
        <w:rPr>
          <w:sz w:val="20"/>
          <w:szCs w:val="20"/>
          <w:color w:val="auto"/>
        </w:rPr>
      </w:pPr>
    </w:p>
    <w:p>
      <w:pPr>
        <w:spacing w:after="0" w:line="231" w:lineRule="exact"/>
        <w:rPr>
          <w:sz w:val="20"/>
          <w:szCs w:val="20"/>
          <w:color w:val="auto"/>
        </w:rPr>
      </w:pPr>
    </w:p>
    <w:p>
      <w:pPr>
        <w:ind w:right="180" w:firstLine="648"/>
        <w:spacing w:after="0" w:line="328" w:lineRule="auto"/>
        <w:rPr>
          <w:sz w:val="20"/>
          <w:szCs w:val="20"/>
          <w:color w:val="auto"/>
        </w:rPr>
      </w:pPr>
      <w:r>
        <w:rPr>
          <w:rFonts w:ascii="Arial" w:cs="Arial" w:eastAsia="Arial" w:hAnsi="Arial"/>
          <w:sz w:val="19"/>
          <w:szCs w:val="19"/>
          <w:color w:val="auto"/>
        </w:rPr>
        <w:t>In connection with the adoption of ASU 2016-02 on January 1, 2019 (see Note 2), the Company recognized right to use assets of $1.4 million and lease liabilities of approximately $1.6 million. During the six months ended June 30, 2020, the</w:t>
      </w:r>
    </w:p>
    <w:p>
      <w:pPr>
        <w:sectPr>
          <w:pgSz w:w="11900" w:h="16994" w:orient="portrait"/>
          <w:cols w:equalWidth="0" w:num="1">
            <w:col w:w="11180"/>
          </w:cols>
          <w:pgMar w:left="320" w:top="140" w:right="399" w:bottom="0" w:gutter="0" w:footer="0" w:header="0"/>
        </w:sectPr>
      </w:pPr>
    </w:p>
    <w:bookmarkStart w:id="20" w:name="page21"/>
    <w:bookmarkEnd w:id="20"/>
    <w:p>
      <w:pPr>
        <w:ind w:right="100"/>
        <w:spacing w:after="0" w:line="275" w:lineRule="auto"/>
        <w:rPr>
          <w:sz w:val="20"/>
          <w:szCs w:val="20"/>
          <w:color w:val="auto"/>
        </w:rPr>
      </w:pPr>
      <w:r>
        <w:rPr>
          <w:rFonts w:ascii="Arial" w:cs="Arial" w:eastAsia="Arial" w:hAnsi="Arial"/>
          <w:sz w:val="19"/>
          <w:szCs w:val="19"/>
          <w:color w:val="auto"/>
        </w:rPr>
        <w:t>Company entered into two new property leases where the Company has opened or intends to open two new plasma collection facilities. In connection with these leases, the Company recognized aggregate lease liabilities and corresponding right-to-use assets in the approximate amount of $1.7 million. The right-to-use assets are reflected in Deposits and other assets in the accompanying consolidated balance sheets. Including a finance lease the Company entered into in June 2018, the Company has aggregate lease liabilities of $3.1 million and $1.5 million as of June 30, 2020 and December 31, 2019, respectively, which are comprised primarily of the leases for the Company’s plasma collection centers and an administrative office lease in Roswell, GA related to the Company’s ADMA BioCenters subsidiary. The Company’s operating leases have a weighted average remaining term of 8.4 years. Scheduled payments under the Company’s lease obligations are as follows:</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500" w:type="dxa"/>
            <w:vAlign w:val="bottom"/>
            <w:shd w:val="clear" w:color="auto" w:fill="CCEEFF"/>
          </w:tcPr>
          <w:p>
            <w:pPr>
              <w:jc w:val="right"/>
              <w:ind w:right="5630"/>
              <w:spacing w:after="0"/>
              <w:rPr>
                <w:sz w:val="20"/>
                <w:szCs w:val="20"/>
                <w:color w:val="auto"/>
              </w:rPr>
            </w:pPr>
            <w:r>
              <w:rPr>
                <w:rFonts w:ascii="Arial" w:cs="Arial" w:eastAsia="Arial" w:hAnsi="Arial"/>
                <w:sz w:val="18"/>
                <w:szCs w:val="18"/>
                <w:color w:val="auto"/>
              </w:rPr>
              <w:t>Remainder of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262,076</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jc w:val="right"/>
              <w:ind w:right="5630"/>
              <w:spacing w:after="0"/>
              <w:rPr>
                <w:sz w:val="20"/>
                <w:szCs w:val="20"/>
                <w:color w:val="auto"/>
              </w:rPr>
            </w:pPr>
            <w:r>
              <w:rPr>
                <w:rFonts w:ascii="Arial" w:cs="Arial" w:eastAsia="Arial" w:hAnsi="Arial"/>
                <w:sz w:val="18"/>
                <w:szCs w:val="18"/>
                <w:color w:val="auto"/>
              </w:rPr>
              <w:t>Year ended December 31, 2021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699,752</w:t>
            </w: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jc w:val="right"/>
              <w:ind w:right="563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721,005</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jc w:val="right"/>
              <w:ind w:right="56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706,919</w:t>
            </w: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jc w:val="right"/>
              <w:ind w:right="563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603,858</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jc w:val="right"/>
              <w:ind w:right="563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2,205,047</w:t>
            </w:r>
          </w:p>
        </w:tc>
        <w:tc>
          <w:tcPr>
            <w:tcW w:w="100" w:type="dxa"/>
            <w:vAlign w:val="bottom"/>
          </w:tcPr>
          <w:p>
            <w:pPr>
              <w:spacing w:after="0"/>
              <w:rPr>
                <w:sz w:val="18"/>
                <w:szCs w:val="18"/>
                <w:color w:val="auto"/>
              </w:rPr>
            </w:pPr>
          </w:p>
        </w:tc>
      </w:tr>
      <w:tr>
        <w:trPr>
          <w:trHeight w:val="209"/>
        </w:trPr>
        <w:tc>
          <w:tcPr>
            <w:tcW w:w="8500" w:type="dxa"/>
            <w:vAlign w:val="bottom"/>
            <w:shd w:val="clear" w:color="auto" w:fill="CCEEFF"/>
          </w:tcPr>
          <w:p>
            <w:pPr>
              <w:jc w:val="right"/>
              <w:ind w:right="5630"/>
              <w:spacing w:after="0"/>
              <w:rPr>
                <w:sz w:val="20"/>
                <w:szCs w:val="20"/>
                <w:color w:val="auto"/>
              </w:rPr>
            </w:pPr>
            <w:r>
              <w:rPr>
                <w:rFonts w:ascii="Arial" w:cs="Arial" w:eastAsia="Arial" w:hAnsi="Arial"/>
                <w:sz w:val="18"/>
                <w:szCs w:val="18"/>
                <w:color w:val="auto"/>
              </w:rPr>
              <w:t>Total payments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5,198,657</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jc w:val="right"/>
              <w:ind w:right="563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(2,050,495)</w:t>
            </w:r>
          </w:p>
        </w:tc>
      </w:tr>
      <w:tr>
        <w:trPr>
          <w:trHeight w:val="216"/>
        </w:trPr>
        <w:tc>
          <w:tcPr>
            <w:tcW w:w="8500" w:type="dxa"/>
            <w:vAlign w:val="bottom"/>
            <w:shd w:val="clear" w:color="auto" w:fill="CCEEFF"/>
          </w:tcPr>
          <w:p>
            <w:pPr>
              <w:jc w:val="right"/>
              <w:ind w:right="5630"/>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(210,870)</w:t>
            </w:r>
          </w:p>
        </w:tc>
      </w:tr>
      <w:tr>
        <w:trPr>
          <w:trHeight w:val="209"/>
        </w:trPr>
        <w:tc>
          <w:tcPr>
            <w:tcW w:w="8500" w:type="dxa"/>
            <w:vAlign w:val="bottom"/>
            <w:tcBorders>
              <w:top w:val="single" w:sz="8" w:color="CCEEFF"/>
            </w:tcBorders>
          </w:tcPr>
          <w:p>
            <w:pPr>
              <w:jc w:val="right"/>
              <w:ind w:right="5630"/>
              <w:spacing w:after="0"/>
              <w:rPr>
                <w:sz w:val="20"/>
                <w:szCs w:val="20"/>
                <w:color w:val="auto"/>
              </w:rPr>
            </w:pPr>
            <w:r>
              <w:rPr>
                <w:rFonts w:ascii="Arial" w:cs="Arial" w:eastAsia="Arial" w:hAnsi="Arial"/>
                <w:sz w:val="18"/>
                <w:szCs w:val="18"/>
                <w:color w:val="auto"/>
              </w:rPr>
              <w:t>Balance at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2,937,292</w:t>
            </w:r>
          </w:p>
        </w:tc>
        <w:tc>
          <w:tcPr>
            <w:tcW w:w="100" w:type="dxa"/>
            <w:vAlign w:val="bottom"/>
            <w:tcBorders>
              <w:top w:val="single" w:sz="8" w:color="CCEEFF"/>
            </w:tcBorders>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As of July 15, 2020, the Company had entered into two additional property leases where the Company intends to construct additional new plasma collection facilities. The Company has not taken possession of these two leased properties and their lease commencement dates have not been determined. With the exception of advance deposits and initial months’ rent totaling approximately $74,000, no payments have been made under these leases. The initial terms of each lease are from 11 to 13 years with monthly rental payments varying between approximately $17,000 and $21,000, including common area maintenance charges.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ADMA BIOLOGICS, INC. AND SUBSIDIARIES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209"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SUPPLEMENTAL DISCLOSURE OF CASH FLOW INFORMATION</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Supplemental cash flow information for the six months ended June 30, 2020 and 2019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4,912,165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3,574,304</w:t>
            </w:r>
          </w:p>
        </w:tc>
        <w:tc>
          <w:tcPr>
            <w:tcW w:w="0" w:type="dxa"/>
            <w:vAlign w:val="bottom"/>
          </w:tcPr>
          <w:p>
            <w:pPr>
              <w:spacing w:after="0"/>
              <w:rPr>
                <w:sz w:val="1"/>
                <w:szCs w:val="1"/>
                <w:color w:val="auto"/>
              </w:rPr>
            </w:pPr>
          </w:p>
        </w:tc>
      </w:tr>
      <w:tr>
        <w:trPr>
          <w:trHeight w:val="197"/>
        </w:trPr>
        <w:tc>
          <w:tcPr>
            <w:tcW w:w="87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290,389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tcPr>
          <w:p>
            <w:pPr>
              <w:ind w:left="420"/>
              <w:spacing w:after="0" w:line="196" w:lineRule="exact"/>
              <w:rPr>
                <w:sz w:val="20"/>
                <w:szCs w:val="20"/>
                <w:color w:val="auto"/>
              </w:rPr>
            </w:pPr>
            <w:r>
              <w:rPr>
                <w:rFonts w:ascii="Arial" w:cs="Arial" w:eastAsia="Arial" w:hAnsi="Arial"/>
                <w:sz w:val="18"/>
                <w:szCs w:val="18"/>
                <w:color w:val="auto"/>
              </w:rPr>
              <w:t>Right-to-use assets obtained in exchange for lease obligations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1,723,594</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1,421,669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Warrants issued in connection with notes payable</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3,579,115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SUBSEQUENT EVENTS</w:t>
      </w:r>
    </w:p>
    <w:p>
      <w:pPr>
        <w:spacing w:after="0" w:line="246" w:lineRule="exact"/>
        <w:rPr>
          <w:sz w:val="20"/>
          <w:szCs w:val="20"/>
          <w:color w:val="auto"/>
        </w:rPr>
      </w:pPr>
    </w:p>
    <w:p>
      <w:pPr>
        <w:ind w:right="40" w:firstLine="661"/>
        <w:spacing w:after="0" w:line="255" w:lineRule="auto"/>
        <w:rPr>
          <w:sz w:val="20"/>
          <w:szCs w:val="20"/>
          <w:color w:val="auto"/>
        </w:rPr>
      </w:pPr>
      <w:r>
        <w:rPr>
          <w:rFonts w:ascii="Arial" w:cs="Arial" w:eastAsia="Arial" w:hAnsi="Arial"/>
          <w:sz w:val="19"/>
          <w:szCs w:val="19"/>
          <w:color w:val="auto"/>
        </w:rPr>
        <w:t>On August 5, 2020, the Company entered into an Open Market Sale Agreement</w:t>
      </w:r>
      <w:r>
        <w:rPr>
          <w:rFonts w:ascii="Arial" w:cs="Arial" w:eastAsia="Arial" w:hAnsi="Arial"/>
          <w:sz w:val="30"/>
          <w:szCs w:val="30"/>
          <w:color w:val="auto"/>
          <w:vertAlign w:val="superscript"/>
        </w:rPr>
        <w:t>SM</w:t>
      </w:r>
      <w:r>
        <w:rPr>
          <w:rFonts w:ascii="Arial" w:cs="Arial" w:eastAsia="Arial" w:hAnsi="Arial"/>
          <w:sz w:val="19"/>
          <w:szCs w:val="19"/>
          <w:color w:val="auto"/>
        </w:rPr>
        <w:t xml:space="preserve"> (the “Sale Agreement”) with Jefferies LLC, as agent (the “Agent”), pursuant to which the Company may offer and sell (the “Offering”), from time to time, at its option, through or to the Agent, up to an aggregate of $50,000,000 of shares of the Company’s common stock, par value $0.0001 per share (the “Shares”). Any Shares to be offered and sold under the Sale Agreement will be issued and sold pursuant to the Company’s Registration Statement on Form S-3 (File No. 333-234107), filed with the SEC on October 4, 2019, and declared effective on October 15, 2019 (the “Registration Statement”) and the prospectus supplement relating to the Offering, dated August 5, 2020, that will be filed with the SEC, by methods deemed to be an “at the market offering” as defined in Rule 415(a)</w:t>
      </w:r>
    </w:p>
    <w:p>
      <w:pPr>
        <w:spacing w:after="0" w:line="7" w:lineRule="exact"/>
        <w:rPr>
          <w:sz w:val="20"/>
          <w:szCs w:val="20"/>
          <w:color w:val="auto"/>
        </w:rPr>
      </w:pPr>
    </w:p>
    <w:p>
      <w:pPr>
        <w:ind w:right="420" w:firstLine="8"/>
        <w:spacing w:after="0" w:line="256" w:lineRule="auto"/>
        <w:tabs>
          <w:tab w:leader="none" w:pos="306" w:val="left"/>
        </w:tabs>
        <w:numPr>
          <w:ilvl w:val="0"/>
          <w:numId w:val="20"/>
        </w:numPr>
        <w:rPr>
          <w:rFonts w:ascii="Arial" w:cs="Arial" w:eastAsia="Arial" w:hAnsi="Arial"/>
          <w:sz w:val="21"/>
          <w:szCs w:val="21"/>
          <w:color w:val="auto"/>
        </w:rPr>
      </w:pPr>
      <w:r>
        <w:rPr>
          <w:rFonts w:ascii="Arial" w:cs="Arial" w:eastAsia="Arial" w:hAnsi="Arial"/>
          <w:sz w:val="21"/>
          <w:szCs w:val="21"/>
          <w:color w:val="auto"/>
        </w:rPr>
        <w:t>promulgated under the Securities Act of 1933, as amended, (the "Securities Act"), or if specified by the Company, by any other method permitted by law, including, but not limited to, in negotiated and block transactions.</w:t>
      </w:r>
    </w:p>
    <w:p>
      <w:pPr>
        <w:spacing w:after="0" w:line="196" w:lineRule="exact"/>
        <w:rPr>
          <w:sz w:val="20"/>
          <w:szCs w:val="20"/>
          <w:color w:val="auto"/>
        </w:rPr>
      </w:pPr>
    </w:p>
    <w:p>
      <w:pPr>
        <w:ind w:right="60" w:firstLine="864"/>
        <w:spacing w:after="0" w:line="277" w:lineRule="auto"/>
        <w:rPr>
          <w:sz w:val="20"/>
          <w:szCs w:val="20"/>
          <w:color w:val="auto"/>
        </w:rPr>
      </w:pPr>
      <w:r>
        <w:rPr>
          <w:rFonts w:ascii="Arial" w:cs="Arial" w:eastAsia="Arial" w:hAnsi="Arial"/>
          <w:sz w:val="19"/>
          <w:szCs w:val="19"/>
          <w:color w:val="auto"/>
        </w:rPr>
        <w:t>Subject to the terms of the Sale Agreement, the Agent will use its commercially reasonable efforts to sell the Shares from time to time, based upon the Company’s instructions (including any price, time or size limits or other customary parameters or conditions the Company may impose). The Company cannot provide any assurances that it will issue any Shares pursuant to the Sale Agreement. The Company will pay the Agent a commission of up to 3.0% of the gross proceeds from each sale of the Shares under the Sale Agreement. The Company will also reimburse the Agent for certain expenses incurred in connection with the Sale Agreement and agreed to provide the Agent with customary indemnification rights with respect to certain liabilities, including liabilities under the Securities Act and the Securities Exchange Act of 1934, as amended.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Through the date of this report, no shares have been sold under the Sale Agreement.</w:t>
      </w:r>
    </w:p>
    <w:p>
      <w:pPr>
        <w:sectPr>
          <w:pgSz w:w="11900" w:h="16838" w:orient="portrait"/>
          <w:cols w:equalWidth="0" w:num="1">
            <w:col w:w="11240"/>
          </w:cols>
          <w:pgMar w:left="320" w:top="118" w:right="339" w:bottom="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39"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2019, filed on March 13, 2020 (the “2019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Statements.”Our actual results may differ materially from our current expectations.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OVERVIEW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239" w:lineRule="exact"/>
        <w:rPr>
          <w:sz w:val="20"/>
          <w:szCs w:val="20"/>
          <w:color w:val="auto"/>
        </w:rPr>
      </w:pPr>
    </w:p>
    <w:p>
      <w:pPr>
        <w:ind w:right="140" w:firstLine="648"/>
        <w:spacing w:after="0" w:line="249" w:lineRule="auto"/>
        <w:rPr>
          <w:sz w:val="20"/>
          <w:szCs w:val="20"/>
          <w:color w:val="auto"/>
        </w:rPr>
      </w:pPr>
      <w:r>
        <w:rPr>
          <w:rFonts w:ascii="Arial" w:cs="Arial" w:eastAsia="Arial" w:hAnsi="Arial"/>
          <w:sz w:val="21"/>
          <w:szCs w:val="21"/>
          <w:color w:val="auto"/>
        </w:rPr>
        <w:t>ADMA Biologics, Inc. (the “Company,” “ADMA,” “we,” “us” or “our”) is an end-to-end commercial biopharmaceutical and specialty immunoglobulin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for the commercial re-launch of the product and commenced the re-launch in August 2019; (ii) ASCENIV (Immune Globulin Intravenous, Human – slra 10% Liquid), previously referred to as RI-002,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S. pneumonia infection for an immunoglobulin manufactured to contain standardized antibodies to numerous serotypes of S. pneumonia.</w:t>
      </w:r>
    </w:p>
    <w:p>
      <w:pPr>
        <w:spacing w:after="0" w:line="182" w:lineRule="exact"/>
        <w:rPr>
          <w:sz w:val="20"/>
          <w:szCs w:val="20"/>
          <w:color w:val="auto"/>
        </w:rPr>
      </w:pPr>
    </w:p>
    <w:p>
      <w:pPr>
        <w:ind w:right="120" w:firstLine="658"/>
        <w:spacing w:after="0" w:line="282" w:lineRule="auto"/>
        <w:rPr>
          <w:sz w:val="20"/>
          <w:szCs w:val="20"/>
          <w:color w:val="auto"/>
        </w:rPr>
      </w:pPr>
      <w:r>
        <w:rPr>
          <w:rFonts w:ascii="Arial" w:cs="Arial" w:eastAsia="Arial" w:hAnsi="Arial"/>
          <w:sz w:val="19"/>
          <w:szCs w:val="19"/>
          <w:color w:val="auto"/>
        </w:rPr>
        <w:t>We manufacture our products at an FDA-licensed, 400,000-liter annual capacity plasma fractionation and purification facility located in Boca Raton, Florida (the “Boca Facility”). Based on current production yields, we believe this facility has the potential to produce quantities of our immune globulin (“IG”) products capable of generating more than $250 million in annual revenue as we ramp-up production over the next three to five years. Our products and product candidates are intended to be used by physician specialists focused on caring for immune-compromised patients with or at risk for certain infectious diseases.</w:t>
      </w:r>
    </w:p>
    <w:p>
      <w:pPr>
        <w:spacing w:after="0" w:line="174"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Through our ADMA BioCenters subsidiary, we currently operate as an FDA-approved source plasma collection organization and have facilities located in the U.S. This business unit, which we refer to as our Plasma Collection Centers business segment, provides us with a portion of our blood plasma for the manufacture of our products and product candidates, and also allows us to sell certain quantities of source plasma to others for further manufacturing. We have embarked on a supply chain robustness plan and recently opened a new plasma collection center on June 30, 2020 for which an FDA license is pending, and we currently have additional plasma collection centers in various stages of development. We intend to open five to 10 additional plasma collection centers in the U.S. during the next three to five years.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We also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services for certain historical clients.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Products</w:t>
      </w:r>
    </w:p>
    <w:p>
      <w:pPr>
        <w:sectPr>
          <w:pgSz w:w="11900" w:h="16838" w:orient="portrait"/>
          <w:cols w:equalWidth="0" w:num="1">
            <w:col w:w="11240"/>
          </w:cols>
          <w:pgMar w:left="320" w:top="233" w:right="339" w:bottom="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i w:val="1"/>
          <w:iCs w:val="1"/>
          <w:color w:val="auto"/>
        </w:rPr>
        <w:t>BIVIGAM</w:t>
      </w:r>
    </w:p>
    <w:p>
      <w:pPr>
        <w:spacing w:after="0" w:line="234"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 BPC Plasma, Inc. (formerly Biotest Pharmaceuticals Corporation) (“BPC”) had originally received FDA approval for BIVIGAM on December 19, 2012, prior to our acquisition of the Boca Facility and related assets on June 6, 2017 (the “Biotest Transaction”), and product sales had commenced in the first quarter of 2013. 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ASCENIV</w:t>
      </w:r>
    </w:p>
    <w:p>
      <w:pPr>
        <w:spacing w:after="0" w:line="233"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As part of our proprietary manufacturing process for ASCENIV, we leverage our unique, patented plasma donor screening methodology and tailored plasma pooling design, which blends normal source plasma and plasma from donors tested to have high levels of neutralizing titers to RSV using our proprietary microneutralization assay. We are able to identify the high titer plasma that meets our internal specifications for ASCENIV with our patented testing methods and assay. This type of high titer plasma is typically found in less than 10% of the total donor collection samples we test.</w:t>
      </w:r>
    </w:p>
    <w:p>
      <w:pPr>
        <w:spacing w:after="0" w:line="184"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ASCENIV is approved for the treatment of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We plan to work with the FDA and the immunology and infectious disease community to design a clinical trial to evaluate the use of ASCENIV in this patient population in the near future. Commercial sales of ASCENIV commenced in October of 2019.</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Nabi-HB</w:t>
      </w:r>
    </w:p>
    <w:p>
      <w:pPr>
        <w:spacing w:after="0" w:line="233" w:lineRule="exact"/>
        <w:rPr>
          <w:sz w:val="20"/>
          <w:szCs w:val="20"/>
          <w:color w:val="auto"/>
        </w:rPr>
      </w:pPr>
    </w:p>
    <w:p>
      <w:pPr>
        <w:ind w:right="80" w:firstLine="648"/>
        <w:spacing w:after="0" w:line="244" w:lineRule="auto"/>
        <w:rPr>
          <w:sz w:val="20"/>
          <w:szCs w:val="20"/>
          <w:color w:val="auto"/>
        </w:rPr>
      </w:pPr>
      <w:r>
        <w:rPr>
          <w:rFonts w:ascii="Arial" w:cs="Arial" w:eastAsia="Arial" w:hAnsi="Arial"/>
          <w:sz w:val="21"/>
          <w:szCs w:val="21"/>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IMPACT OF THE COVID-19 CRISIS</w:t>
      </w:r>
    </w:p>
    <w:p>
      <w:pPr>
        <w:spacing w:after="0" w:line="239"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We continue to closely monitor ongoing developments in connection with the COVID-19 global pandemic, and its impacts to our commercial and manufacturing operations, including but not limited to disruptions to our supply chain operations, including procurement of raw materials and packaging materials, a portion of which are sourced internationally, and testing of finished drug product that is required prior to its availability for commercial sale.Such testing has historically been performed by contract laboratories outside the United States. In addition, travel and other restrictions that have been implemented in the United States have impacted our commercial efforts with respect to some of our products, including BIVIGAM and ASCENIV, as trade shows, industry and medical conferences and other events we had been planning to utilize and exhibit and attend with our staff to increase awareness of our products by physicians and payers remain subject to reduction in scope, rescheduling or outright cancellation due to the pandemic.</w:t>
      </w:r>
    </w:p>
    <w:p>
      <w:pPr>
        <w:sectPr>
          <w:pgSz w:w="11900" w:h="16838" w:orient="portrait"/>
          <w:cols w:equalWidth="0" w:num="1">
            <w:col w:w="11220"/>
          </w:cols>
          <w:pgMar w:left="320" w:top="118" w:right="359" w:bottom="0" w:gutter="0" w:footer="0" w:header="0"/>
        </w:sectPr>
      </w:pPr>
    </w:p>
    <w:bookmarkStart w:id="23" w:name="page24"/>
    <w:bookmarkEnd w:id="23"/>
    <w:p>
      <w:pPr>
        <w:ind w:firstLine="648"/>
        <w:spacing w:after="0" w:line="271" w:lineRule="auto"/>
        <w:rPr>
          <w:sz w:val="20"/>
          <w:szCs w:val="20"/>
          <w:color w:val="auto"/>
        </w:rPr>
      </w:pPr>
      <w:r>
        <w:rPr>
          <w:rFonts w:ascii="Arial" w:cs="Arial" w:eastAsia="Arial" w:hAnsi="Arial"/>
          <w:sz w:val="19"/>
          <w:szCs w:val="19"/>
          <w:color w:val="auto"/>
        </w:rPr>
        <w:t>Although our consolidated revenues for the three months ended June 30, 2020 were higher than our revenues from the same period of a year ago, they were lower than our revenues for the three months ended March 31, 2020. This decrease was due to certain unforeseen delays and the impact of COVID-19 experienced our by third-party vendors and testing laboratories which perform final drug product GMP release testing. In response to these delays, we have added additional release testing laboratories to our FDA approved consortium listed in our drug approval documents which we believe has adequately addressed this issue. In July 2020, we began receiving FDA lot releases with testing data from our new testing laboratory vendor. In addition, due to previous state and local “shelter-in-place” orders, we experienced lower than normal donor collections at our FDA-approved plasma collection center during the three months ended June 30, 2020. We were also subject to delays in shipments of source plasma from our contracted third-party suppliers, as well as delays in deliveries for personal protective equipment, reagents and other non-plasma raw materials and supplies used in the manufacture of our products. We have also experienced challenges with respect to our customer engagement initiatives, as our sales and medical affairs field forces face difficulties communicating directly with physicians and other healthcare professionals and the cancellation or postponement of a number of key scientific and medical meetings, further limiting our ability to communicate with potential customers. We have implemented a comprehensive suite of virtual engagement initiatives, though clinician engagement remains lower due to continuing COVID-19-related priorities at U.S. medical centers.</w:t>
      </w:r>
    </w:p>
    <w:p>
      <w:pPr>
        <w:spacing w:after="0" w:line="200" w:lineRule="exact"/>
        <w:rPr>
          <w:sz w:val="20"/>
          <w:szCs w:val="20"/>
          <w:color w:val="auto"/>
        </w:rPr>
      </w:pPr>
    </w:p>
    <w:p>
      <w:pPr>
        <w:spacing w:after="0" w:line="235"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As of the date of this report, we do not believe that the operations and immunoglobulin and plasma products production at our Boca Facility, our contract fill/finishers or our plasma collection facility have been significantly impacted by the COVID-19 pandemic. As a result, as of the date of this report, we currently do not anticipate any material impairments with respect to any of our long-lived assets, including our property and equipment, goodwill or intangible assets.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Although the COVID-19 pandemic has not, to date, materially adversely impacted our capital and financial resources, due to the economic uncertainty that has resulted from the pandemic, and the potential impact of such to our stakeholders, we are unable to predict with certainty any potential impacts to our business. Additionally, because we are unable to determine the ultimate duration of the pandemic or its long-term effects on, among other things, the global, national or local economies, the capital and credit markets, our workforce, our customers or our suppliers, at this time we are unable to predict whether the COVID-19 crisis will have a material adverse impact on our business, financial condition, liquidity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82"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233" w:lineRule="exact"/>
        <w:rPr>
          <w:sz w:val="20"/>
          <w:szCs w:val="20"/>
          <w:color w:val="auto"/>
        </w:rPr>
      </w:pPr>
    </w:p>
    <w:p>
      <w:pPr>
        <w:ind w:right="200" w:firstLine="607"/>
        <w:spacing w:after="0" w:line="275" w:lineRule="auto"/>
        <w:rPr>
          <w:sz w:val="20"/>
          <w:szCs w:val="20"/>
          <w:color w:val="auto"/>
        </w:rPr>
      </w:pPr>
      <w:r>
        <w:rPr>
          <w:rFonts w:ascii="Arial" w:cs="Arial" w:eastAsia="Arial" w:hAnsi="Arial"/>
          <w:sz w:val="19"/>
          <w:szCs w:val="19"/>
          <w:color w:val="auto"/>
        </w:rPr>
        <w:t>Revenues for the six months ended June 30, 2020 and 2019 are comprised of (i) revenues from the sale of our FDA-approved immunoglobulin products, (ii) product revenues from the sale of human plasma collected from our Plasma Collection Centers business segment, (iii) product revenues from the sale of intermediate fractions, (iv) contract manufacturing revenue from certain clients, and (v) license revenues attributable to the out-licensing of ASCENIV in December 2012 to Biotest AG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over the term of the Biotest license, representing a period of approximately 22 years.</w:t>
      </w:r>
    </w:p>
    <w:p>
      <w:pPr>
        <w:sectPr>
          <w:pgSz w:w="11900" w:h="16838" w:orient="portrait"/>
          <w:cols w:equalWidth="0" w:num="1">
            <w:col w:w="11220"/>
          </w:cols>
          <w:pgMar w:left="320" w:top="118" w:right="359" w:bottom="180" w:gutter="0" w:footer="0" w:header="0"/>
        </w:sectPr>
      </w:pPr>
    </w:p>
    <w:bookmarkStart w:id="24" w:name="page25"/>
    <w:bookmarkEnd w:id="24"/>
    <w:p>
      <w:pPr>
        <w:ind w:firstLine="607"/>
        <w:spacing w:after="0" w:line="274" w:lineRule="auto"/>
        <w:rPr>
          <w:sz w:val="20"/>
          <w:szCs w:val="20"/>
          <w:color w:val="auto"/>
        </w:rPr>
      </w:pPr>
      <w:r>
        <w:rPr>
          <w:rFonts w:ascii="Arial" w:cs="Arial" w:eastAsia="Arial" w:hAnsi="Arial"/>
          <w:sz w:val="19"/>
          <w:szCs w:val="19"/>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immunoglobulin products is generally recognized when the product reaches the customer’s destination, and is recorded net of distributor fees, estimated rebates, price protection arrangements and customer incentives, including prompt pay discounts, wholesaler chargebacks and other wholesaler fees. These estimates are based on historical experience and certain other assumptions, and we believe that such estimates are reasonable. For revenues associated with contract manufacturing and sales of our intermediates, control transfers to the customer and the performance obligation is satisfied when the customer takes possession of the product from the Boca Facility or a third-party warehouse that is utilized by the Company.</w:t>
      </w:r>
    </w:p>
    <w:p>
      <w:pPr>
        <w:spacing w:after="0" w:line="186" w:lineRule="exact"/>
        <w:rPr>
          <w:sz w:val="20"/>
          <w:szCs w:val="20"/>
          <w:color w:val="auto"/>
        </w:rPr>
      </w:pPr>
    </w:p>
    <w:p>
      <w:pPr>
        <w:ind w:right="100" w:firstLine="607"/>
        <w:spacing w:after="0" w:line="236" w:lineRule="auto"/>
        <w:rPr>
          <w:sz w:val="20"/>
          <w:szCs w:val="20"/>
          <w:color w:val="auto"/>
        </w:rPr>
      </w:pPr>
      <w:r>
        <w:rPr>
          <w:rFonts w:ascii="Arial" w:cs="Arial" w:eastAsia="Arial" w:hAnsi="Arial"/>
          <w:sz w:val="22"/>
          <w:szCs w:val="22"/>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 Payments received from customers where the foregoing revenue recognition criteria have not been satisfied are recorded as deferred revenue, which is reflected as a liability in our consolidated balance sheets.</w:t>
      </w:r>
    </w:p>
    <w:p>
      <w:pPr>
        <w:spacing w:after="0" w:line="214" w:lineRule="exact"/>
        <w:rPr>
          <w:sz w:val="20"/>
          <w:szCs w:val="20"/>
          <w:color w:val="auto"/>
        </w:rPr>
      </w:pPr>
    </w:p>
    <w:p>
      <w:pPr>
        <w:jc w:val="both"/>
        <w:ind w:right="120" w:firstLine="607"/>
        <w:spacing w:after="0" w:line="257" w:lineRule="auto"/>
        <w:rPr>
          <w:sz w:val="20"/>
          <w:szCs w:val="20"/>
          <w:color w:val="auto"/>
        </w:rPr>
      </w:pPr>
      <w:r>
        <w:rPr>
          <w:rFonts w:ascii="Arial" w:cs="Arial" w:eastAsia="Arial" w:hAnsi="Arial"/>
          <w:sz w:val="21"/>
          <w:szCs w:val="21"/>
          <w:color w:val="auto"/>
        </w:rPr>
        <w:t>For the six months ended June 30, 2020, three customers represented an aggregate of 81% of our consolidated revenues, with BioCARE, Inc. (“BioCare”), Biolife Plasma Services, L.P. (“Biolife”) and Reliance Life Sciences Pvt Limited (“Reliance”) representing approximately 47%, 20%, and 14%, respectively, of our consolidated revenues.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Accounts Receivable</w:t>
      </w:r>
    </w:p>
    <w:p>
      <w:pPr>
        <w:spacing w:after="0" w:line="233"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Accounts receivable are reported at realizable value, net of allowances for contractual credits and doubtful accounts, which are recognized in the period the related revenue is recorded.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 of Product Revenue</w:t>
      </w:r>
    </w:p>
    <w:p>
      <w:pPr>
        <w:spacing w:after="0" w:line="233"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Costs of production for ASCENIV and BIVIGAM prior to their FDA approval dates of April 1, 2019 and May 9, 2019, respectively, were not capitalized into inventory but were instead expensed as incurred. In addition, costs associated with the production of conformance or engineering lots that would not qualify as immediately available for commercial sale are charged to cost of product revenue in the period the lots were produced.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Stock-Based Compensation</w:t>
      </w:r>
    </w:p>
    <w:p>
      <w:pPr>
        <w:spacing w:after="0" w:line="233"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 xml:space="preserve">All equity-based payments, including grants of stock options and restricted stock units (“RSUs”) are recognized at their estimated fair value at the grant date, and compensation expense is recognized on a straight-line basis over the grantee’s requisite vesting period. During the six months ended June 30, 2020, we granted RSUs to members of our Board of Directors and certain members of our management and employees representing an aggregate of 341,000 shares of common stock. For the purpose of valuing stock options granted to our employees, directors and officers, we use the Black-Scholes option pricing model. We granted options to purchase an aggregate of 1,232,500 and 1,429,100 shares of common stock during the six months ended June 30, 2020 and 2019, respectively. To determine the risk-free interest rate, we utilized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In accordance with Accounting Standards Update (“ASU”) No. 2016-09, </w:t>
      </w:r>
      <w:r>
        <w:rPr>
          <w:rFonts w:ascii="Arial" w:cs="Arial" w:eastAsia="Arial" w:hAnsi="Arial"/>
          <w:sz w:val="19"/>
          <w:szCs w:val="19"/>
          <w:i w:val="1"/>
          <w:iCs w:val="1"/>
          <w:color w:val="auto"/>
        </w:rPr>
        <w:t>Improvements to Employee Share-Based Payment</w:t>
      </w:r>
      <w:r>
        <w:rPr>
          <w:rFonts w:ascii="Arial" w:cs="Arial" w:eastAsia="Arial" w:hAnsi="Arial"/>
          <w:sz w:val="19"/>
          <w:szCs w:val="19"/>
          <w:color w:val="auto"/>
        </w:rPr>
        <w:t xml:space="preserve"> </w:t>
      </w:r>
      <w:r>
        <w:rPr>
          <w:rFonts w:ascii="Arial" w:cs="Arial" w:eastAsia="Arial" w:hAnsi="Arial"/>
          <w:sz w:val="19"/>
          <w:szCs w:val="19"/>
          <w:i w:val="1"/>
          <w:iCs w:val="1"/>
          <w:color w:val="auto"/>
        </w:rPr>
        <w:t>Accounting (Topic 718)</w:t>
      </w:r>
      <w:r>
        <w:rPr>
          <w:rFonts w:ascii="Arial" w:cs="Arial" w:eastAsia="Arial" w:hAnsi="Arial"/>
          <w:sz w:val="19"/>
          <w:szCs w:val="19"/>
          <w:color w:val="auto"/>
        </w:rPr>
        <w:t>, we have elected not to establish a forfeiture rate, as stock-based compensation expense related to</w:t>
      </w:r>
      <w:r>
        <w:rPr>
          <w:rFonts w:ascii="Arial" w:cs="Arial" w:eastAsia="Arial" w:hAnsi="Arial"/>
          <w:sz w:val="19"/>
          <w:szCs w:val="19"/>
          <w:i w:val="1"/>
          <w:iCs w:val="1"/>
          <w:color w:val="auto"/>
        </w:rPr>
        <w:t xml:space="preserve"> </w:t>
      </w:r>
      <w:r>
        <w:rPr>
          <w:rFonts w:ascii="Arial" w:cs="Arial" w:eastAsia="Arial" w:hAnsi="Arial"/>
          <w:sz w:val="19"/>
          <w:szCs w:val="19"/>
          <w:color w:val="auto"/>
        </w:rPr>
        <w:t>forfeitures of unvested stock options is fully reversed at the time of forfeiture.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Expenses</w:t>
      </w:r>
    </w:p>
    <w:p>
      <w:pPr>
        <w:spacing w:after="0" w:line="233" w:lineRule="exact"/>
        <w:rPr>
          <w:sz w:val="20"/>
          <w:szCs w:val="20"/>
          <w:color w:val="auto"/>
        </w:rPr>
      </w:pPr>
    </w:p>
    <w:p>
      <w:pPr>
        <w:ind w:right="180" w:firstLine="648"/>
        <w:spacing w:after="0" w:line="279" w:lineRule="auto"/>
        <w:rPr>
          <w:sz w:val="20"/>
          <w:szCs w:val="20"/>
          <w:color w:val="auto"/>
        </w:rPr>
      </w:pPr>
      <w:r>
        <w:rPr>
          <w:rFonts w:ascii="Arial" w:cs="Arial" w:eastAsia="Arial" w:hAnsi="Arial"/>
          <w:sz w:val="19"/>
          <w:szCs w:val="19"/>
          <w:color w:val="auto"/>
        </w:rPr>
        <w:t>Our research and development (“R&amp;D”) costs consist of clinical research organization costs, costs related to clinical trials, testing and evaluation of new or alternative products or processes, studies for potentially extending a product’s approved and labeled expiration dating and other potential label expansions, post-marketing commitment studies for BIVIGAM and ASCENIV, wages, benefits and stock-based compensation for employees directly related to research and development activities and, prior to April 1, 2019, assay development and testing, storage and transportation costs for high-titer plasma used in the manufacture of ASCENIV. All research and development costs are expensed as incurred.</w:t>
      </w:r>
    </w:p>
    <w:p>
      <w:pPr>
        <w:sectPr>
          <w:pgSz w:w="11900" w:h="16838" w:orient="portrait"/>
          <w:cols w:equalWidth="0" w:num="1">
            <w:col w:w="11240"/>
          </w:cols>
          <w:pgMar w:left="320" w:top="118" w:right="339" w:bottom="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i w:val="1"/>
          <w:iCs w:val="1"/>
          <w:color w:val="auto"/>
        </w:rPr>
        <w:t>Impairment of Long-Lived Assets</w:t>
      </w:r>
    </w:p>
    <w:p>
      <w:pPr>
        <w:spacing w:after="0" w:line="234"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six months ended June 30, 2020 and 2019, we determined that there was no impairment of our long-lived assets.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the reporting unit associated with the goodwill is less than its carrying amount, including goodwill and other intangible assets. If we conclude that this is the case, then we must perform a goodwill impairment test by comparing the fair value of the reporting unit to its carrying value.An impairment charge is recorded to the extent the reporting unit’s carrying value exceeds its fair value, with the impairment loss recognized not to exceed the total amount of goodwill allocated to that reporting unit.We did not recognize any impairment charges related to goodwill for the six months ended June 30, 2020 and 2019.</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w:t>
      </w:r>
    </w:p>
    <w:p>
      <w:pPr>
        <w:spacing w:after="0" w:line="233"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In June 2016, the Financial Accounting Standards Board (the “FASB”) issued Accounting Standards Update (“ASU”) No. 2016-13, </w:t>
      </w:r>
      <w:r>
        <w:rPr>
          <w:rFonts w:ascii="Arial" w:cs="Arial" w:eastAsia="Arial" w:hAnsi="Arial"/>
          <w:sz w:val="19"/>
          <w:szCs w:val="19"/>
          <w:i w:val="1"/>
          <w:iCs w:val="1"/>
          <w:color w:val="auto"/>
        </w:rPr>
        <w:t>Financial Instruments – Credit Losses (Topic 326)</w:t>
      </w:r>
      <w:r>
        <w:rPr>
          <w:rFonts w:ascii="Arial" w:cs="Arial" w:eastAsia="Arial" w:hAnsi="Arial"/>
          <w:sz w:val="19"/>
          <w:szCs w:val="19"/>
          <w:color w:val="auto"/>
        </w:rPr>
        <w:t xml:space="preserve"> (“ASU 2016-13”), which requires financial assets to be presented at the net amount expected to be collected, with 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2019.We adopted ASU No. 2016-13, and the adoption of this update did not have a significant impact on our consolidated financial statements.</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In July 2017, the FASB issued ASU No. 2017-11, </w:t>
      </w:r>
      <w:r>
        <w:rPr>
          <w:rFonts w:ascii="Arial" w:cs="Arial" w:eastAsia="Arial" w:hAnsi="Arial"/>
          <w:sz w:val="19"/>
          <w:szCs w:val="19"/>
          <w:i w:val="1"/>
          <w:iCs w:val="1"/>
          <w:color w:val="auto"/>
        </w:rPr>
        <w:t>Earnings Per Share (Topic 260), Distinguishing Liabilities from Equity</w:t>
      </w:r>
      <w:r>
        <w:rPr>
          <w:rFonts w:ascii="Arial" w:cs="Arial" w:eastAsia="Arial" w:hAnsi="Arial"/>
          <w:sz w:val="19"/>
          <w:szCs w:val="19"/>
          <w:color w:val="auto"/>
        </w:rPr>
        <w:t xml:space="preserve"> </w:t>
      </w:r>
      <w:r>
        <w:rPr>
          <w:rFonts w:ascii="Arial" w:cs="Arial" w:eastAsia="Arial" w:hAnsi="Arial"/>
          <w:sz w:val="19"/>
          <w:szCs w:val="19"/>
          <w:i w:val="1"/>
          <w:iCs w:val="1"/>
          <w:color w:val="auto"/>
        </w:rPr>
        <w:t>(Topic 480), Derivatives and Hedging (Topic 815)</w:t>
      </w:r>
      <w:r>
        <w:rPr>
          <w:rFonts w:ascii="Arial" w:cs="Arial" w:eastAsia="Arial" w:hAnsi="Arial"/>
          <w:sz w:val="19"/>
          <w:szCs w:val="19"/>
          <w:color w:val="auto"/>
        </w:rPr>
        <w:t>” (“ASU 2017-11”). ASU 2017-11 changed the classification analysis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9"/>
          <w:szCs w:val="19"/>
          <w:i w:val="1"/>
          <w:iCs w:val="1"/>
          <w:color w:val="auto"/>
        </w:rPr>
        <w:t>Debt—Debt with Conversion and Other</w:t>
      </w:r>
      <w:r>
        <w:rPr>
          <w:rFonts w:ascii="Arial" w:cs="Arial" w:eastAsia="Arial" w:hAnsi="Arial"/>
          <w:sz w:val="19"/>
          <w:szCs w:val="19"/>
          <w:color w:val="auto"/>
        </w:rPr>
        <w:t xml:space="preserve"> </w:t>
      </w:r>
      <w:r>
        <w:rPr>
          <w:rFonts w:ascii="Arial" w:cs="Arial" w:eastAsia="Arial" w:hAnsi="Arial"/>
          <w:sz w:val="19"/>
          <w:szCs w:val="19"/>
          <w:i w:val="1"/>
          <w:iCs w:val="1"/>
          <w:color w:val="auto"/>
        </w:rPr>
        <w:t>Options.</w:t>
      </w:r>
      <w:r>
        <w:rPr>
          <w:rFonts w:ascii="Arial" w:cs="Arial" w:eastAsia="Arial" w:hAnsi="Arial"/>
          <w:sz w:val="19"/>
          <w:szCs w:val="19"/>
          <w:color w:val="auto"/>
        </w:rPr>
        <w:t>” ASU 2017-11 became effective for us on January 1, 2019, and this update did not have a significant impact on our</w:t>
      </w:r>
      <w:r>
        <w:rPr>
          <w:rFonts w:ascii="Arial" w:cs="Arial" w:eastAsia="Arial" w:hAnsi="Arial"/>
          <w:sz w:val="19"/>
          <w:szCs w:val="19"/>
          <w:i w:val="1"/>
          <w:iCs w:val="1"/>
          <w:color w:val="auto"/>
        </w:rPr>
        <w:t xml:space="preserve"> </w:t>
      </w:r>
      <w:r>
        <w:rPr>
          <w:rFonts w:ascii="Arial" w:cs="Arial" w:eastAsia="Arial" w:hAnsi="Arial"/>
          <w:sz w:val="19"/>
          <w:szCs w:val="19"/>
          <w:color w:val="auto"/>
        </w:rPr>
        <w:t>consolidated financial statements.</w:t>
      </w:r>
    </w:p>
    <w:p>
      <w:pPr>
        <w:spacing w:after="0" w:line="200" w:lineRule="exact"/>
        <w:rPr>
          <w:sz w:val="20"/>
          <w:szCs w:val="20"/>
          <w:color w:val="auto"/>
        </w:rPr>
      </w:pPr>
    </w:p>
    <w:p>
      <w:pPr>
        <w:spacing w:after="0" w:line="238"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In February 2016, the FASB issued ASU No. 2016-02, </w:t>
      </w:r>
      <w:r>
        <w:rPr>
          <w:rFonts w:ascii="Arial" w:cs="Arial" w:eastAsia="Arial" w:hAnsi="Arial"/>
          <w:sz w:val="19"/>
          <w:szCs w:val="19"/>
          <w:i w:val="1"/>
          <w:iCs w:val="1"/>
          <w:color w:val="auto"/>
        </w:rPr>
        <w:t>Leases</w:t>
      </w:r>
      <w:r>
        <w:rPr>
          <w:rFonts w:ascii="Arial" w:cs="Arial" w:eastAsia="Arial" w:hAnsi="Arial"/>
          <w:sz w:val="19"/>
          <w:szCs w:val="19"/>
          <w:color w:val="auto"/>
        </w:rPr>
        <w:t xml:space="preserve"> (Topic 842) (“ASU 2016-02”), which requires lessees to recognize assets and liabilities for the rights and obligations created by most leases on their balance sheet. The guidance became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We adopted ASU 2016-02 on January 1, 2019 using the option to recognize the cumulative-effect adjustment, if any, as of the date of application, which was also January 1, 2019. As a result, there was no restatement of comparative periods. We recognized right-to-use assets of approximately $1.4 million and corresponding lease liabilities of approximately $1.6 million at the date of adoption. We also elected the “package of practical expedients,” which permits us to not reassess under the new standard our prior conclusions about lease identification, lease classification and initial direct costs. In addition, we elected the short-term lease recognition exemption for all or embedded leases that qualify.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Months Ended June 30, 2020 Compared to Three Months Ended June 30, 2019</w:t>
      </w:r>
    </w:p>
    <w:p>
      <w:pPr>
        <w:spacing w:after="0" w:line="239"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The following table presents a summary of the changes in our results of operations for the three months ended June 30, 2020, our second fiscal quarter, compared to the three months ended June 30, 2019:</w:t>
      </w:r>
    </w:p>
    <w:p>
      <w:pPr>
        <w:sectPr>
          <w:pgSz w:w="11900" w:h="16838" w:orient="portrait"/>
          <w:cols w:equalWidth="0" w:num="1">
            <w:col w:w="11240"/>
          </w:cols>
          <w:pgMar w:left="320" w:top="118" w:right="339" w:bottom="0" w:gutter="0" w:footer="0" w:header="0"/>
        </w:sectPr>
      </w:pPr>
    </w:p>
    <w:bookmarkStart w:id="26" w:name="page27"/>
    <w:bookmarkEnd w:id="26"/>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gridSpan w:val="9"/>
          </w:tcPr>
          <w:p>
            <w:pPr>
              <w:jc w:val="right"/>
              <w:ind w:right="56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7,787,594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6,560,942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7"/>
              </w:rPr>
              <w:t>Cost of product revenue (exclusive of amortization expense shown below)</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13,495,629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10,491,236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(5,708,035)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(3,930,294)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(1,777,741)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1,656,420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516,986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594,113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178,838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8,702,630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6,086,047</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2,616,583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(17,123,825)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(11,338,674)</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(5,785,151)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(3,067,306)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(2,072,578)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199,380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(186,340)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(20,178,091)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(13,211,872)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(6,966,219)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ind w:right="240" w:firstLine="648"/>
        <w:spacing w:after="0" w:line="287" w:lineRule="auto"/>
        <w:rPr>
          <w:sz w:val="20"/>
          <w:szCs w:val="20"/>
          <w:color w:val="auto"/>
        </w:rPr>
      </w:pPr>
      <w:r>
        <w:rPr>
          <w:rFonts w:ascii="Arial" w:cs="Arial" w:eastAsia="Arial" w:hAnsi="Arial"/>
          <w:sz w:val="19"/>
          <w:szCs w:val="19"/>
          <w:color w:val="auto"/>
        </w:rPr>
        <w:t>We recorded total revenues of $7.8 million during the three months ended June 30, 2020, as compared to $6.6 million during the three months ended June 30, 2019, an increase of $1.2 million, or approximately 19%. The increase is mainly due to increased sales of our immunoglobulin products generated by our Boca Facility manufacturing operations in 2020 totaling $2.5 million, partially offset by a $1.3 million decrease in plasma revenues generated by our plasma collection facility.</w:t>
      </w:r>
    </w:p>
    <w:p>
      <w:pPr>
        <w:spacing w:after="0" w:line="170"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Our revenues for the second quarter of 2020 as compared to the second quarter of 2019 were favorably impacted by the FDA approvals of BIVIGAM and ASCENIV on May 9, 2019 and April 1, 2019, respectively, and by the manufacturing and supply agreement we entered into in January 2020 to produce and sell intermediate fractions to a certain customer. Our second quarter plasma center revenues were negatively impacted by the COVID-19 pandemic due to “shelter-in-place” orders in effect during the quarter, which resulted in lower than normal donor collections at our plasma collection facility.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 of Product Revenue</w:t>
      </w:r>
    </w:p>
    <w:p>
      <w:pPr>
        <w:spacing w:after="0" w:line="233"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Cost of product revenue was $13.5 million for the three months ended June 30, 2020, as compared to $10.5 million for the three months ended June 30, 2019. This increase reflects $2.7 million in production costs incurred for the manufacture of BIVIGAM conformance lots at an increased plasma pool production scale that pertains to our planned capacity expansion at the Boca Facility. Because we will require a new PAS from the FDA before the inventory comprising these conformance lots will be available for commercial sale, these costs were expensed as incurred and were not capitalized into inventory. We also experienced increased cost of product revenue in 2020 corresponding to the increase in immunoglobulin revenues of $4.4 million, partially offset by a decrease in unabsorbed manufacturing expenses at the Boca Facility of $3.0 million and lower cost of plasma product revenue of $1.1 million.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Expenses</w:t>
      </w:r>
    </w:p>
    <w:p>
      <w:pPr>
        <w:spacing w:after="0" w:line="233"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R&amp;D expenses totaled $1.7 million for the three months ended June 30, 2020, as compared to $0.5 million for the three months ended June 30, 2019. The increase is primarily due to $0.8 million in costs incurred during 2020 for the testing and development of a new filling line at one of our third-party fill/finishers for a process that has not been approved by the FDA and $0.2 million of non-recurring costs associated with our participation in a third-party clinical research project.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Plasma Center Operating Expenses</w:t>
      </w:r>
    </w:p>
    <w:p>
      <w:pPr>
        <w:spacing w:after="0" w:line="233"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Plasma center operating expenses were $0.9 million for the three months ended June 30, 2020, as compared to $0.6 million for the three months ended June 30, 2019.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increase in plasma center operating expenses is mainly attributable to increased staffing and travel expenses related to our plasma center expansion activities.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Amortization of Intangibles</w:t>
      </w:r>
    </w:p>
    <w:p>
      <w:pPr>
        <w:spacing w:after="0" w:line="233"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Amortization expense pertains to the amortization of intangible assets acquired in the Biotest Transaction, and was $0.2 million for the three months ended June 30, 2020 and 2019.</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Selling, General and Administrative Expenses</w:t>
      </w:r>
    </w:p>
    <w:p>
      <w:pPr>
        <w:spacing w:after="0" w:line="233"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Selling, general and administrative (“SG&amp;A”) expenses were $8.7 million for the three months ended June 30, 2020, an increase of $2.6 million from the three months ended June 30, 2019. The increase was mainly due to higher employee</w:t>
      </w:r>
    </w:p>
    <w:p>
      <w:pPr>
        <w:sectPr>
          <w:pgSz w:w="11900" w:h="16838" w:orient="portrait"/>
          <w:cols w:equalWidth="0" w:num="1">
            <w:col w:w="11240"/>
          </w:cols>
          <w:pgMar w:left="320" w:top="121" w:right="339" w:bottom="0" w:gutter="0" w:footer="0" w:header="0"/>
        </w:sectPr>
      </w:pPr>
    </w:p>
    <w:bookmarkStart w:id="27" w:name="page28"/>
    <w:bookmarkEnd w:id="27"/>
    <w:p>
      <w:pPr>
        <w:jc w:val="both"/>
        <w:ind w:right="360"/>
        <w:spacing w:after="0" w:line="297" w:lineRule="auto"/>
        <w:rPr>
          <w:sz w:val="20"/>
          <w:szCs w:val="20"/>
          <w:color w:val="auto"/>
        </w:rPr>
      </w:pPr>
      <w:r>
        <w:rPr>
          <w:rFonts w:ascii="Arial" w:cs="Arial" w:eastAsia="Arial" w:hAnsi="Arial"/>
          <w:sz w:val="19"/>
          <w:szCs w:val="19"/>
          <w:color w:val="auto"/>
        </w:rPr>
        <w:t>compensation expenses of $1.3 million related to staffing increases in support of our commercialization efforts for BIVIGAM and ASCENIV, as well as the overall growth in the size and scope of our operations, $0.5 million in marketing and consulting fees associated with our ASCENIV commercialization efforts and $0.5 million in increased insurance expense.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Loss from Operations</w:t>
      </w:r>
    </w:p>
    <w:p>
      <w:pPr>
        <w:spacing w:after="0" w:line="233"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Our operating loss was $17.1 million for the second quarter of 2020, as compared to $11.3 million for the second quarter of 2019. The $5.8 million increase in operating loss was mainly due to the increases in cost of product revenue, R&amp;D and SG&amp;A expenses, partially offset by the increase in revenues.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Expense</w:t>
      </w:r>
    </w:p>
    <w:p>
      <w:pPr>
        <w:spacing w:after="0" w:line="233" w:lineRule="exact"/>
        <w:rPr>
          <w:sz w:val="20"/>
          <w:szCs w:val="20"/>
          <w:color w:val="auto"/>
        </w:rPr>
      </w:pPr>
    </w:p>
    <w:p>
      <w:pPr>
        <w:jc w:val="both"/>
        <w:ind w:right="280" w:firstLine="648"/>
        <w:spacing w:after="0" w:line="238" w:lineRule="auto"/>
        <w:rPr>
          <w:sz w:val="20"/>
          <w:szCs w:val="20"/>
          <w:color w:val="auto"/>
        </w:rPr>
      </w:pPr>
      <w:r>
        <w:rPr>
          <w:rFonts w:ascii="Arial" w:cs="Arial" w:eastAsia="Arial" w:hAnsi="Arial"/>
          <w:sz w:val="22"/>
          <w:szCs w:val="22"/>
          <w:color w:val="auto"/>
        </w:rPr>
        <w:t>Interest expense was $3.1 million for the three months ended June 30, 2020, as compared to $2.1 million for the three months ended June 30, 2019. Throughout the second quarter of 2020, we had $85.0 million in outstanding principal under our senior credit facility.During the same period of a year ago, our outstanding senior debt ranged from $45.0 to $72.5 million (see “Liquidity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Loss</w:t>
      </w:r>
    </w:p>
    <w:p>
      <w:pPr>
        <w:spacing w:after="0" w:line="233"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Our net loss was $20.2 million for the three months ended June 30, 2020, as compared to $13.2 million for the three months ended June 30, 2019.The increase in net loss of $7.0 million was primarily due to the increase in operating loss for the quarter of $5.8 million and to $1.0 million of higher interest expense.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Six Months Ended June 30, 2020 Compared to Six Months Ended June 30, 2019</w:t>
      </w:r>
    </w:p>
    <w:p>
      <w:pPr>
        <w:spacing w:after="0" w:line="239" w:lineRule="exact"/>
        <w:rPr>
          <w:sz w:val="20"/>
          <w:szCs w:val="20"/>
          <w:color w:val="auto"/>
        </w:rPr>
      </w:pPr>
    </w:p>
    <w:p>
      <w:pPr>
        <w:ind w:right="520" w:firstLine="607"/>
        <w:spacing w:after="0" w:line="250" w:lineRule="auto"/>
        <w:rPr>
          <w:sz w:val="20"/>
          <w:szCs w:val="20"/>
          <w:color w:val="auto"/>
        </w:rPr>
      </w:pPr>
      <w:r>
        <w:rPr>
          <w:rFonts w:ascii="Arial" w:cs="Arial" w:eastAsia="Arial" w:hAnsi="Arial"/>
          <w:sz w:val="22"/>
          <w:szCs w:val="22"/>
          <w:color w:val="auto"/>
        </w:rPr>
        <w:t>The following table presents a summary of the changes in our results of operations for the six months ended June 30, 2020, compared to the six months ended June 30,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80" w:type="dxa"/>
            <w:vAlign w:val="bottom"/>
            <w:gridSpan w:val="9"/>
          </w:tcPr>
          <w:p>
            <w:pPr>
              <w:jc w:val="right"/>
              <w:ind w:right="700"/>
              <w:spacing w:after="0"/>
              <w:rPr>
                <w:sz w:val="20"/>
                <w:szCs w:val="20"/>
                <w:color w:val="auto"/>
              </w:rPr>
            </w:pPr>
            <w:r>
              <w:rPr>
                <w:rFonts w:ascii="Arial" w:cs="Arial" w:eastAsia="Arial" w:hAnsi="Arial"/>
                <w:sz w:val="18"/>
                <w:szCs w:val="18"/>
                <w:b w:val="1"/>
                <w:bCs w:val="1"/>
                <w:color w:val="auto"/>
              </w:rPr>
              <w:t>Six Months Ended 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1"/>
              <w:spacing w:after="0" w:line="191" w:lineRule="exact"/>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$ 17,987,338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$ 10,089,531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7,897,807</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7"/>
              </w:rPr>
              <w:t>Cost of product revenue (exclusive of amortization expense shown below)</w:t>
            </w:r>
          </w:p>
        </w:tc>
        <w:tc>
          <w:tcPr>
            <w:tcW w:w="4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30,324,855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10,428,440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(12,337,517)</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(9,806,884)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(2,530,633)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3,185,158</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1,387,621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1,797,537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1,378,546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1,248,599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129,947</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357,676</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422,469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(64,793)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16,634,714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11,681,517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4,953,197</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(33,893,611)</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(24,547,090)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(9,346,521)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(5,784,397)</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(3,613,085)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(2,171,312)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(9,962,495)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9,962,495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11,527,421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(11,527,421)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254,687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315,422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(60,735)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0" w:type="dxa"/>
            <w:vAlign w:val="bottom"/>
            <w:vMerge w:val="continue"/>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3"/>
            <w:shd w:val="clear" w:color="auto" w:fill="CCEEFF"/>
          </w:tcPr>
          <w:p>
            <w:pPr>
              <w:jc w:val="right"/>
              <w:ind w:right="60"/>
              <w:spacing w:after="0" w:line="21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(39,423,321</w:t>
            </w:r>
            <w:r>
              <w:rPr>
                <w:rFonts w:ascii="Arial" w:cs="Arial" w:eastAsia="Arial" w:hAnsi="Arial"/>
                <w:sz w:val="24"/>
                <w:szCs w:val="24"/>
                <w:color w:val="auto"/>
                <w:vertAlign w:val="subscript"/>
              </w:rPr>
              <w:t>)</w:t>
            </w:r>
          </w:p>
        </w:tc>
        <w:tc>
          <w:tcPr>
            <w:tcW w:w="1160" w:type="dxa"/>
            <w:vAlign w:val="bottom"/>
            <w:gridSpan w:val="3"/>
            <w:shd w:val="clear" w:color="auto" w:fill="CCEEFF"/>
          </w:tcPr>
          <w:p>
            <w:pPr>
              <w:jc w:val="right"/>
              <w:ind w:right="60"/>
              <w:spacing w:after="0" w:line="21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(26,279,827</w:t>
            </w:r>
            <w:r>
              <w:rPr>
                <w:rFonts w:ascii="Arial" w:cs="Arial" w:eastAsia="Arial" w:hAnsi="Arial"/>
                <w:sz w:val="24"/>
                <w:szCs w:val="24"/>
                <w:color w:val="auto"/>
                <w:vertAlign w:val="subscript"/>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0"/>
              <w:spacing w:after="0" w:line="210" w:lineRule="exact"/>
              <w:rPr>
                <w:sz w:val="20"/>
                <w:szCs w:val="20"/>
                <w:color w:val="auto"/>
              </w:rPr>
            </w:pPr>
            <w:r>
              <w:rPr>
                <w:rFonts w:ascii="Arial" w:cs="Arial" w:eastAsia="Arial" w:hAnsi="Arial"/>
                <w:sz w:val="14"/>
                <w:szCs w:val="14"/>
                <w:color w:val="auto"/>
              </w:rPr>
              <w:t>(13,143,494</w:t>
            </w:r>
            <w:r>
              <w:rPr>
                <w:rFonts w:ascii="Arial" w:cs="Arial" w:eastAsia="Arial" w:hAnsi="Arial"/>
                <w:sz w:val="24"/>
                <w:szCs w:val="24"/>
                <w:color w:val="auto"/>
                <w:vertAlign w:val="subscript"/>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860" w:type="dxa"/>
            <w:vAlign w:val="bottom"/>
            <w:tcBorders>
              <w:bottom w:val="single" w:sz="8" w:color="auto"/>
            </w:tcBorders>
          </w:tcPr>
          <w:p>
            <w:pPr>
              <w:spacing w:after="0"/>
              <w:rPr>
                <w:sz w:val="24"/>
                <w:szCs w:val="24"/>
                <w:color w:val="auto"/>
              </w:rPr>
            </w:pPr>
          </w:p>
        </w:tc>
        <w:tc>
          <w:tcPr>
            <w:tcW w:w="5740" w:type="dxa"/>
            <w:vAlign w:val="bottom"/>
            <w:tcBorders>
              <w:top w:val="single" w:sz="8" w:color="CCEEFF"/>
              <w:bottom w:val="single" w:sz="8" w:color="auto"/>
            </w:tcBorders>
          </w:tcPr>
          <w:p>
            <w:pPr>
              <w:ind w:left="4680"/>
              <w:spacing w:after="0"/>
              <w:rPr>
                <w:sz w:val="20"/>
                <w:szCs w:val="20"/>
                <w:color w:val="auto"/>
              </w:rPr>
            </w:pPr>
            <w:r>
              <w:rPr>
                <w:rFonts w:ascii="Arial" w:cs="Arial" w:eastAsia="Arial" w:hAnsi="Arial"/>
                <w:sz w:val="18"/>
                <w:szCs w:val="18"/>
                <w:color w:val="auto"/>
              </w:rPr>
              <w:t>30</w:t>
            </w:r>
          </w:p>
        </w:tc>
        <w:tc>
          <w:tcPr>
            <w:tcW w:w="42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ind w:right="240" w:firstLine="648"/>
        <w:spacing w:after="0" w:line="287" w:lineRule="auto"/>
        <w:rPr>
          <w:sz w:val="20"/>
          <w:szCs w:val="20"/>
          <w:color w:val="auto"/>
        </w:rPr>
      </w:pPr>
      <w:r>
        <w:rPr>
          <w:rFonts w:ascii="Arial" w:cs="Arial" w:eastAsia="Arial" w:hAnsi="Arial"/>
          <w:sz w:val="19"/>
          <w:szCs w:val="19"/>
          <w:color w:val="auto"/>
        </w:rPr>
        <w:t>We recorded total revenues of approximately $18.0 million during the six months ended June 30, 2020, as compared to $10.1 million during the six months ended June 30, 2019, an increase of $7.9 million, or 78%. The increase is mainly due to increased sales of our immunoglobulin products generated by our Boca Facility manufacturing operations in 2020 totaling $8.9 million, partially offset by a $1.0 million decrease in plasma revenues generated by our plasma collection facility.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 of Product Revenue</w:t>
      </w:r>
    </w:p>
    <w:p>
      <w:pPr>
        <w:spacing w:after="0" w:line="233"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Cost of product revenue was $30.3 million for the six months ended June 30, 2020, as compared to $19.9 million for the six months ended June 30, 2019. This increase reflects $6.6 million in production costs incurred for the manufacture of BIVIGAM conformance lots at an increased plasma pool production scale in connection with our planned capacity expansion and other production initiatives and investments at the Boca Facility. Cost of product revenue for the first six months of 2020 also reflects increases in cost of product revenue of approximately $8.1 million related to the increase in revenues, partially offset by a $4.7 million reduction in unabsorbed manufacturing expenses resulting from increased production throughput at the Boca Facility.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Expenses</w:t>
      </w:r>
    </w:p>
    <w:p>
      <w:pPr>
        <w:sectPr>
          <w:pgSz w:w="11900" w:h="16838" w:orient="portrait"/>
          <w:cols w:equalWidth="0" w:num="1">
            <w:col w:w="11240"/>
          </w:cols>
          <w:pgMar w:left="320" w:top="118" w:right="339" w:bottom="67" w:gutter="0" w:footer="0" w:header="0"/>
        </w:sectPr>
      </w:pPr>
    </w:p>
    <w:bookmarkStart w:id="28" w:name="page29"/>
    <w:bookmarkEnd w:id="28"/>
    <w:p>
      <w:pPr>
        <w:ind w:firstLine="648"/>
        <w:spacing w:after="0" w:line="235" w:lineRule="auto"/>
        <w:rPr>
          <w:sz w:val="20"/>
          <w:szCs w:val="20"/>
          <w:color w:val="auto"/>
        </w:rPr>
      </w:pPr>
      <w:r>
        <w:rPr>
          <w:rFonts w:ascii="Arial" w:cs="Arial" w:eastAsia="Arial" w:hAnsi="Arial"/>
          <w:sz w:val="22"/>
          <w:szCs w:val="22"/>
          <w:color w:val="auto"/>
        </w:rPr>
        <w:t>R&amp;D expenses totaled $3.2 million for the six months ended June 30, 2020, as compared to $1.4 million for the six months ended June 30, 2019. The increase is primarily due to $0.8 million in costs incurred during 2020 for the testing and development of a new filling line at one of our third party fill/finishers for a process that has not been approved by the FDA, $0.4 million of costs incurred during 2020 for a study we commenced to potentially extend ASCENIV’s approved and labeled expiration dating, and to increased expenses for clinical studies related to post-marketing commitments for BIVIGAM, an obligation we assumed in the Biotest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Plasma Center Operating Expenses</w:t>
      </w:r>
    </w:p>
    <w:p>
      <w:pPr>
        <w:spacing w:after="0" w:line="233"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Plasma center operating expenses were $1.4 million for the six months ended June 30, 2020, as compared to $1.2 million for the six months ended June 30, 2019. The increase in plasma center operating expenses is mainly attributable to increased staffing and travel expenses related to our plasma center expansion activities as well as increases in donor fees, largely offset by increased donor collections and the related absorption at our FDA-approved plasma collection facility.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Amortization of Intangibles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Amortization expense for our intangible assets was $0.4 million for the six months ended June 30, 2020 and 2019.</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Selling, General and Administrative Expenses</w:t>
      </w:r>
    </w:p>
    <w:p>
      <w:pPr>
        <w:spacing w:after="0" w:line="233"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SG&amp;A expenses were $16.6 million for the six months ended June 30, 2020, an increase of $5.0 million from the six months ended June 30, 2019. The increase was mainly due to higher employee compensation expenses of $2.7 million related to staffing increases in support of our commercialization efforts for BIVIGAM and ASCENIV, increased insurance expense of $0.9 million, marketing consulting fees incurred in connection with our ASCENIV commercialization efforts of $0.6 million and a $0.4 million increase professional services expense associated with the enhancements to our information technology infrastructure.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Loss from Operations</w:t>
      </w:r>
    </w:p>
    <w:p>
      <w:pPr>
        <w:spacing w:after="0" w:line="233"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Our operating loss was $33.9 million for the first six months of 2020, as compared to $24.5 million for the first six months of 2019. The $9.3 million increase in operating loss was mainly due to the increases in cost of product revenue, SG&amp;A and R&amp;D expenses, partially offset by the increase in revenues.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Expense</w:t>
      </w:r>
    </w:p>
    <w:p>
      <w:pPr>
        <w:spacing w:after="0" w:line="233"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Interest expense was $5.8 million for the six months ended June 30, 2020, as compared to $3.6 million for the six months ended June 30, 2019. The increase is mainly due to higher average debt balances in 2020 as compared to 2019 resulting from additional loan proceeds we received from our senior lender in March of 2020 and May of 2019, when we drew down $12.5 million and $27.5 million, respectively, from our senior credit facility.</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Non-recurring Items in the Six Months Ended June 30, 2019</w:t>
      </w:r>
    </w:p>
    <w:p>
      <w:pPr>
        <w:spacing w:after="0" w:line="233" w:lineRule="exact"/>
        <w:rPr>
          <w:sz w:val="20"/>
          <w:szCs w:val="20"/>
          <w:color w:val="auto"/>
        </w:rPr>
      </w:pPr>
    </w:p>
    <w:p>
      <w:pPr>
        <w:ind w:right="280" w:firstLine="648"/>
        <w:spacing w:after="0" w:line="238" w:lineRule="auto"/>
        <w:rPr>
          <w:sz w:val="20"/>
          <w:szCs w:val="20"/>
          <w:color w:val="auto"/>
        </w:rPr>
      </w:pPr>
      <w:r>
        <w:rPr>
          <w:rFonts w:ascii="Arial" w:cs="Arial" w:eastAsia="Arial" w:hAnsi="Arial"/>
          <w:sz w:val="22"/>
          <w:szCs w:val="22"/>
          <w:color w:val="auto"/>
        </w:rPr>
        <w:t>In connection with the refinancing of our senior credit facility in February of 2019, we incurred a loss on the extinguishment debt of approximately $10.0 million for the retirement of our previously existing credit facility, consisting of a $6.5 million prepayment penalty, and the write-off of $3.5 million of unamortized debt discount related to the previous credit facility.</w:t>
      </w:r>
    </w:p>
    <w:p>
      <w:pPr>
        <w:spacing w:after="0" w:line="212" w:lineRule="exact"/>
        <w:rPr>
          <w:sz w:val="20"/>
          <w:szCs w:val="20"/>
          <w:color w:val="auto"/>
        </w:rPr>
      </w:pPr>
    </w:p>
    <w:p>
      <w:pPr>
        <w:ind w:right="160" w:firstLine="648"/>
        <w:spacing w:after="0" w:line="234" w:lineRule="auto"/>
        <w:rPr>
          <w:sz w:val="20"/>
          <w:szCs w:val="20"/>
          <w:color w:val="auto"/>
        </w:rPr>
      </w:pPr>
      <w:r>
        <w:rPr>
          <w:rFonts w:ascii="Arial" w:cs="Arial" w:eastAsia="Arial" w:hAnsi="Arial"/>
          <w:sz w:val="22"/>
          <w:szCs w:val="22"/>
          <w:color w:val="auto"/>
        </w:rPr>
        <w:t>In connection with the purchase of the Boca Facility and related assets, we agreed to transfer our Marietta, GA and Norcross, GA plasma collection centers to BPC effective January 1, 2019. We had estimated the combined fair value of the two facilities to be $12.6 million, and we recorded a liability in our financial statements for this amount as of the date of the Biotest Transaction. On January 1, 2019, the two plasma collection facilities were transferred to BPC and we recorded a gain on this transfer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Loss</w:t>
      </w:r>
    </w:p>
    <w:p>
      <w:pPr>
        <w:spacing w:after="0" w:line="233"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Our net loss was $39.4 million for the six months ended June 30, 2020, as compared to $26.3 million for the six months ended June 30, 2019.The increase in net loss of $13.1 million was primarily due to the increase in operating loss for the period of $9.3 million and to $2.2 million of higher interest expense.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LIQUIDITY AND CAPITAL RESOURCES</w:t>
      </w:r>
    </w:p>
    <w:p>
      <w:pPr>
        <w:sectPr>
          <w:pgSz w:w="11900" w:h="16838" w:orient="portrait"/>
          <w:cols w:equalWidth="0" w:num="1">
            <w:col w:w="11200"/>
          </w:cols>
          <w:pgMar w:left="320" w:top="118" w:right="379" w:bottom="0" w:gutter="0" w:footer="0" w:header="0"/>
        </w:sectPr>
      </w:pPr>
    </w:p>
    <w:bookmarkStart w:id="29" w:name="page30"/>
    <w:bookmarkEnd w:id="29"/>
    <w:p>
      <w:pPr>
        <w:ind w:right="80" w:firstLine="648"/>
        <w:spacing w:after="0" w:line="234" w:lineRule="auto"/>
        <w:rPr>
          <w:sz w:val="20"/>
          <w:szCs w:val="20"/>
          <w:color w:val="auto"/>
        </w:rPr>
      </w:pPr>
      <w:r>
        <w:rPr>
          <w:rFonts w:ascii="Arial" w:cs="Arial" w:eastAsia="Arial" w:hAnsi="Arial"/>
          <w:sz w:val="22"/>
          <w:szCs w:val="22"/>
          <w:color w:val="auto"/>
        </w:rPr>
        <w:t>As of June 30, 2020, we had working capital of $130.1 million, including cash and cash equivalents of $75.8 million, and stockholders’ equity of $76.9 million, as compared to working capital of $71.8 million, including cash and cash equivalents of $26.8 million, and stockholders’ equity of $26.2 million as of December 31, 2019. We have incurred an accumulated deficit of $304.1 million since inception, had negative cash flows of $45.9 million and $32.9 million for the six months ended June 30, 2020 and 2019, respectively, and had negative cash flows from operations of $76.2 million and $62.7 million for the years ended December 31, 2019 and 2018, respectively. We have funded our operations over the past few years primarily from the sale of our equity and debt securities.</w:t>
      </w:r>
    </w:p>
    <w:p>
      <w:pPr>
        <w:spacing w:after="0" w:line="218"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requiring substantial investments in raw material plasma and other manufacturing materials.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arrangements. Based upon our current projected revenue and expenditures, including capital expenditures and continued implementation of our commercialization and expansion activities, we currently believe that our cash, cash equivalents, projected revenue and accounts receivable will be sufficient to fund our operations, as currently conducted, into the second quarter of 2021. In order to have sufficient cash to fund our operations thereafter, we anticipate raising additional capital before the end of the second quarter of 2021. These estimates and timeframe may change based upon several factors, including the success of our commercial manufacturing ramp-up activities, the acceptability and reimbursement of BIVIGAM and ASCENIV by physicians, patients or payers, and the various financing options that may be available to us. We currently have no firm commitments for additional financing, and there can be no assurances that we will be able to secure additional financing on terms that are acceptable to us, or at all. Furthermore, if our assumptions underlying our estimated expenses and revenues are incorrect, we may have to raise additional capital sooner than currently anticipated.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80" w:firstLine="648"/>
        <w:spacing w:after="0" w:line="271" w:lineRule="auto"/>
        <w:rPr>
          <w:sz w:val="20"/>
          <w:szCs w:val="20"/>
          <w:color w:val="auto"/>
        </w:rPr>
      </w:pPr>
      <w:r>
        <w:rPr>
          <w:rFonts w:ascii="Arial" w:cs="Arial" w:eastAsia="Arial" w:hAnsi="Arial"/>
          <w:sz w:val="19"/>
          <w:szCs w:val="19"/>
          <w:color w:val="auto"/>
        </w:rPr>
        <w:t>Our long-term liquidity depends upon our ability to raise additional capital, fund capacity expansion and commercial programs and generate sufficient revenues from our products, several of which have only recently achieved commercial status, cover our operating expenses and meet our obligations on a timely basis. The COVID-19 pandemic has negatively affected the global economy and created significant volatility and disruption to the financial markets. Failure to secure any necessary financing in a timely manner and on commercially reasonable terms could have a material adverse effect on our business plan and financial performance and we could be forced to delay or discontinue our capacity expansion, commercialization, product development or clinical trial activities, delay or discontinue the approval efforts for any of our product candidates, or potentially cease operations. In addition, we could also be forced to reduce or forgo sales and marketing efforts and forgo attractive business opportunities. Due to numerous risks and uncertainties associated with the COVID-19 pandemic, FDA reviews and approvals related to our products, patient/payer acceptance of our products, ongoing compliance and maintenance requirements and capacity expansion efforts at the Boca Facility,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and are also subject to the effect of potential new government orders, policies and procedures that we must comply with which are outside of our control. As such, these factors raise substantial doubt about the Company’s ability to continue as a going concern.</w:t>
      </w:r>
    </w:p>
    <w:p>
      <w:pPr>
        <w:spacing w:after="0" w:line="18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9"/>
          <w:szCs w:val="19"/>
          <w:color w:val="auto"/>
        </w:rPr>
        <w:t>We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our stockholders and, in such event, the market value of our common stock may decline. The incurrence of additional indebtedness would result in increased fixed obligations and could also result in covenants that would restrict our operations or other financing alternatives. In addition, we are exploring additional contract manufacturing arrangements and other business development opportunities, which may provide additional liquidity to us.</w:t>
      </w:r>
    </w:p>
    <w:p>
      <w:pPr>
        <w:spacing w:after="0" w:line="17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9"/>
          <w:szCs w:val="19"/>
          <w:color w:val="auto"/>
        </w:rPr>
        <w:t>On March 20, 2020, we drew down the third and final tranche of our existing Credit Agreement and Guaranty, dated February 11, 2019, as amended (the “Perceptive Credit Agreement”), with Perceptive Credit Holdings II, LP (“Perceptive”) and we received proceeds of $12.5 million which are being used for general corporate purposes. Borrowings under the Perceptive Credit Agreement bear interest at a rate per annum equal to the sum of 7.5% (the “Applicable Margin”) plus the greater of (i) one-month LIBOR and (ii) 3.5%; provided, however, that upon, and during the continuance of, an Event of Default, the Applicable Margin shall automatically increase by an additional 400 basis points.</w:t>
      </w:r>
    </w:p>
    <w:p>
      <w:pPr>
        <w:spacing w:after="0" w:line="17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9"/>
          <w:szCs w:val="19"/>
          <w:color w:val="auto"/>
        </w:rPr>
        <w:t>We currently have an outstanding principal balance of $85.0 million under our Credit Agreement with Perceptive, all of which matures on March 1, 2022.We are required to pay interest to Perceptive in the approximate amount of $0.8 million per month. 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 certain representations and warranties, affirmative covenants, negative covenants and conditions that are customarily required for similar financings. The negative covenants restrict or limit our ability</w:t>
      </w:r>
    </w:p>
    <w:p>
      <w:pPr>
        <w:sectPr>
          <w:pgSz w:w="11900" w:h="16838" w:orient="portrait"/>
          <w:cols w:equalWidth="0" w:num="1">
            <w:col w:w="11240"/>
          </w:cols>
          <w:pgMar w:left="320" w:top="118" w:right="339" w:bottom="0" w:gutter="0" w:footer="0" w:header="0"/>
        </w:sectPr>
      </w:pPr>
    </w:p>
    <w:bookmarkStart w:id="30" w:name="page31"/>
    <w:bookmarkEnd w:id="30"/>
    <w:p>
      <w:pPr>
        <w:spacing w:after="0" w:line="273" w:lineRule="auto"/>
        <w:rPr>
          <w:sz w:val="20"/>
          <w:szCs w:val="20"/>
          <w:color w:val="auto"/>
        </w:rPr>
      </w:pPr>
      <w:r>
        <w:rPr>
          <w:rFonts w:ascii="Arial" w:cs="Arial" w:eastAsia="Arial" w:hAnsi="Arial"/>
          <w:sz w:val="19"/>
          <w:szCs w:val="19"/>
          <w:color w:val="auto"/>
        </w:rPr>
        <w:t>to, among other things and subject to certain exceptions contained in the Perceptive Credit Agreement, incur new indebtedness; create liens on assets; engage in certain fundamental corporate changes, such as mergers or acquisitions, or changes to our business activities; make certain Investments or Restricted Payments (each as defined in the Perceptive Credit Agreement); change our fiscal year; pay dividends; repay certain other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ending June 30, 2019, report revenues for the trailing 12-month period that exceed the amounts set forth in the Perceptive Credit Agreement, which range from $7.0 million for the fiscal quarter ending June 30, 2019 to $55.0 million for the fiscal quarter ending December 31, 2021. At June 30, 2020, we were in compliance with all of the covenants under the Perceptive Credit Facility.</w:t>
      </w:r>
    </w:p>
    <w:p>
      <w:pPr>
        <w:spacing w:after="0" w:line="188"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In February 2020, we completed an underwritten public offering of 27,025,000 shares of our common stock and received net proceeds, after underwriting discounts and other expenses associated with the offering, of approximately $88.7 million. The proceeds from this offering are expected to be used (i) for the procurement of raw materials for the manufacturing of BIVIGAM and ASCENIV; (ii) to support the ongoing commercial sales of BIVIGAM and ASCENIV; (iii) to expand the manufacturing capacity of our Boca Facility and enhance our supply chain capabilities; (iv) to expand our plasma collection facility network; (v) for research and development and business development opportunities; and (vi) for general corporate purposes and other capital expenditures.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We also have $15.0 million in principal amount of indebtedness outstanding under an unsecured subordinated note payable to Biotest, which note bears interest at a rate of 6.0% per annum and matures on June 6, 2022. We are obligated to make semi-annual interest payments to Biotest of approximately $0.5 million, with all principal and unpaid interest due at maturity.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The following table sets forth a summary of our cash flows for the periods indicated:</w:t>
      </w: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(45,931,435)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$(32,911,136)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(6,241,284)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101,201,706</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80,017,868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49,028,987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46,861,057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and cash equivalents, including restricted cash - beginning of period</w:t>
            </w:r>
          </w:p>
        </w:tc>
        <w:tc>
          <w:tcPr>
            <w:tcW w:w="1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26,752,135</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26,754,852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75,781,122</w:t>
            </w:r>
          </w:p>
        </w:tc>
        <w:tc>
          <w:tcPr>
            <w:tcW w:w="1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$ 73,615,909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2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in Operating Activities</w:t>
      </w:r>
    </w:p>
    <w:p>
      <w:pPr>
        <w:spacing w:after="0" w:line="233"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Cash used in operations for the six months ended June 30, 2020 was $45.9 million, an increase of $13.0 million from the same period of a year ago, mainly due to the increase in net loss. The following table illustrates the primary components of our cash flows from operations:</w:t>
      </w:r>
    </w:p>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$(39,423,321)</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$(26,279,827)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3,873,479</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1,688,347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(3,044,246)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(2,936,614)</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(5,175,148)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(2,159,834)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(1,865,637)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358,164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(375,262)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line="21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(45,931,435</w:t>
            </w:r>
            <w:r>
              <w:rPr>
                <w:rFonts w:ascii="Arial" w:cs="Arial" w:eastAsia="Arial" w:hAnsi="Arial"/>
                <w:sz w:val="24"/>
                <w:szCs w:val="24"/>
                <w:color w:val="auto"/>
                <w:vertAlign w:val="subscript"/>
              </w:rPr>
              <w:t>)</w:t>
            </w:r>
          </w:p>
        </w:tc>
        <w:tc>
          <w:tcPr>
            <w:tcW w:w="1140" w:type="dxa"/>
            <w:vAlign w:val="bottom"/>
            <w:gridSpan w:val="3"/>
          </w:tcPr>
          <w:p>
            <w:pPr>
              <w:jc w:val="right"/>
              <w:ind w:right="40"/>
              <w:spacing w:after="0" w:line="210"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(32,911,136</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in Investing Activities</w:t>
      </w:r>
    </w:p>
    <w:p>
      <w:pPr>
        <w:spacing w:after="0" w:line="233"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Net cash used in investing activities for the six months ended June 30, 2020 and 2019 was $6.2 million and $0.2 million, respectively, primarily consisting of capital expenditures at the Boca Facility, including the purchase and installation of our new filling and packaging machine, and, in the six months ended June 30, 2020, capital expenditures related to the build-out of our new plasma collection facility. Although we have no specific material commitments for capital expenditures as of June 30, 2020, we expect our total capital expenditures will be between $7.0 million and $12.0 million for the remainder of fiscal 2020.</w:t>
      </w:r>
    </w:p>
    <w:p>
      <w:pPr>
        <w:sectPr>
          <w:pgSz w:w="11900" w:h="16838" w:orient="portrait"/>
          <w:cols w:equalWidth="0" w:num="1">
            <w:col w:w="11240"/>
          </w:cols>
          <w:pgMar w:left="320" w:top="118" w:right="339" w:bottom="0" w:gutter="0" w:footer="0" w:header="0"/>
        </w:sectPr>
      </w:pPr>
    </w:p>
    <w:bookmarkStart w:id="31" w:name="page32"/>
    <w:bookmarkEnd w:id="31"/>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Provided by Financing Activities</w:t>
      </w:r>
    </w:p>
    <w:p>
      <w:pPr>
        <w:spacing w:after="0" w:line="234"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Cash provided by financing activities for the six months ended June 30, 2020 was $101.2 million, which is comprised of the net proceeds received from our February 2020 equity offering in the amount of $88.7 million and the $12.5 million of loan proceeds received from the final tranche that was available under our senior credit facility. Net cash provided by financing activities for the six months ended June 30, 2019 of $80.0 million reflects $4.2 million related to the refinancing of the Marathon Credit Facility with our current senior credit facility provided by the Perceptive Credit Agreement in February of 2019, the drawdown of $27.5 million under this facility in May of 2019 and the $48.4 million of net proceeds from our May 2019 public offering of our common stock.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Inflation</w:t>
      </w:r>
    </w:p>
    <w:p>
      <w:pPr>
        <w:spacing w:after="0" w:line="23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Inflation or changing prices did not have a significant impact on our net sales, revenues or net loss for the six months ended June 30, 2020 or in 2019 or 2018.</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3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9"/>
          <w:szCs w:val="19"/>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7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9"/>
          <w:szCs w:val="19"/>
          <w:color w:val="auto"/>
        </w:rPr>
        <w:t>Under the supervision of and with the participation of our management, including our principal executive officer and principal financial officer, we conducted an evaluation of our disclosure controls and procedures as of June 30, 2020. Based on this evaluation, our principal executive officer and our principal financial officer concluded that our disclosure controls and procedures as of June 30, 2020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39" w:lineRule="exact"/>
        <w:rPr>
          <w:sz w:val="20"/>
          <w:szCs w:val="20"/>
          <w:color w:val="auto"/>
        </w:rPr>
      </w:pPr>
    </w:p>
    <w:p>
      <w:pPr>
        <w:ind w:right="320" w:firstLine="607"/>
        <w:spacing w:after="0" w:line="328" w:lineRule="auto"/>
        <w:rPr>
          <w:sz w:val="20"/>
          <w:szCs w:val="20"/>
          <w:color w:val="auto"/>
        </w:rPr>
      </w:pPr>
      <w:r>
        <w:rPr>
          <w:rFonts w:ascii="Arial" w:cs="Arial" w:eastAsia="Arial" w:hAnsi="Arial"/>
          <w:sz w:val="19"/>
          <w:szCs w:val="19"/>
          <w:color w:val="auto"/>
        </w:rPr>
        <w:t>There have been no changes in our internal control over financial reporting during the quarter ended June 30, 2020 that have materially affected, or are reasonably likely to materially affect, our internal control over financial reporting.</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ind w:right="380" w:firstLine="648"/>
        <w:spacing w:after="0" w:line="328" w:lineRule="auto"/>
        <w:rPr>
          <w:sz w:val="20"/>
          <w:szCs w:val="20"/>
          <w:color w:val="auto"/>
        </w:rPr>
      </w:pPr>
      <w:r>
        <w:rPr>
          <w:rFonts w:ascii="Arial" w:cs="Arial" w:eastAsia="Arial" w:hAnsi="Arial"/>
          <w:sz w:val="19"/>
          <w:szCs w:val="19"/>
          <w:color w:val="auto"/>
        </w:rPr>
        <w:t>We may become subject to certain legal proceedings and claims arising in connection with the normal course of our business. In the opinion of management, there are currently no material pending legal proceedings that would have a material</w:t>
      </w:r>
    </w:p>
    <w:p>
      <w:pPr>
        <w:sectPr>
          <w:pgSz w:w="11900" w:h="16954" w:orient="portrait"/>
          <w:cols w:equalWidth="0" w:num="1">
            <w:col w:w="11220"/>
          </w:cols>
          <w:pgMar w:left="320" w:top="118" w:right="359" w:bottom="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adverse effect on our consolidated financial position, results of operations or cash flows.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9"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i w:val="1"/>
          <w:iCs w:val="1"/>
          <w:color w:val="auto"/>
        </w:rPr>
        <w:t>Described below are various significant risks and uncertainties that may affect our business. These risks and uncertainties are not the only ones we face.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Business</w:t>
      </w:r>
    </w:p>
    <w:p>
      <w:pPr>
        <w:spacing w:after="0" w:line="239"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Prior to the second half of 2019, we generated a substantial portion of our revenues from the sale of plasma by our plasma collections facilities. Following completion of the Biotest Transaction, we began generating revenues from the sale of our plasma-derived immune globulins which include: Nabi-HB, BIVIGAM, ASCENIV, intermediate fractions and the contract manufacturing of plasma-derived products for a third-party. On May 9, 2019 we received approval from the FDA for BIVIGAM, and the commercial re-launch of this product commenced in August 2019. On April 1, 2019, the FDA approved ASCENIV, formerly referred to as RI-002, and the first commercial sales of this product took place in October 2019. In October 2019, we generated initial sales of our plasma-derived intermediate fractions.</w:t>
      </w:r>
    </w:p>
    <w:p>
      <w:pPr>
        <w:spacing w:after="0" w:line="211"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raise additional capital, fund and successfully implement our research and development and commercial programs, establish and build out a commercial sales force, medical affairs organization and commercial infrastructure and meet our ongoing obligations. In addition, our end-to-end production cycle from procurement of raw materials to commercial release of finished product can take between seven and 12 months, requiring substantial investments in raw material plasma and other manufacturing materials.</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9"/>
          <w:szCs w:val="19"/>
          <w:color w:val="auto"/>
        </w:rPr>
        <w:t>We currently anticipate, based upon our projected revenue and expenditures, that our current cash, cash equivalents and accounts receivable, will be sufficient to fund our operations into the second quarter of 2021. This time frame may change based upon how quickly we are able to execute on our commercialization efforts and operational initiatives. However, if the assumptions underlying our estimated revenues and expenses prove to be incorrect, we may have to raise additional capital sooner than we currently expect. We anticipate that we will not be able to generate a sufficient amount of product revenue to achieve profitability before 2021 and, as a result, we anticipate that we will need to finance our operations through additional equity or debt financings or corporate collaboration and licensing arrangements. If we are unable to raise additional capital as needed, we will have to delay, curtail or eliminate our commercialization efforts as well as product development activities.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are currently not profitable and may never become profitable.</w:t>
      </w:r>
    </w:p>
    <w:p>
      <w:pPr>
        <w:spacing w:after="0" w:line="23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9"/>
          <w:szCs w:val="19"/>
          <w:color w:val="auto"/>
        </w:rPr>
        <w:t>We have a history of losses and expect to incur substantial losses and negative operating cash flow into fiscal 2021, and we may never achieve or maintain profitability. For the six months ended June 30, 2020 and 2019, we incurred net losses of $39.4 million and $26.3 million, respectively. For the years ended December 31, 2019 and 2018, we incurred net losses of $48.3 million and $65.7 million, respectively.From our inception in 2004 through June 30, 2020, we have incurred an accumulated deficit of $304.1 million.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agreements.We also expect to continue to incur significant operating and capital expenditures and anticipate that our operating expenses will increase substantially in the foreseeable future as we:</w:t>
      </w:r>
    </w:p>
    <w:p>
      <w:pPr>
        <w:spacing w:after="0" w:line="19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ectPr>
          <w:pgSz w:w="11900" w:h="16838" w:orient="portrait"/>
          <w:cols w:equalWidth="0" w:num="1">
            <w:col w:w="11200"/>
          </w:cols>
          <w:pgMar w:left="320" w:top="118" w:right="379" w:bottom="0" w:gutter="0" w:footer="0" w:header="0"/>
        </w:sectPr>
      </w:pPr>
    </w:p>
    <w:bookmarkStart w:id="33" w:name="page34"/>
    <w:bookmarkEnd w:id="33"/>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4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As a result, we will need to generate significant revenues in order to achieve and maintain profitability. We may not be able to generate these revenues or achieve profitability in the future. These factors raise substantial doubt about our ability to continue as a going concern. Our failure to achieve or maintain profitability could negatively impact the value of our securities.</w:t>
      </w:r>
    </w:p>
    <w:p>
      <w:pPr>
        <w:spacing w:after="0" w:line="161" w:lineRule="exact"/>
        <w:rPr>
          <w:sz w:val="20"/>
          <w:szCs w:val="20"/>
          <w:color w:val="auto"/>
        </w:rPr>
      </w:pPr>
    </w:p>
    <w:p>
      <w:pPr>
        <w:spacing w:after="0" w:line="328" w:lineRule="auto"/>
        <w:rPr>
          <w:sz w:val="20"/>
          <w:szCs w:val="20"/>
          <w:color w:val="auto"/>
        </w:rPr>
      </w:pPr>
      <w:r>
        <w:rPr>
          <w:rFonts w:ascii="Arial" w:cs="Arial" w:eastAsia="Arial" w:hAnsi="Arial"/>
          <w:sz w:val="19"/>
          <w:szCs w:val="19"/>
          <w:b w:val="1"/>
          <w:bCs w:val="1"/>
          <w:i w:val="1"/>
          <w:iCs w:val="1"/>
          <w:color w:val="auto"/>
        </w:rPr>
        <w:t>The COVID-19 pandemic and efforts to reduce its spread has significantly affected worldwide economic conditions, and could have a material adverse impact on our business, liquidity, financial condition and results of operations</w:t>
      </w:r>
    </w:p>
    <w:p>
      <w:pPr>
        <w:spacing w:after="0" w:line="132"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The COVID-19 pandemic has the potential to adversely impact several aspects of our commercial and manufacturing operations,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sale.Such testing has historically been performed by contract laboratories outside the United States. While we do not believe that the COVID-19 pandemic has significantly affected operations and immunoglobulin production at our Boca Facility at this time, we may experience adverse effects in the future, particularly in light of the recent increase in COVID-19 cases in the State of Florida. For example, our employees becoming ill, the imposition of additional mandatory remote working environments and federal, state and local responses to the COVID-19 virus could materially affect the efficiency and pace of our operations and manufacturing at our Boca Facility.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or outright cancellation in response to the pandemic. Also, due to previous state and local “shelter-in-place” orders, we experienced lower than normal donor collections at our FDA approved plasma collection center during the three months ended June 30, 2020. We were also subject to delays in shipments of source plasma from our contracted third-party suppliers, as well as delays in deliveries or price increases for personal protective equipment, reagents and other non-plasma raw materials and supplies used in the manufacture of our products.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180" w:firstLine="648"/>
        <w:spacing w:after="0" w:line="275" w:lineRule="auto"/>
        <w:rPr>
          <w:sz w:val="20"/>
          <w:szCs w:val="20"/>
          <w:color w:val="auto"/>
        </w:rPr>
      </w:pPr>
      <w:r>
        <w:rPr>
          <w:rFonts w:ascii="Arial" w:cs="Arial" w:eastAsia="Arial" w:hAnsi="Arial"/>
          <w:sz w:val="19"/>
          <w:szCs w:val="19"/>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84"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b w:val="1"/>
          <w:bCs w:val="1"/>
          <w:i w:val="1"/>
          <w:iCs w:val="1"/>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212" w:lineRule="exact"/>
        <w:rPr>
          <w:sz w:val="20"/>
          <w:szCs w:val="20"/>
          <w:color w:val="auto"/>
        </w:rPr>
      </w:pPr>
    </w:p>
    <w:p>
      <w:pPr>
        <w:ind w:right="80" w:firstLine="607"/>
        <w:spacing w:after="0" w:line="249" w:lineRule="auto"/>
        <w:rPr>
          <w:sz w:val="20"/>
          <w:szCs w:val="20"/>
          <w:color w:val="auto"/>
        </w:rPr>
      </w:pPr>
      <w:r>
        <w:rPr>
          <w:rFonts w:ascii="Arial" w:cs="Arial" w:eastAsia="Arial" w:hAnsi="Arial"/>
          <w:sz w:val="21"/>
          <w:szCs w:val="21"/>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results from operations and prospects.</w:t>
      </w:r>
    </w:p>
    <w:p>
      <w:pPr>
        <w:spacing w:after="0" w:line="205"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Although in the future we plan to build our own fill/finish suite within the Boca Facility, we also intend to continue to utilize third parties to supplement our fill/finish process for final drug substance and we may, in any event, never be successful in developing our own fill/finish suite. Our anticipated reliance on a limited number of third-party manufacturers exposes us to the following risks:</w:t>
      </w:r>
    </w:p>
    <w:p>
      <w:pPr>
        <w:spacing w:after="0" w:line="219" w:lineRule="exact"/>
        <w:rPr>
          <w:sz w:val="20"/>
          <w:szCs w:val="20"/>
          <w:color w:val="auto"/>
        </w:rPr>
      </w:pPr>
    </w:p>
    <w:p>
      <w:pPr>
        <w:ind w:left="660" w:right="20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23" w:lineRule="exact"/>
        <w:rPr>
          <w:rFonts w:ascii="Arial" w:cs="Arial" w:eastAsia="Arial" w:hAnsi="Arial"/>
          <w:sz w:val="16"/>
          <w:szCs w:val="16"/>
          <w:color w:val="auto"/>
        </w:rPr>
      </w:pPr>
    </w:p>
    <w:p>
      <w:pPr>
        <w:ind w:left="660" w:right="3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ectPr>
          <w:pgSz w:w="11900" w:h="16838" w:orient="portrait"/>
          <w:cols w:equalWidth="0" w:num="1">
            <w:col w:w="11220"/>
          </w:cols>
          <w:pgMar w:left="320" w:top="341" w:right="359" w:bottom="0" w:gutter="0" w:footer="0" w:header="0"/>
        </w:sectPr>
      </w:pPr>
    </w:p>
    <w:bookmarkStart w:id="34" w:name="page35"/>
    <w:bookmarkEnd w:id="34"/>
    <w:p>
      <w:pPr>
        <w:spacing w:after="0" w:line="12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660" w:right="4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90"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Each of these risks could delay or prevent the completion of our finished drug product and the release of finished drug product by the FDA, which could result in higher costs or adversely impact the commercialization of our products. In addition, our contract fill/finishers and our other third-party vendors may source their materials and supplies globally, and are therefore subject to supply disruptions in the event of fire, weather related events such as hurricanes, wind and rain, other acts of God or force majeure events or global health occurrences and emergencies, including the COVID-19 pandemic.</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420"/>
        <w:spacing w:after="0"/>
        <w:rPr>
          <w:sz w:val="20"/>
          <w:szCs w:val="20"/>
          <w:color w:val="auto"/>
        </w:rPr>
      </w:pPr>
      <w:r>
        <w:rPr>
          <w:rFonts w:ascii="Arial" w:cs="Arial" w:eastAsia="Arial" w:hAnsi="Arial"/>
          <w:sz w:val="22"/>
          <w:szCs w:val="22"/>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213"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208" w:lineRule="exact"/>
        <w:rPr>
          <w:sz w:val="20"/>
          <w:szCs w:val="20"/>
          <w:color w:val="auto"/>
        </w:rPr>
      </w:pPr>
    </w:p>
    <w:p>
      <w:pPr>
        <w:ind w:right="540"/>
        <w:spacing w:after="0" w:line="328" w:lineRule="auto"/>
        <w:rPr>
          <w:sz w:val="20"/>
          <w:szCs w:val="20"/>
          <w:color w:val="auto"/>
        </w:rPr>
      </w:pPr>
      <w:r>
        <w:rPr>
          <w:rFonts w:ascii="Arial" w:cs="Arial" w:eastAsia="Arial" w:hAnsi="Arial"/>
          <w:sz w:val="19"/>
          <w:szCs w:val="19"/>
          <w:b w:val="1"/>
          <w:bCs w:val="1"/>
          <w:i w:val="1"/>
          <w:iCs w:val="1"/>
          <w:color w:val="auto"/>
        </w:rPr>
        <w:t>Our facilities are subject to periodic inspections by the FDA, which, depending on the outcome of such inspection, could result in certain FDA actions, including the issuance of observations, notices, citations or warning letters.</w:t>
      </w:r>
    </w:p>
    <w:p>
      <w:pPr>
        <w:spacing w:after="0" w:line="132" w:lineRule="exact"/>
        <w:rPr>
          <w:sz w:val="20"/>
          <w:szCs w:val="20"/>
          <w:color w:val="auto"/>
        </w:rPr>
      </w:pPr>
    </w:p>
    <w:p>
      <w:pPr>
        <w:ind w:right="60" w:firstLine="607"/>
        <w:spacing w:after="0" w:line="246" w:lineRule="auto"/>
        <w:rPr>
          <w:sz w:val="20"/>
          <w:szCs w:val="20"/>
          <w:color w:val="auto"/>
        </w:rPr>
      </w:pPr>
      <w:r>
        <w:rPr>
          <w:rFonts w:ascii="Arial" w:cs="Arial" w:eastAsia="Arial" w:hAnsi="Arial"/>
          <w:sz w:val="21"/>
          <w:szCs w:val="21"/>
          <w:color w:val="auto"/>
        </w:rPr>
        <w:t>The FDA is authorized to perform inspections of our facilities, including the Boca Facility. At the end of such an inspection, the FDA could issue a Form 483 Notice of Inspectional Observations, which could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w:t>
      </w:r>
    </w:p>
    <w:p>
      <w:pPr>
        <w:spacing w:after="0" w:line="211" w:lineRule="exact"/>
        <w:rPr>
          <w:sz w:val="20"/>
          <w:szCs w:val="20"/>
          <w:color w:val="auto"/>
        </w:rPr>
      </w:pPr>
    </w:p>
    <w:p>
      <w:pPr>
        <w:ind w:right="20" w:firstLine="607"/>
        <w:spacing w:after="0" w:line="248" w:lineRule="auto"/>
        <w:rPr>
          <w:sz w:val="20"/>
          <w:szCs w:val="20"/>
          <w:color w:val="auto"/>
        </w:rPr>
      </w:pPr>
      <w:r>
        <w:rPr>
          <w:rFonts w:ascii="Arial" w:cs="Arial" w:eastAsia="Arial" w:hAnsi="Arial"/>
          <w:sz w:val="21"/>
          <w:szCs w:val="21"/>
          <w:color w:val="auto"/>
        </w:rPr>
        <w:t>Following the completion of the Biotest Transaction, we gained control over the regulatory, quality, general operations and drug substance manufacturing process at the Boca Facility, which was the subject of an outstanding FDA warning letter issued when the Boca Facility was operated by BPC. To address the outstanding warning letter, we worked with a leading consulting firm with extensive experience in remediating compliance and inspection issues related to quality management systems that managed a robust team of subject matter experts in plasma-derived products and biologic drugs to assist us in addressing all identified CMC and cGMP issues and deficiencies.</w:t>
      </w:r>
    </w:p>
    <w:p>
      <w:pPr>
        <w:spacing w:after="0" w:line="204" w:lineRule="exact"/>
        <w:rPr>
          <w:sz w:val="20"/>
          <w:szCs w:val="20"/>
          <w:color w:val="auto"/>
        </w:rPr>
      </w:pPr>
    </w:p>
    <w:p>
      <w:pPr>
        <w:ind w:right="120" w:firstLine="607"/>
        <w:spacing w:after="0" w:line="246" w:lineRule="auto"/>
        <w:rPr>
          <w:sz w:val="20"/>
          <w:szCs w:val="20"/>
          <w:color w:val="auto"/>
        </w:rPr>
      </w:pPr>
      <w:r>
        <w:rPr>
          <w:rFonts w:ascii="Arial" w:cs="Arial" w:eastAsia="Arial" w:hAnsi="Arial"/>
          <w:sz w:val="21"/>
          <w:szCs w:val="21"/>
          <w:color w:val="auto"/>
        </w:rPr>
        <w:t>We may not be able to timely resolve concerns raised by the FDA as a result of an inspection or without expending significant resources. We are unable to control the timing of FDA inspections, responses, meeting requests, teleconference requests, requests for clarifications and similar regulatory communications, as well as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interruptions could adversely affect our business</w:t>
      </w:r>
      <w:r>
        <w:rPr>
          <w:rFonts w:ascii="Arial" w:cs="Arial" w:eastAsia="Arial" w:hAnsi="Arial"/>
          <w:sz w:val="22"/>
          <w:szCs w:val="22"/>
          <w:b w:val="1"/>
          <w:bCs w:val="1"/>
          <w:color w:val="auto"/>
        </w:rPr>
        <w:t>.</w:t>
      </w:r>
    </w:p>
    <w:p>
      <w:pPr>
        <w:spacing w:after="0" w:line="239"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human error, employee issues, global</w:t>
      </w:r>
    </w:p>
    <w:p>
      <w:pPr>
        <w:sectPr>
          <w:pgSz w:w="11900" w:h="16965" w:orient="portrait"/>
          <w:cols w:equalWidth="0" w:num="1">
            <w:col w:w="11240"/>
          </w:cols>
          <w:pgMar w:left="320" w:top="125" w:right="339" w:bottom="0" w:gutter="0" w:footer="0" w:header="0"/>
        </w:sectPr>
      </w:pPr>
    </w:p>
    <w:bookmarkStart w:id="35" w:name="page36"/>
    <w:bookmarkEnd w:id="35"/>
    <w:p>
      <w:pPr>
        <w:spacing w:after="0" w:line="191"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health occurrences, such as COVID-19,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100"/>
        <w:spacing w:after="0"/>
        <w:rPr>
          <w:sz w:val="20"/>
          <w:szCs w:val="20"/>
          <w:color w:val="auto"/>
        </w:rPr>
      </w:pPr>
      <w:r>
        <w:rPr>
          <w:rFonts w:ascii="Arial" w:cs="Arial" w:eastAsia="Arial" w:hAnsi="Arial"/>
          <w:sz w:val="22"/>
          <w:szCs w:val="22"/>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213"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biologics license applications,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200" w:lineRule="exact"/>
        <w:rPr>
          <w:sz w:val="20"/>
          <w:szCs w:val="20"/>
          <w:color w:val="auto"/>
        </w:rPr>
      </w:pPr>
    </w:p>
    <w:p>
      <w:pPr>
        <w:spacing w:after="0" w:line="23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temporary suspension resulting from the COVID-19 pandemic.</w:t>
      </w:r>
    </w:p>
    <w:p>
      <w:pPr>
        <w:spacing w:after="0" w:line="245"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In addition, the FDA or an independent institutional review board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7030" w:orient="portrait"/>
          <w:cols w:equalWidth="0" w:num="1">
            <w:col w:w="11240"/>
          </w:cols>
          <w:pgMar w:left="320" w:top="118" w:right="339" w:bottom="0" w:gutter="0" w:footer="0" w:header="0"/>
        </w:sectPr>
      </w:pPr>
    </w:p>
    <w:p>
      <w:pPr>
        <w:spacing w:after="0" w:line="245" w:lineRule="exact"/>
        <w:rPr>
          <w:sz w:val="20"/>
          <w:szCs w:val="20"/>
          <w:color w:val="auto"/>
        </w:rPr>
      </w:pPr>
    </w:p>
    <w:p>
      <w:pPr>
        <w:ind w:right="260"/>
        <w:spacing w:after="0" w:line="359" w:lineRule="auto"/>
        <w:rPr>
          <w:sz w:val="20"/>
          <w:szCs w:val="20"/>
          <w:color w:val="auto"/>
        </w:rPr>
      </w:pPr>
      <w:r>
        <w:rPr>
          <w:rFonts w:ascii="Arial" w:cs="Arial" w:eastAsia="Arial" w:hAnsi="Arial"/>
          <w:sz w:val="18"/>
          <w:szCs w:val="18"/>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ectPr>
          <w:pgSz w:w="11900" w:h="17030" w:orient="portrait"/>
          <w:cols w:equalWidth="0" w:num="1">
            <w:col w:w="11240"/>
          </w:cols>
          <w:pgMar w:left="320" w:top="118" w:right="339" w:bottom="0" w:gutter="0" w:footer="0" w:header="0"/>
          <w:type w:val="continuous"/>
        </w:sectPr>
      </w:pPr>
    </w:p>
    <w:bookmarkStart w:id="36" w:name="page37"/>
    <w:bookmarkEnd w:id="36"/>
    <w:p>
      <w:pPr>
        <w:spacing w:after="0" w:line="27"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88" w:lineRule="exact"/>
        <w:rPr>
          <w:sz w:val="20"/>
          <w:szCs w:val="20"/>
          <w:color w:val="auto"/>
        </w:rPr>
      </w:pPr>
    </w:p>
    <w:p>
      <w:pPr>
        <w:jc w:val="both"/>
        <w:ind w:right="720"/>
        <w:spacing w:after="0"/>
        <w:rPr>
          <w:sz w:val="20"/>
          <w:szCs w:val="20"/>
          <w:color w:val="auto"/>
        </w:rPr>
      </w:pPr>
      <w:r>
        <w:rPr>
          <w:rFonts w:ascii="Arial" w:cs="Arial" w:eastAsia="Arial" w:hAnsi="Arial"/>
          <w:sz w:val="22"/>
          <w:szCs w:val="22"/>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21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If we are not be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There are numerous FDA personnel assigned to review different aspects of a BLA, and uncertainties can be presented by their ability to exercise judgment and discretion during the review process.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200" w:lineRule="exact"/>
        <w:rPr>
          <w:sz w:val="20"/>
          <w:szCs w:val="20"/>
          <w:color w:val="auto"/>
        </w:rPr>
      </w:pPr>
    </w:p>
    <w:p>
      <w:pPr>
        <w:spacing w:after="0" w:line="24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45"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420"/>
        <w:spacing w:after="0" w:line="257" w:lineRule="auto"/>
        <w:rPr>
          <w:sz w:val="20"/>
          <w:szCs w:val="20"/>
          <w:color w:val="auto"/>
        </w:rPr>
      </w:pPr>
      <w:r>
        <w:rPr>
          <w:rFonts w:ascii="Arial" w:cs="Arial" w:eastAsia="Arial" w:hAnsi="Arial"/>
          <w:sz w:val="21"/>
          <w:szCs w:val="21"/>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96"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ectPr>
          <w:pgSz w:w="11900" w:h="16865" w:orient="portrait"/>
          <w:cols w:equalWidth="0" w:num="1">
            <w:col w:w="11240"/>
          </w:cols>
          <w:pgMar w:left="320" w:top="361" w:right="339" w:bottom="0" w:gutter="0" w:footer="0" w:header="0"/>
        </w:sectPr>
      </w:pPr>
    </w:p>
    <w:bookmarkStart w:id="37" w:name="page38"/>
    <w:bookmarkEnd w:id="37"/>
    <w:p>
      <w:pPr>
        <w:ind w:right="20" w:firstLine="648"/>
        <w:spacing w:after="0" w:line="272" w:lineRule="auto"/>
        <w:rPr>
          <w:sz w:val="20"/>
          <w:szCs w:val="20"/>
          <w:color w:val="auto"/>
        </w:rPr>
      </w:pPr>
      <w:r>
        <w:rPr>
          <w:rFonts w:ascii="Arial" w:cs="Arial" w:eastAsia="Arial" w:hAnsi="Arial"/>
          <w:sz w:val="19"/>
          <w:szCs w:val="19"/>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200" w:lineRule="exact"/>
        <w:rPr>
          <w:sz w:val="20"/>
          <w:szCs w:val="20"/>
          <w:color w:val="auto"/>
        </w:rPr>
      </w:pPr>
    </w:p>
    <w:p>
      <w:pPr>
        <w:spacing w:after="0" w:line="235" w:lineRule="exact"/>
        <w:rPr>
          <w:sz w:val="20"/>
          <w:szCs w:val="20"/>
          <w:color w:val="auto"/>
        </w:rPr>
      </w:pPr>
    </w:p>
    <w:p>
      <w:pPr>
        <w:jc w:val="both"/>
        <w:ind w:right="1020"/>
        <w:spacing w:after="0" w:line="359"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10"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b w:val="1"/>
          <w:bCs w:val="1"/>
          <w:i w:val="1"/>
          <w:iCs w:val="1"/>
          <w:color w:val="auto"/>
        </w:rPr>
        <w:t>We depend on third-party researchers, developers and vendors to develop, manufacture and test products and product candidates, and such parties are, to some extent, outside of our control.</w:t>
      </w:r>
    </w:p>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We depend on independent investigators and collaborators, such as universities and medical institutions, contract laboratories, clinical research organizations, contract manufacturers, contract fill/finishers and consultants to conduct our preclinical,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82" w:lineRule="exact"/>
        <w:rPr>
          <w:sz w:val="20"/>
          <w:szCs w:val="20"/>
          <w:color w:val="auto"/>
        </w:rPr>
      </w:pPr>
    </w:p>
    <w:p>
      <w:pPr>
        <w:ind w:right="60"/>
        <w:spacing w:after="0"/>
        <w:rPr>
          <w:sz w:val="20"/>
          <w:szCs w:val="20"/>
          <w:color w:val="auto"/>
        </w:rPr>
      </w:pPr>
      <w:r>
        <w:rPr>
          <w:rFonts w:ascii="Arial" w:cs="Arial" w:eastAsia="Arial" w:hAnsi="Arial"/>
          <w:sz w:val="22"/>
          <w:szCs w:val="22"/>
          <w:b w:val="1"/>
          <w:bCs w:val="1"/>
          <w:i w:val="1"/>
          <w:iCs w:val="1"/>
          <w:color w:val="auto"/>
        </w:rPr>
        <w:t>We may be unable to successfully expand our manufacturing processes to fulfill demand for our products or increase our production capabilities through the addition of new equipment, including if we do not obtain the requisite validation from the FDA.</w:t>
      </w:r>
    </w:p>
    <w:p>
      <w:pPr>
        <w:spacing w:after="0" w:line="213"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We currently anticipate expanding the manufacturing capacity of our Boca Facility by approximately 50% or more. We also anticipate expanding our production capabilities through the addition of a fill-finish machine at our Boca Facility. Following the expansion of any of our manufacturing processes or the addition of new equipment, such as the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ectPr>
          <w:pgSz w:w="11900" w:h="16838" w:orient="portrait"/>
          <w:cols w:equalWidth="0" w:num="1">
            <w:col w:w="11220"/>
          </w:cols>
          <w:pgMar w:left="320" w:top="361" w:right="359" w:bottom="207" w:gutter="0" w:footer="0" w:header="0"/>
        </w:sectPr>
      </w:pPr>
    </w:p>
    <w:bookmarkStart w:id="38" w:name="page39"/>
    <w:bookmarkEnd w:id="38"/>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61"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 marketing period (after marketing approval) previously unknown adverse events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200" w:lineRule="exact"/>
        <w:rPr>
          <w:sz w:val="20"/>
          <w:szCs w:val="20"/>
          <w:color w:val="auto"/>
        </w:rPr>
      </w:pPr>
    </w:p>
    <w:p>
      <w:pPr>
        <w:spacing w:after="0" w:line="245" w:lineRule="exact"/>
        <w:rPr>
          <w:sz w:val="20"/>
          <w:szCs w:val="20"/>
          <w:color w:val="auto"/>
        </w:rPr>
      </w:pPr>
    </w:p>
    <w:p>
      <w:pPr>
        <w:ind w:left="1000" w:hanging="33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252" w:lineRule="exact"/>
        <w:rPr>
          <w:rFonts w:ascii="Arial" w:cs="Arial" w:eastAsia="Arial" w:hAnsi="Arial"/>
          <w:sz w:val="18"/>
          <w:szCs w:val="18"/>
          <w:color w:val="auto"/>
        </w:rPr>
      </w:pPr>
    </w:p>
    <w:p>
      <w:pPr>
        <w:ind w:left="1000" w:hanging="331"/>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45" w:lineRule="exact"/>
        <w:rPr>
          <w:sz w:val="20"/>
          <w:szCs w:val="20"/>
          <w:color w:val="auto"/>
        </w:rPr>
      </w:pPr>
    </w:p>
    <w:p>
      <w:pPr>
        <w:ind w:right="260"/>
        <w:spacing w:after="0"/>
        <w:rPr>
          <w:sz w:val="20"/>
          <w:szCs w:val="20"/>
          <w:color w:val="auto"/>
        </w:rPr>
      </w:pPr>
      <w:r>
        <w:rPr>
          <w:rFonts w:ascii="Arial" w:cs="Arial" w:eastAsia="Arial" w:hAnsi="Arial"/>
          <w:sz w:val="22"/>
          <w:szCs w:val="22"/>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213"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color w:val="auto"/>
        </w:rPr>
        <w:t>For the six months ended June 30, 2020, three customers represented an aggregate of 81% of our consolidated revenues, with BioCare, Biolife and Reliance representing approximately 47%, 20%, and 14%, respectively, of our consolidated revenues. For the year ended December 31, 2019, three customers represented an aggregate of 70% of our consolidated revenues, with BioCare, Biolife and Sanofi Pasteur S.A. (“Sanofi”) representing approximately 26%, 24%, and 20%, respectively, of our consolidated revenues.</w:t>
      </w:r>
    </w:p>
    <w:p>
      <w:pPr>
        <w:spacing w:after="0" w:line="214" w:lineRule="exact"/>
        <w:rPr>
          <w:sz w:val="20"/>
          <w:szCs w:val="20"/>
          <w:color w:val="auto"/>
        </w:rPr>
      </w:pPr>
    </w:p>
    <w:p>
      <w:pPr>
        <w:ind w:right="240" w:firstLine="648"/>
        <w:spacing w:after="0" w:line="252" w:lineRule="auto"/>
        <w:rPr>
          <w:sz w:val="20"/>
          <w:szCs w:val="20"/>
          <w:color w:val="auto"/>
        </w:rPr>
      </w:pPr>
      <w:r>
        <w:rPr>
          <w:rFonts w:ascii="Arial" w:cs="Arial" w:eastAsia="Arial" w:hAnsi="Arial"/>
          <w:sz w:val="21"/>
          <w:szCs w:val="21"/>
          <w:color w:val="auto"/>
        </w:rPr>
        <w:t>As of June 30, 2020, three customers represented a total of 76% of our consolidated accounts receivable, with BioCare, Reliance and Biolife representing approximately 55%, 11% and 10%, respectively, of our consolidated accounts receivable. At December 31, 2019, BioCare represented 77% of our consolidated accounts receivable and McKesson Corporation (“McKesson”) represented 13% of our consolidated accounts receivable.</w:t>
      </w:r>
    </w:p>
    <w:p>
      <w:pPr>
        <w:spacing w:after="0" w:line="201"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loss of any key customers or a material change in the revenue generated by any of these customers, with the exception of Sanofi, could have a material adverse effect on our business, results of operations and financial condition. The initial term of our Amended and Restated Plasma Supply Agreement with BPC, pursuant to which we supplied BPC with normal source</w:t>
      </w:r>
    </w:p>
    <w:p>
      <w:pPr>
        <w:sectPr>
          <w:pgSz w:w="11900" w:h="16911" w:orient="portrait"/>
          <w:cols w:equalWidth="0" w:num="1">
            <w:col w:w="11220"/>
          </w:cols>
          <w:pgMar w:left="320" w:top="118" w:right="359" w:bottom="0" w:gutter="0" w:footer="0" w:header="0"/>
        </w:sectPr>
      </w:pPr>
    </w:p>
    <w:bookmarkStart w:id="39" w:name="page40"/>
    <w:bookmarkEnd w:id="39"/>
    <w:p>
      <w:pPr>
        <w:ind w:right="180"/>
        <w:spacing w:after="0" w:line="297" w:lineRule="auto"/>
        <w:rPr>
          <w:sz w:val="20"/>
          <w:szCs w:val="20"/>
          <w:color w:val="auto"/>
        </w:rPr>
      </w:pPr>
      <w:r>
        <w:rPr>
          <w:rFonts w:ascii="Arial" w:cs="Arial" w:eastAsia="Arial" w:hAnsi="Arial"/>
          <w:sz w:val="19"/>
          <w:szCs w:val="19"/>
          <w:color w:val="auto"/>
        </w:rPr>
        <w:t>plasma, expired by its terms on December 31, 2018 and was not renewed, and we fulfilled our commitment under our supply agreement with Sanofi during the year ended December 31, 2019. Moreover, we anticipate deriving increased revenue from BioCare over the next few years. Factors that could influence our relationships with our customers include, among other things:</w:t>
      </w:r>
    </w:p>
    <w:p>
      <w:pPr>
        <w:spacing w:after="0" w:line="16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 and</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Additionally, an adverse change in the financial condition of BioCare, Biolife, Reliance, McKesson, Cardinal Health or AmerisourceBergen could negatively affect revenue derived from such customer, which in turn could have a material adverse effect on our business and results of operations.</w:t>
      </w:r>
    </w:p>
    <w:p>
      <w:pPr>
        <w:spacing w:after="0" w:line="21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202"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8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202"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Even if the FDA approves a product made by us, physicians, payers and patients may not accept and use it. Acceptance and use of our products depends on a number of factors including:</w:t>
      </w:r>
    </w:p>
    <w:p>
      <w:pPr>
        <w:spacing w:after="0" w:line="20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45"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20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212"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Our current product development portfolio consists primarily of label expansion activities for Nabi-HB, BIVIGAM and ASCENIV.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commercialization of ASCENIV, as well as the revenue we may generate from the sale of Nabi-HB, BIVIGAM, contract manufacturing, and intermediates and plasma attributable to the operations of ADMA BioCenters, to support our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20"/>
          </w:cols>
          <w:pgMar w:left="320" w:top="118" w:right="359" w:bottom="0" w:gutter="0" w:footer="0" w:header="0"/>
        </w:sectPr>
      </w:pPr>
    </w:p>
    <w:bookmarkStart w:id="40" w:name="page41"/>
    <w:bookmarkEnd w:id="40"/>
    <w:p>
      <w:pPr>
        <w:spacing w:after="0" w:line="71" w:lineRule="exact"/>
        <w:rPr>
          <w:sz w:val="20"/>
          <w:szCs w:val="20"/>
          <w:color w:val="auto"/>
        </w:rPr>
      </w:pPr>
    </w:p>
    <w:p>
      <w:pPr>
        <w:ind w:right="640"/>
        <w:spacing w:after="0" w:line="329" w:lineRule="auto"/>
        <w:rPr>
          <w:sz w:val="20"/>
          <w:szCs w:val="20"/>
          <w:color w:val="auto"/>
        </w:rPr>
      </w:pPr>
      <w:r>
        <w:rPr>
          <w:rFonts w:ascii="Arial" w:cs="Arial" w:eastAsia="Arial" w:hAnsi="Arial"/>
          <w:sz w:val="19"/>
          <w:szCs w:val="19"/>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31" w:lineRule="exact"/>
        <w:rPr>
          <w:sz w:val="20"/>
          <w:szCs w:val="20"/>
          <w:color w:val="auto"/>
        </w:rPr>
      </w:pPr>
    </w:p>
    <w:p>
      <w:pPr>
        <w:ind w:right="40" w:firstLine="648"/>
        <w:spacing w:after="0" w:line="268" w:lineRule="auto"/>
        <w:rPr>
          <w:sz w:val="20"/>
          <w:szCs w:val="20"/>
          <w:color w:val="auto"/>
        </w:rPr>
      </w:pPr>
      <w:r>
        <w:rPr>
          <w:rFonts w:ascii="Arial" w:cs="Arial" w:eastAsia="Arial" w:hAnsi="Arial"/>
          <w:sz w:val="19"/>
          <w:szCs w:val="19"/>
          <w:color w:val="auto"/>
        </w:rPr>
        <w:t>Consumer privacy is highly protected by federal and state law.The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w:t>
      </w:r>
    </w:p>
    <w:p>
      <w:pPr>
        <w:spacing w:after="0" w:line="5"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186"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Rule.In addition, states impose a variety of laws protecting consumer information, with certain sensitive information such as HIV/Sexually Transmitted Disease status subject to heightened standards.In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numbers.Some state privacy and security laws apply more broadly than HIPAA and associated regulations. For example, California recently enacted legislation – the California Consumer Privacy Act, or CCPA – which went into effect January 1,</w:t>
      </w:r>
    </w:p>
    <w:p>
      <w:pPr>
        <w:spacing w:after="0" w:line="5"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179" w:lineRule="exact"/>
        <w:rPr>
          <w:sz w:val="20"/>
          <w:szCs w:val="20"/>
          <w:color w:val="auto"/>
        </w:rPr>
      </w:pPr>
    </w:p>
    <w:p>
      <w:pPr>
        <w:spacing w:after="0" w:line="250" w:lineRule="auto"/>
        <w:rPr>
          <w:sz w:val="20"/>
          <w:szCs w:val="20"/>
          <w:color w:val="auto"/>
        </w:rPr>
      </w:pPr>
      <w:r>
        <w:rPr>
          <w:rFonts w:ascii="Arial" w:cs="Arial" w:eastAsia="Arial" w:hAnsi="Arial"/>
          <w:sz w:val="22"/>
          <w:szCs w:val="22"/>
          <w:b w:val="1"/>
          <w:bCs w:val="1"/>
          <w:i w:val="1"/>
          <w:iCs w:val="1"/>
          <w:color w:val="auto"/>
        </w:rPr>
        <w:t>We may neither be successful in integrating the Biotest Assets into our business nor realize the strategic and financial benefits currently anticipated from the Biotest Transaction.</w:t>
      </w:r>
    </w:p>
    <w:p>
      <w:pPr>
        <w:spacing w:after="0" w:line="202" w:lineRule="exact"/>
        <w:rPr>
          <w:sz w:val="20"/>
          <w:szCs w:val="20"/>
          <w:color w:val="auto"/>
        </w:rPr>
      </w:pPr>
    </w:p>
    <w:p>
      <w:pPr>
        <w:ind w:right="80" w:firstLine="648"/>
        <w:spacing w:after="0" w:line="245" w:lineRule="auto"/>
        <w:rPr>
          <w:sz w:val="20"/>
          <w:szCs w:val="20"/>
          <w:color w:val="auto"/>
        </w:rPr>
      </w:pPr>
      <w:r>
        <w:rPr>
          <w:rFonts w:ascii="Arial" w:cs="Arial" w:eastAsia="Arial" w:hAnsi="Arial"/>
          <w:sz w:val="21"/>
          <w:szCs w:val="21"/>
          <w:color w:val="auto"/>
        </w:rPr>
        <w:t>On June 6, 2017, we completed Biotest Transaction, in which we acquired certain assets (the “Biotest Assets”) of the Therapy Business Unit (“BTBU”) of BPC, which included two FDA-licensed products, Nabi-HB and BIVIGAM, and the Boca Facility. The Biotest Transaction involves the integration of two businesses that previously have operated independently with principal offices in two distinct locations. We continue to expend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 There is also uncertainty as to whether the combined business will be able to operate at a profitable level in the future given the relatively small size of the Biotest Assets and the competitive environment in which we operate.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Potential difficulties that may be encountered in the integration process include, but are not limited to, the following:</w:t>
      </w:r>
    </w:p>
    <w:p>
      <w:pPr>
        <w:spacing w:after="0" w:line="27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ectPr>
          <w:pgSz w:w="11900" w:h="16909" w:orient="portrait"/>
          <w:cols w:equalWidth="0" w:num="1">
            <w:col w:w="11220"/>
          </w:cols>
          <w:pgMar w:left="320" w:top="118" w:right="359" w:bottom="0" w:gutter="0" w:footer="0" w:header="0"/>
        </w:sectPr>
      </w:pPr>
    </w:p>
    <w:bookmarkStart w:id="41" w:name="page42"/>
    <w:bookmarkEnd w:id="41"/>
    <w:p>
      <w:pPr>
        <w:spacing w:after="0" w:line="12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0"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214"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202"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As part of the consideration for the Biotest Transaction, we agreed to assume certain liabilities of BPC related to BTBU, which exposes us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212" w:lineRule="exact"/>
        <w:rPr>
          <w:sz w:val="20"/>
          <w:szCs w:val="20"/>
          <w:color w:val="auto"/>
        </w:rPr>
      </w:pPr>
    </w:p>
    <w:p>
      <w:pPr>
        <w:ind w:right="200" w:firstLine="648"/>
        <w:spacing w:after="0" w:line="245" w:lineRule="auto"/>
        <w:rPr>
          <w:sz w:val="20"/>
          <w:szCs w:val="20"/>
          <w:color w:val="auto"/>
        </w:rPr>
      </w:pPr>
      <w:r>
        <w:rPr>
          <w:rFonts w:ascii="Arial" w:cs="Arial" w:eastAsia="Arial" w:hAnsi="Arial"/>
          <w:sz w:val="21"/>
          <w:szCs w:val="21"/>
          <w:color w:val="auto"/>
        </w:rPr>
        <w:t>The Master Purchase and Sale Agreement, dated as of January 21, 2017 (the “Master Purchase Agreement”) contains indemnification undertakings by the parties thereto for certain losses, including, among other things, indemnification for any losses arising from breaches of its representations, warranties, covenants and agreements in the Master Purchase Agreement. In connection with the Share Transfer, Amendment and Release Agreement among us, BPC, Biotest AG, Biotest US Corporation and The Biotest Divestiture Trust (the “Biotest Trust”) (the “Biotest Transfer Agreement”), we granted a full release to Biotest from any and all past, present or future indemnification claims arising under or in connection with the Master Purchase Agreement. Significant indemnification claims by BPC or its affiliates or breaches by BPC or its affiliates of any indemnity obligations which would have been owed to us under the Master Purchase Agreement prior to the release granted in the Biotest Transfer Agreement could have a material adverse effect on our business, financial condition, results of operations and stock price.</w:t>
      </w:r>
    </w:p>
    <w:p>
      <w:pPr>
        <w:spacing w:after="0" w:line="208"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The inability to seek these remedies could have a material adverse effect on our business, financial condition, results of operations and stock price.</w:t>
      </w:r>
    </w:p>
    <w:p>
      <w:pPr>
        <w:spacing w:after="0" w:line="205" w:lineRule="exact"/>
        <w:rPr>
          <w:sz w:val="20"/>
          <w:szCs w:val="20"/>
          <w:color w:val="auto"/>
        </w:rPr>
      </w:pPr>
    </w:p>
    <w:p>
      <w:pPr>
        <w:ind w:right="220" w:firstLine="648"/>
        <w:spacing w:after="0" w:line="249" w:lineRule="auto"/>
        <w:rPr>
          <w:sz w:val="20"/>
          <w:szCs w:val="20"/>
          <w:color w:val="auto"/>
        </w:rPr>
      </w:pPr>
      <w:r>
        <w:rPr>
          <w:rFonts w:ascii="Arial" w:cs="Arial" w:eastAsia="Arial" w:hAnsi="Arial"/>
          <w:sz w:val="21"/>
          <w:szCs w:val="21"/>
          <w:color w:val="auto"/>
        </w:rPr>
        <w:t>In addition, while the Master Purchase Agreement contains certain non-compete clauses, such clauses do not prohibit either the Biotest Guarantors (as defined therein)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560"/>
        <w:spacing w:after="0" w:line="359"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were inadequate, then it could result in a material adverse effect on our business.</w:t>
      </w:r>
    </w:p>
    <w:p>
      <w:pPr>
        <w:spacing w:after="0" w:line="110"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are or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Master Purchase Agreement.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215"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b w:val="1"/>
          <w:bCs w:val="1"/>
          <w:i w:val="1"/>
          <w:iCs w:val="1"/>
          <w:color w:val="auto"/>
        </w:rPr>
        <w:t>The Perceptive Credit Facility is subject to acceleration in specified circumstances, which may result in Perceptive taking possession and disposing of any collateral.</w:t>
      </w:r>
    </w:p>
    <w:p>
      <w:pPr>
        <w:spacing w:after="0" w:line="20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On February 11, 2019 (the “Perceptive Closing Date”), we entered into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w:t>
      </w:r>
    </w:p>
    <w:p>
      <w:pPr>
        <w:sectPr>
          <w:pgSz w:w="11900" w:h="16965" w:orient="portrait"/>
          <w:cols w:equalWidth="0" w:num="1">
            <w:col w:w="11220"/>
          </w:cols>
          <w:pgMar w:left="320" w:top="368" w:right="359" w:bottom="0" w:gutter="0" w:footer="0" w:header="0"/>
        </w:sectPr>
      </w:pPr>
    </w:p>
    <w:bookmarkStart w:id="42" w:name="page43"/>
    <w:bookmarkEnd w:id="42"/>
    <w:p>
      <w:pPr>
        <w:spacing w:after="0" w:line="271" w:lineRule="auto"/>
        <w:rPr>
          <w:sz w:val="20"/>
          <w:szCs w:val="20"/>
          <w:color w:val="auto"/>
        </w:rPr>
      </w:pPr>
      <w:r>
        <w:rPr>
          <w:rFonts w:ascii="Arial" w:cs="Arial" w:eastAsia="Arial" w:hAnsi="Arial"/>
          <w:sz w:val="19"/>
          <w:szCs w:val="19"/>
          <w:color w:val="auto"/>
        </w:rPr>
        <w:t>comprised of (i) a term loan made on the Perceptive Closing Date in the principal amount of $45.0 million, as evidenced by our issuance of a promissory note in favor of Perceptive on the Perceptive Closing Date (the “Perceptive Tranche I Loan”), (ii) a term loan in the principal amount of $27.5 million evidenced by our of a promissory note in favor of Perceptive on May 3, 2019 (the “Perceptive Tranche II Loan”); and (iii) an additional commitment in the principal amount of up to $12.5 million (the “Perceptive Tranche III Loan,” and together with the Perceptive Tranche I Loan and the Perceptive Tranche II Loan, the “Perceptive Loans”) which we drew down on March 20, 2020. The Perceptive Loans each have a maturity date of March 1, 2022, subject to acceleration pursuant to the Perceptive Credit Agreement, including upon an Event of Default (as defined in the Perceptive Credit Agreement). The Perceptive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Perceptive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Perceptive Loans.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Developments by competitors may render our products or technologies obsolete or non-competitive.</w:t>
      </w:r>
    </w:p>
    <w:p>
      <w:pPr>
        <w:spacing w:after="0" w:line="233" w:lineRule="exact"/>
        <w:rPr>
          <w:sz w:val="20"/>
          <w:szCs w:val="20"/>
          <w:color w:val="auto"/>
        </w:rPr>
      </w:pPr>
    </w:p>
    <w:p>
      <w:pPr>
        <w:ind w:right="100" w:firstLine="648"/>
        <w:spacing w:after="0" w:line="245" w:lineRule="auto"/>
        <w:rPr>
          <w:sz w:val="20"/>
          <w:szCs w:val="20"/>
          <w:color w:val="auto"/>
        </w:rPr>
      </w:pPr>
      <w:r>
        <w:rPr>
          <w:rFonts w:ascii="Arial" w:cs="Arial" w:eastAsia="Arial" w:hAnsi="Arial"/>
          <w:sz w:val="21"/>
          <w:szCs w:val="21"/>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200"/>
        <w:spacing w:after="0" w:line="359"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10"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could lose market exclusivity of a product earlier than expected.</w:t>
      </w:r>
    </w:p>
    <w:p>
      <w:pPr>
        <w:spacing w:after="0" w:line="233"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In the pharmaceutical and biotechnology industries, the majority of an innovative product’s commercial value is realized during its market exclusivity period. In the U.S.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212"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ectPr>
          <w:pgSz w:w="11900" w:h="16838" w:orient="portrait"/>
          <w:cols w:equalWidth="0" w:num="1">
            <w:col w:w="11240"/>
          </w:cols>
          <w:pgMar w:left="320" w:top="118" w:right="339" w:bottom="0" w:gutter="0" w:footer="0" w:header="0"/>
        </w:sectPr>
      </w:pPr>
    </w:p>
    <w:bookmarkStart w:id="43" w:name="page44"/>
    <w:bookmarkEnd w:id="43"/>
    <w:p>
      <w:pPr>
        <w:ind w:right="20" w:firstLine="648"/>
        <w:spacing w:after="0" w:line="244" w:lineRule="auto"/>
        <w:rPr>
          <w:sz w:val="20"/>
          <w:szCs w:val="20"/>
          <w:color w:val="auto"/>
        </w:rPr>
      </w:pPr>
      <w:r>
        <w:rPr>
          <w:rFonts w:ascii="Arial" w:cs="Arial" w:eastAsia="Arial" w:hAnsi="Arial"/>
          <w:sz w:val="21"/>
          <w:szCs w:val="21"/>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There is no assurance that ASCENIV, or any other of our products for which we are issued a patent, will enjoy market exclusivity for the full time period of the respective patent.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520"/>
        <w:spacing w:after="0" w:line="274" w:lineRule="auto"/>
        <w:rPr>
          <w:sz w:val="20"/>
          <w:szCs w:val="20"/>
          <w:color w:val="auto"/>
        </w:rPr>
      </w:pPr>
      <w:r>
        <w:rPr>
          <w:rFonts w:ascii="Arial" w:cs="Arial" w:eastAsia="Arial" w:hAnsi="Arial"/>
          <w:sz w:val="21"/>
          <w:szCs w:val="21"/>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If we are unable to successfully manage our growth, our business may be harmed.</w:t>
      </w:r>
    </w:p>
    <w:p>
      <w:pPr>
        <w:spacing w:after="0" w:line="233"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loss of one or more key members of our management team could adversely affect our business.</w:t>
      </w:r>
    </w:p>
    <w:p>
      <w:pPr>
        <w:spacing w:after="0" w:line="23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9"/>
          <w:szCs w:val="19"/>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84"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b w:val="1"/>
          <w:bCs w:val="1"/>
          <w:i w:val="1"/>
          <w:iCs w:val="1"/>
          <w:color w:val="auto"/>
        </w:rPr>
        <w:t>Cyberattacks and other security breaches could compromise our proprietary and confidential information, which could harm our business and reputation.</w:t>
      </w:r>
    </w:p>
    <w:p>
      <w:pPr>
        <w:spacing w:after="0" w:line="20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w:t>
      </w:r>
    </w:p>
    <w:p>
      <w:pPr>
        <w:sectPr>
          <w:pgSz w:w="11900" w:h="16838" w:orient="portrait"/>
          <w:cols w:equalWidth="0" w:num="1">
            <w:col w:w="11200"/>
          </w:cols>
          <w:pgMar w:left="320" w:top="118" w:right="379" w:bottom="0" w:gutter="0" w:footer="0" w:header="0"/>
        </w:sectPr>
      </w:pPr>
    </w:p>
    <w:bookmarkStart w:id="44" w:name="page45"/>
    <w:bookmarkEnd w:id="44"/>
    <w:p>
      <w:pPr>
        <w:spacing w:after="0" w:line="274" w:lineRule="auto"/>
        <w:rPr>
          <w:sz w:val="20"/>
          <w:szCs w:val="20"/>
          <w:color w:val="auto"/>
        </w:rPr>
      </w:pPr>
      <w:r>
        <w:rPr>
          <w:rFonts w:ascii="Arial" w:cs="Arial" w:eastAsia="Arial" w:hAnsi="Arial"/>
          <w:sz w:val="19"/>
          <w:szCs w:val="19"/>
          <w:color w:val="auto"/>
        </w:rPr>
        <w:t>the COVID-19 pandemic, the risk of cybersecurity attacks and data breaches, particularly through phishing attempts, may be increased as we and third-parties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b w:val="1"/>
          <w:bCs w:val="1"/>
          <w:i w:val="1"/>
          <w:iCs w:val="1"/>
          <w:color w:val="auto"/>
        </w:rPr>
        <w:t>If we are unable to hire and retain a substantial number of qualified personnel, our ability to sustain and grow our business may be harmed.</w:t>
      </w:r>
    </w:p>
    <w:p>
      <w:pPr>
        <w:spacing w:after="0" w:line="202" w:lineRule="exact"/>
        <w:rPr>
          <w:sz w:val="20"/>
          <w:szCs w:val="20"/>
          <w:color w:val="auto"/>
        </w:rPr>
      </w:pPr>
    </w:p>
    <w:p>
      <w:pPr>
        <w:ind w:firstLine="648"/>
        <w:spacing w:after="0" w:line="243" w:lineRule="auto"/>
        <w:rPr>
          <w:sz w:val="20"/>
          <w:szCs w:val="20"/>
          <w:color w:val="auto"/>
        </w:rPr>
      </w:pPr>
      <w:r>
        <w:rPr>
          <w:rFonts w:ascii="Arial" w:cs="Arial" w:eastAsia="Arial" w:hAnsi="Arial"/>
          <w:sz w:val="21"/>
          <w:szCs w:val="21"/>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or travel restrictions related to COVID-19 prevent qualified personnel from applying for employment.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220"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b w:val="1"/>
          <w:bCs w:val="1"/>
          <w:i w:val="1"/>
          <w:iCs w:val="1"/>
          <w:color w:val="auto"/>
        </w:rPr>
        <w:t>We currently collect human blood plasma at our ADMA BioCenters facility, and if we cannot maintain FDA approval for this facility or obtain FDA approval for additional facilities that we create or acquire rights to, we may be adversely affected and may not be able to sell or use this human blood plasma for future commercial purposes.</w:t>
      </w:r>
    </w:p>
    <w:p>
      <w:pPr>
        <w:spacing w:after="0" w:line="161"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We intend to maintain FDA approval of our ADMA BioCenters collection facility in Kennesaw, GA for the collection of human blood plasma and we may seek other governmental and regulatory approvals for this facility.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FDA and other government approvals, as applicable. Failure to comply with applicable governmental regulations or to receive applicable approvals for our future facilities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200" w:lineRule="exact"/>
        <w:rPr>
          <w:sz w:val="20"/>
          <w:szCs w:val="20"/>
          <w:color w:val="auto"/>
        </w:rPr>
      </w:pPr>
    </w:p>
    <w:p>
      <w:pPr>
        <w:spacing w:after="0" w:line="231"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b w:val="1"/>
          <w:bCs w:val="1"/>
          <w:i w:val="1"/>
          <w:iCs w:val="1"/>
          <w:color w:val="auto"/>
        </w:rPr>
        <w:t>We currently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61"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There are no assurances we will be able to maintain compliance with all FDA or other regulations.Our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b w:val="1"/>
          <w:bCs w:val="1"/>
          <w:i w:val="1"/>
          <w:iCs w:val="1"/>
          <w:color w:val="auto"/>
        </w:rPr>
        <w:t>We may incur substantial liabilities and may be required to limit commercialization of our products in response to product liability lawsuits.</w:t>
      </w:r>
    </w:p>
    <w:p>
      <w:pPr>
        <w:sectPr>
          <w:pgSz w:w="11900" w:h="16838" w:orient="portrait"/>
          <w:cols w:equalWidth="0" w:num="1">
            <w:col w:w="11240"/>
          </w:cols>
          <w:pgMar w:left="320" w:top="118" w:right="339" w:bottom="76" w:gutter="0" w:footer="0" w:header="0"/>
        </w:sectPr>
      </w:pPr>
    </w:p>
    <w:bookmarkStart w:id="45" w:name="page46"/>
    <w:bookmarkEnd w:id="45"/>
    <w:p>
      <w:pPr>
        <w:ind w:firstLine="648"/>
        <w:spacing w:after="0" w:line="236" w:lineRule="auto"/>
        <w:rPr>
          <w:sz w:val="20"/>
          <w:szCs w:val="20"/>
          <w:color w:val="auto"/>
        </w:rPr>
      </w:pPr>
      <w:r>
        <w:rPr>
          <w:rFonts w:ascii="Arial" w:cs="Arial" w:eastAsia="Arial" w:hAnsi="Arial"/>
          <w:sz w:val="22"/>
          <w:szCs w:val="22"/>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215" w:lineRule="exact"/>
        <w:rPr>
          <w:sz w:val="20"/>
          <w:szCs w:val="20"/>
          <w:color w:val="auto"/>
        </w:rPr>
      </w:pPr>
    </w:p>
    <w:p>
      <w:pPr>
        <w:ind w:right="560"/>
        <w:spacing w:after="0"/>
        <w:rPr>
          <w:sz w:val="20"/>
          <w:szCs w:val="20"/>
          <w:color w:val="auto"/>
        </w:rPr>
      </w:pPr>
      <w:r>
        <w:rPr>
          <w:rFonts w:ascii="Arial" w:cs="Arial" w:eastAsia="Arial" w:hAnsi="Arial"/>
          <w:sz w:val="22"/>
          <w:szCs w:val="22"/>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213"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Federal False Claims Act,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208"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issued a proposed rule in February 2019, which aims to eliminate certain Anti-Kickback Statute safe harbor protection for drug rebates.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subject to this “Sunshine Act” and its implementing regulations to U.S.–licensed physicians and teaching hospitals, must be tracked and reported, and will be publicly disclosed. Such “applicable manufacturers” are also required to report certain ownership interests held by physicians and their immediate family members. In 2018, the Sunshine Act was extended to require tracking and reporting of payments and transfers of value to physician assistants, nurse practitioners, and other mid-level practitioners (with reporting requirements going into effect in 2022 for payments and transfers of value made in 2021).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w:t>
      </w:r>
    </w:p>
    <w:p>
      <w:pPr>
        <w:sectPr>
          <w:pgSz w:w="11900" w:h="16838" w:orient="portrait"/>
          <w:cols w:equalWidth="0" w:num="1">
            <w:col w:w="11220"/>
          </w:cols>
          <w:pgMar w:left="320" w:top="118" w:right="359" w:bottom="0" w:gutter="0" w:footer="0" w:header="0"/>
        </w:sectPr>
      </w:pPr>
    </w:p>
    <w:bookmarkStart w:id="46" w:name="page47"/>
    <w:bookmarkEnd w:id="46"/>
    <w:p>
      <w:pPr>
        <w:spacing w:after="0"/>
        <w:rPr>
          <w:sz w:val="20"/>
          <w:szCs w:val="20"/>
          <w:color w:val="auto"/>
        </w:rPr>
      </w:pPr>
      <w:r>
        <w:rPr>
          <w:rFonts w:ascii="Arial" w:cs="Arial" w:eastAsia="Arial" w:hAnsi="Arial"/>
          <w:sz w:val="19"/>
          <w:szCs w:val="19"/>
          <w:color w:val="auto"/>
        </w:rPr>
        <w:t>other healthcare fraud provisions, leading to the possibility of greatly increased qui tam suits by relators for perceived violations.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Violations or allegations of violations of the foregoing restrictions could materially and adversely affect our business.</w:t>
      </w:r>
    </w:p>
    <w:p>
      <w:pPr>
        <w:spacing w:after="0" w:line="227"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9"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211"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jc w:val="both"/>
        <w:ind w:right="140" w:firstLine="648"/>
        <w:spacing w:after="0" w:line="273" w:lineRule="auto"/>
        <w:rPr>
          <w:sz w:val="20"/>
          <w:szCs w:val="20"/>
          <w:color w:val="auto"/>
        </w:rPr>
      </w:pPr>
      <w:r>
        <w:rPr>
          <w:rFonts w:ascii="Arial" w:cs="Arial" w:eastAsia="Arial" w:hAnsi="Arial"/>
          <w:sz w:val="19"/>
          <w:szCs w:val="19"/>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w:t>
      </w:r>
    </w:p>
    <w:p>
      <w:pPr>
        <w:spacing w:after="0" w:line="1" w:lineRule="exact"/>
        <w:rPr>
          <w:sz w:val="20"/>
          <w:szCs w:val="20"/>
          <w:color w:val="auto"/>
        </w:rPr>
      </w:pPr>
    </w:p>
    <w:p>
      <w:pPr>
        <w:ind w:right="160"/>
        <w:spacing w:after="0" w:line="233" w:lineRule="auto"/>
        <w:rPr>
          <w:sz w:val="20"/>
          <w:szCs w:val="20"/>
          <w:color w:val="auto"/>
        </w:rPr>
      </w:pPr>
      <w:r>
        <w:rPr>
          <w:rFonts w:ascii="Arial" w:cs="Arial" w:eastAsia="Arial" w:hAnsi="Arial"/>
          <w:sz w:val="22"/>
          <w:szCs w:val="22"/>
          <w:color w:val="auto"/>
        </w:rPr>
        <w:t>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215"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74" w:lineRule="exact"/>
        <w:rPr>
          <w:sz w:val="20"/>
          <w:szCs w:val="20"/>
          <w:color w:val="auto"/>
        </w:rPr>
      </w:pPr>
    </w:p>
    <w:p>
      <w:pPr>
        <w:ind w:right="60" w:firstLine="607"/>
        <w:spacing w:after="0" w:line="273" w:lineRule="auto"/>
        <w:rPr>
          <w:sz w:val="20"/>
          <w:szCs w:val="20"/>
          <w:color w:val="auto"/>
        </w:rPr>
      </w:pPr>
      <w:r>
        <w:rPr>
          <w:rFonts w:ascii="Arial" w:cs="Arial" w:eastAsia="Arial" w:hAnsi="Arial"/>
          <w:sz w:val="19"/>
          <w:szCs w:val="19"/>
          <w:color w:val="auto"/>
        </w:rPr>
        <w:t>Both before and after the approval of our products, our products, our operations, our facilities, our suppliers and our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182"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regulatory review and approval process of governmental authorities is lengthy, expensive and uncertain. For example, in December 2016, BPC, the owner of BIVIGAM prior to the Biotest Transaction in June 2017, temporarily suspended the commercial production of BIVIGAM in order to focus on the completion of planned improvements to the manufacturing process.</w:t>
      </w:r>
    </w:p>
    <w:p>
      <w:pPr>
        <w:sectPr>
          <w:pgSz w:w="11900" w:h="16838" w:orient="portrait"/>
          <w:cols w:equalWidth="0" w:num="1">
            <w:col w:w="11220"/>
          </w:cols>
          <w:pgMar w:left="320" w:top="118" w:right="359" w:bottom="0" w:gutter="0" w:footer="0" w:header="0"/>
        </w:sectPr>
      </w:pPr>
    </w:p>
    <w:bookmarkStart w:id="47" w:name="page48"/>
    <w:bookmarkEnd w:id="47"/>
    <w:p>
      <w:pPr>
        <w:ind w:right="100"/>
        <w:spacing w:after="0" w:line="272" w:lineRule="auto"/>
        <w:rPr>
          <w:sz w:val="20"/>
          <w:szCs w:val="20"/>
          <w:color w:val="auto"/>
        </w:rPr>
      </w:pPr>
      <w:r>
        <w:rPr>
          <w:rFonts w:ascii="Arial" w:cs="Arial" w:eastAsia="Arial" w:hAnsi="Arial"/>
          <w:sz w:val="19"/>
          <w:szCs w:val="19"/>
          <w:color w:val="auto"/>
        </w:rPr>
        <w:t>We resumed production of BIVIGAM utilizing our now FDA-approved IVIG manufacturing process with two conformance lots in the fourth quarter of 2017 and a third conformance lot in the first quarter of 2018. During the first half of 2018, we qualified and filled the BIVIGAM conformance batches and the product is on stability. In June 2018, we filed a drug substance PAS with the FDA for BIVIGAM to include the ADMA improvements for BIVIGAM and to seek FDA authorization which would enable us to resume commercial scale manufacturing and re-launch and commercialize this product. On December 19, 2018, we received the BIVIGAM CRL for our PAS submission for BIVIGAM drug substance. The BIVIGAM CRL requested certain additional information and clarifications relating to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On May 9, 2019, we received FDA approval for our PAS for BIVIGAM.</w:t>
      </w:r>
    </w:p>
    <w:p>
      <w:pPr>
        <w:spacing w:after="0" w:line="184"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1020"/>
        <w:spacing w:after="0" w:line="250" w:lineRule="auto"/>
        <w:rPr>
          <w:sz w:val="20"/>
          <w:szCs w:val="20"/>
          <w:color w:val="auto"/>
        </w:rPr>
      </w:pPr>
      <w:r>
        <w:rPr>
          <w:rFonts w:ascii="Arial" w:cs="Arial" w:eastAsia="Arial" w:hAnsi="Arial"/>
          <w:sz w:val="22"/>
          <w:szCs w:val="22"/>
          <w:b w:val="1"/>
          <w:bCs w:val="1"/>
          <w:i w:val="1"/>
          <w:iCs w:val="1"/>
          <w:color w:val="auto"/>
        </w:rPr>
        <w:t>The manufacturing processes for plasma-based biologics are complex and involve biological intermediates that are susceptible to contamination and impurities.</w:t>
      </w:r>
    </w:p>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200" w:lineRule="exact"/>
        <w:rPr>
          <w:sz w:val="20"/>
          <w:szCs w:val="20"/>
          <w:color w:val="auto"/>
        </w:rPr>
      </w:pPr>
    </w:p>
    <w:p>
      <w:pPr>
        <w:spacing w:after="0" w:line="23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70" w:lineRule="exact"/>
        <w:rPr>
          <w:sz w:val="20"/>
          <w:szCs w:val="20"/>
          <w:color w:val="auto"/>
        </w:rPr>
      </w:pPr>
    </w:p>
    <w:p>
      <w:pPr>
        <w:ind w:right="480"/>
        <w:spacing w:after="0" w:line="359"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10" w:lineRule="exact"/>
        <w:rPr>
          <w:sz w:val="20"/>
          <w:szCs w:val="20"/>
          <w:color w:val="auto"/>
        </w:rPr>
      </w:pPr>
    </w:p>
    <w:p>
      <w:pPr>
        <w:ind w:right="340" w:firstLine="648"/>
        <w:spacing w:after="0" w:line="297" w:lineRule="auto"/>
        <w:rPr>
          <w:sz w:val="20"/>
          <w:szCs w:val="20"/>
          <w:color w:val="auto"/>
        </w:rPr>
      </w:pPr>
      <w:r>
        <w:rPr>
          <w:rFonts w:ascii="Arial" w:cs="Arial" w:eastAsia="Arial" w:hAnsi="Arial"/>
          <w:sz w:val="19"/>
          <w:szCs w:val="19"/>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w:t>
      </w:r>
    </w:p>
    <w:p>
      <w:pPr>
        <w:sectPr>
          <w:pgSz w:w="11900" w:h="16838" w:orient="portrait"/>
          <w:cols w:equalWidth="0" w:num="1">
            <w:col w:w="11240"/>
          </w:cols>
          <w:pgMar w:left="320" w:top="118" w:right="339" w:bottom="0" w:gutter="0" w:footer="0" w:header="0"/>
        </w:sectPr>
      </w:pPr>
    </w:p>
    <w:bookmarkStart w:id="48" w:name="page49"/>
    <w:bookmarkEnd w:id="48"/>
    <w:p>
      <w:pPr>
        <w:ind w:right="40"/>
        <w:spacing w:after="0" w:line="270" w:lineRule="auto"/>
        <w:rPr>
          <w:sz w:val="20"/>
          <w:szCs w:val="20"/>
          <w:color w:val="auto"/>
        </w:rPr>
      </w:pPr>
      <w:r>
        <w:rPr>
          <w:rFonts w:ascii="Arial" w:cs="Arial" w:eastAsia="Arial" w:hAnsi="Arial"/>
          <w:sz w:val="19"/>
          <w:szCs w:val="19"/>
          <w:color w:val="auto"/>
        </w:rPr>
        <w:t>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3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Kennesaw, GA plasma collection facility,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facility. This strategy is dependent upon our ability to maintain a cGMP compliant environment in our plasma facility and to expand production and attract donors to our facility. There is no assurance that the FDA will inspect and license any of our unlicensed plasma collection facilities which we may, in the future, construct,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facility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70" w:lineRule="exact"/>
        <w:rPr>
          <w:sz w:val="20"/>
          <w:szCs w:val="20"/>
          <w:color w:val="auto"/>
        </w:rPr>
      </w:pPr>
    </w:p>
    <w:p>
      <w:pPr>
        <w:ind w:right="420" w:firstLine="648"/>
        <w:spacing w:after="0" w:line="328" w:lineRule="auto"/>
        <w:rPr>
          <w:sz w:val="20"/>
          <w:szCs w:val="20"/>
          <w:color w:val="auto"/>
        </w:rPr>
      </w:pPr>
      <w:r>
        <w:rPr>
          <w:rFonts w:ascii="Arial" w:cs="Arial" w:eastAsia="Arial" w:hAnsi="Arial"/>
          <w:sz w:val="19"/>
          <w:szCs w:val="19"/>
          <w:color w:val="auto"/>
        </w:rPr>
        <w:t>Our ability to generate product revenues will be diminished if our products sell for inadequate prices or patients are unable to obtain adequate levels of coverage. Significant uncertainty exists as to the reimbursement status of newly approved</w:t>
      </w:r>
    </w:p>
    <w:p>
      <w:pPr>
        <w:sectPr>
          <w:pgSz w:w="11900" w:h="16838" w:orient="portrait"/>
          <w:cols w:equalWidth="0" w:num="1">
            <w:col w:w="11240"/>
          </w:cols>
          <w:pgMar w:left="320" w:top="118" w:right="339" w:bottom="0" w:gutter="0" w:footer="0" w:header="0"/>
        </w:sectPr>
      </w:pPr>
    </w:p>
    <w:bookmarkStart w:id="49" w:name="page50"/>
    <w:bookmarkEnd w:id="49"/>
    <w:p>
      <w:pPr>
        <w:ind w:right="100"/>
        <w:spacing w:after="0" w:line="271" w:lineRule="auto"/>
        <w:rPr>
          <w:sz w:val="20"/>
          <w:szCs w:val="20"/>
          <w:color w:val="auto"/>
        </w:rPr>
      </w:pPr>
      <w:r>
        <w:rPr>
          <w:rFonts w:ascii="Arial" w:cs="Arial" w:eastAsia="Arial" w:hAnsi="Arial"/>
          <w:sz w:val="19"/>
          <w:szCs w:val="19"/>
          <w:color w:val="auto"/>
        </w:rPr>
        <w:t>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b w:val="1"/>
          <w:bCs w:val="1"/>
          <w:i w:val="1"/>
          <w:iCs w:val="1"/>
          <w:color w:val="auto"/>
        </w:rPr>
        <w:t>The new biosimilar pathway established as part of healthcare reform may make it easier for competitors to market biosimilar products.</w:t>
      </w:r>
    </w:p>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implementation of the Healthcare Reform Law in the U.S. may adversely affect our business.</w:t>
      </w:r>
    </w:p>
    <w:p>
      <w:pPr>
        <w:spacing w:after="0" w:line="233"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6838" w:orient="portrait"/>
          <w:cols w:equalWidth="0" w:num="1">
            <w:col w:w="11220"/>
          </w:cols>
          <w:pgMar w:left="320" w:top="118" w:right="359" w:bottom="119" w:gutter="0" w:footer="0" w:header="0"/>
        </w:sectPr>
      </w:pPr>
    </w:p>
    <w:bookmarkStart w:id="50" w:name="page51"/>
    <w:bookmarkEnd w:id="50"/>
    <w:p>
      <w:pPr>
        <w:ind w:firstLine="648"/>
        <w:spacing w:after="0" w:line="279" w:lineRule="auto"/>
        <w:rPr>
          <w:sz w:val="20"/>
          <w:szCs w:val="20"/>
          <w:color w:val="auto"/>
        </w:rPr>
      </w:pPr>
      <w:r>
        <w:rPr>
          <w:rFonts w:ascii="Arial" w:cs="Arial" w:eastAsia="Arial" w:hAnsi="Arial"/>
          <w:sz w:val="19"/>
          <w:szCs w:val="19"/>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have been repeated attempts by Congress to repeal or change the Healthcare Reform Law.</w:t>
      </w:r>
    </w:p>
    <w:p>
      <w:pPr>
        <w:spacing w:after="0" w:line="8"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Further, on January 20, 2017, the new administration signed an Executive Order directing federal agencies with authorities and responsibilities under the ACA to waive, defer, grant exemptions from, or delay the implementation of any provision of the Healthcare Reform Law that would impose a fiscal or regulatory burden on states, individuals, healthcare providers, health insurers, or manufacturers of pharmaceuticals or medical devices. More recently, the U.S. District Court for the Northern District of Texas struck down the Healthcare Reform Law, deeming it unconstitutional given that Congress repealed the individual mandate in 2017. This decision has been stayed pending outcome of an appeal to the U.S. Fifth Circuit Court of Appeals. Although there is no immediate impact on the ACA, we will continue to evaluate the effect that the Healthcare Reform Law and its possible repeal and replacement, or potential total revocation by the Supreme Court of the United States, has on our business.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Finances, Capital Requirements and Other Financial Matters</w:t>
      </w:r>
    </w:p>
    <w:p>
      <w:pPr>
        <w:spacing w:after="0" w:line="239" w:lineRule="exact"/>
        <w:rPr>
          <w:sz w:val="20"/>
          <w:szCs w:val="20"/>
          <w:color w:val="auto"/>
        </w:rPr>
      </w:pPr>
    </w:p>
    <w:p>
      <w:pPr>
        <w:ind w:right="540"/>
        <w:spacing w:after="0" w:line="328" w:lineRule="auto"/>
        <w:rPr>
          <w:sz w:val="20"/>
          <w:szCs w:val="20"/>
          <w:color w:val="auto"/>
        </w:rPr>
      </w:pPr>
      <w:r>
        <w:rPr>
          <w:rFonts w:ascii="Arial" w:cs="Arial" w:eastAsia="Arial" w:hAnsi="Arial"/>
          <w:sz w:val="19"/>
          <w:szCs w:val="19"/>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32"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Our operations have consumed substantial amounts of cash since inception. For the six months ended June 30, 2020 and 2019, we had negative cash flows from operations of $45.9 million and $32.9 million, respectively, and for the years ended December 31, 2019 and 2018, we had negative cash flows from operations of approximately $76.2 million and $62.7 million, respectively. 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requiring substantial investments in raw material plasma and other manufacturing materials.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agreements. We currently anticipate, based upon our projected revenue and expenditures, as well as the additional funds we are able to draw down under the Perceptive Credit Facility, that our current cash, cash equivalents and accounts receivable will be sufficient to fund our operations, as currently conducted, into the second quarter of 2021. In order to have sufficient cash to fund our operations thereafter, we will need to raise additional equity or debt financing before the end of the second quarter of 2021. This time frame may change based upon how quickly we are able to execute on our operational initiatives and the various financing options that may be available to us in 2021.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including due to widespread liquidity constraints or significant market instability that could result from the COVID-19 pandemic, we will have to delay, curtail or eliminate our commercialization efforts or our product development activities.</w:t>
      </w:r>
    </w:p>
    <w:p>
      <w:pPr>
        <w:sectPr>
          <w:pgSz w:w="11900" w:h="16838" w:orient="portrait"/>
          <w:cols w:equalWidth="0" w:num="1">
            <w:col w:w="11240"/>
          </w:cols>
          <w:pgMar w:left="320" w:top="118" w:right="339" w:bottom="0" w:gutter="0" w:footer="0" w:header="0"/>
        </w:sectPr>
      </w:pPr>
    </w:p>
    <w:bookmarkStart w:id="51" w:name="page52"/>
    <w:bookmarkEnd w:id="51"/>
    <w:p>
      <w:pPr>
        <w:ind w:right="740"/>
        <w:spacing w:after="0" w:line="250" w:lineRule="auto"/>
        <w:rPr>
          <w:sz w:val="20"/>
          <w:szCs w:val="20"/>
          <w:color w:val="auto"/>
        </w:rPr>
      </w:pPr>
      <w:r>
        <w:rPr>
          <w:rFonts w:ascii="Arial" w:cs="Arial" w:eastAsia="Arial" w:hAnsi="Arial"/>
          <w:sz w:val="22"/>
          <w:szCs w:val="22"/>
          <w:b w:val="1"/>
          <w:bCs w:val="1"/>
          <w:i w:val="1"/>
          <w:iCs w:val="1"/>
          <w:color w:val="auto"/>
        </w:rPr>
        <w:t>We may not have cash available to us in amounts sufficient to enable us to make interest or principal payments on our indebtedness when due.</w:t>
      </w:r>
    </w:p>
    <w:p>
      <w:pPr>
        <w:spacing w:after="0" w:line="202"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The Perceptive Credit Facility provides for term loans of up to an aggregate principal amount of $85.0 million, all of which has been drawn down and is currently outstanding. Borrowings under the Perceptive Credit Facility bear interest at a rate per annum equal to 7.5% plus the greater of (i) one-month LIBOR and (ii) 3.5%; provided, however, that upon, and during the continuance of, an Event of Default, the interest rate will automatically increase by an additional 400 basis points. We are required to make monthly payments of interest during the term of the Perceptive Credit Facility of approximately $0.8 million, with all principal and unpaid interest due at maturity. The Perceptive Credit Facility has a maturity date of March 1, 2022, subject to acceleration pursuant to the Perceptive Credit Agreement, including upon an Event of Default. All of our obligations under the Perceptive Credit Facility are secured by a first-priority lien and security interest in substantially all of our and our subsidiaries’ tangible and intangible assets, including intellectual property, and all of the equity interests in our subsidiaries.</w:t>
      </w:r>
    </w:p>
    <w:p>
      <w:pPr>
        <w:spacing w:after="0" w:line="185"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In addition, we have $15.0 million in principal amount of indebtedness outstanding under an unsecured subordinated note issued by ADMA BioManufacturing to Biotest on June 6, 2017, which note bears interest at a rate of 6.0% per annum and matures on June 6, 2022. We are obligated to make semi-annual interest payments to Biotest of approximately $0.5 million, with all principal and unpaid interest due at maturity.</w:t>
      </w:r>
    </w:p>
    <w:p>
      <w:pPr>
        <w:spacing w:after="0" w:line="212"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Perceptive Credit Facility, seek to enforce their security interests, which could lead to our creditors taking immediate possession of and selling substantially all of our assets with no return provided to our stockholders.</w:t>
      </w:r>
    </w:p>
    <w:p>
      <w:pPr>
        <w:spacing w:after="0" w:line="177" w:lineRule="exact"/>
        <w:rPr>
          <w:sz w:val="20"/>
          <w:szCs w:val="20"/>
          <w:color w:val="auto"/>
        </w:rPr>
      </w:pPr>
    </w:p>
    <w:p>
      <w:pPr>
        <w:ind w:right="720"/>
        <w:spacing w:after="0" w:line="274" w:lineRule="auto"/>
        <w:rPr>
          <w:sz w:val="20"/>
          <w:szCs w:val="20"/>
          <w:color w:val="auto"/>
        </w:rPr>
      </w:pPr>
      <w:r>
        <w:rPr>
          <w:rFonts w:ascii="Arial" w:cs="Arial" w:eastAsia="Arial" w:hAnsi="Arial"/>
          <w:sz w:val="21"/>
          <w:szCs w:val="21"/>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8"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b w:val="1"/>
          <w:bCs w:val="1"/>
          <w:i w:val="1"/>
          <w:iCs w:val="1"/>
          <w:color w:val="auto"/>
        </w:rPr>
        <w:t>Our cash and cash equivalents could be adversely affected if the financial institutions in which we hold our cash and cash equivalents fail.</w:t>
      </w:r>
    </w:p>
    <w:p>
      <w:pPr>
        <w:spacing w:after="0" w:line="202" w:lineRule="exact"/>
        <w:rPr>
          <w:sz w:val="20"/>
          <w:szCs w:val="20"/>
          <w:color w:val="auto"/>
        </w:rPr>
      </w:pPr>
    </w:p>
    <w:p>
      <w:pPr>
        <w:ind w:right="120" w:firstLine="648"/>
        <w:spacing w:after="0" w:line="234" w:lineRule="auto"/>
        <w:rPr>
          <w:sz w:val="20"/>
          <w:szCs w:val="20"/>
          <w:color w:val="auto"/>
        </w:rPr>
      </w:pPr>
      <w:r>
        <w:rPr>
          <w:rFonts w:ascii="Arial" w:cs="Arial" w:eastAsia="Arial" w:hAnsi="Arial"/>
          <w:sz w:val="22"/>
          <w:szCs w:val="22"/>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218" w:lineRule="exact"/>
        <w:rPr>
          <w:sz w:val="20"/>
          <w:szCs w:val="20"/>
          <w:color w:val="auto"/>
        </w:rPr>
      </w:pPr>
    </w:p>
    <w:p>
      <w:pPr>
        <w:ind w:right="340"/>
        <w:spacing w:after="0"/>
        <w:rPr>
          <w:sz w:val="20"/>
          <w:szCs w:val="20"/>
          <w:color w:val="auto"/>
        </w:rPr>
      </w:pPr>
      <w:r>
        <w:rPr>
          <w:rFonts w:ascii="Arial" w:cs="Arial" w:eastAsia="Arial" w:hAnsi="Arial"/>
          <w:sz w:val="22"/>
          <w:szCs w:val="22"/>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213" w:lineRule="exact"/>
        <w:rPr>
          <w:sz w:val="20"/>
          <w:szCs w:val="20"/>
          <w:color w:val="auto"/>
        </w:rPr>
      </w:pPr>
    </w:p>
    <w:p>
      <w:pPr>
        <w:ind w:right="200" w:firstLine="648"/>
        <w:spacing w:after="0" w:line="246" w:lineRule="auto"/>
        <w:rPr>
          <w:sz w:val="20"/>
          <w:szCs w:val="20"/>
          <w:color w:val="auto"/>
        </w:rPr>
      </w:pPr>
      <w:r>
        <w:rPr>
          <w:rFonts w:ascii="Arial" w:cs="Arial" w:eastAsia="Arial" w:hAnsi="Arial"/>
          <w:sz w:val="21"/>
          <w:szCs w:val="21"/>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ability to use our net operating loss carryforwards (“NOLs”) may be limited.</w:t>
      </w:r>
    </w:p>
    <w:p>
      <w:pPr>
        <w:spacing w:after="0" w:line="233" w:lineRule="exact"/>
        <w:rPr>
          <w:sz w:val="20"/>
          <w:szCs w:val="20"/>
          <w:color w:val="auto"/>
        </w:rPr>
      </w:pPr>
    </w:p>
    <w:p>
      <w:pPr>
        <w:ind w:right="580" w:firstLine="648"/>
        <w:spacing w:after="0" w:line="328" w:lineRule="auto"/>
        <w:rPr>
          <w:sz w:val="20"/>
          <w:szCs w:val="20"/>
          <w:color w:val="auto"/>
        </w:rPr>
      </w:pPr>
      <w:r>
        <w:rPr>
          <w:rFonts w:ascii="Arial" w:cs="Arial" w:eastAsia="Arial" w:hAnsi="Arial"/>
          <w:sz w:val="19"/>
          <w:szCs w:val="19"/>
          <w:color w:val="auto"/>
        </w:rPr>
        <w:t>We have incurred substantial losses during our history. As of December 31, 2019, we had federal and state NOLs of $175.1 million and $116.2 million, respectively. These NOLs will begin to expire at various dates beginning in 2027, if not</w:t>
      </w:r>
    </w:p>
    <w:p>
      <w:pPr>
        <w:sectPr>
          <w:pgSz w:w="11900" w:h="16838" w:orient="portrait"/>
          <w:cols w:equalWidth="0" w:num="1">
            <w:col w:w="11240"/>
          </w:cols>
          <w:pgMar w:left="320" w:top="361" w:right="339" w:bottom="0" w:gutter="0" w:footer="0" w:header="0"/>
        </w:sectPr>
      </w:pPr>
    </w:p>
    <w:bookmarkStart w:id="52" w:name="page53"/>
    <w:bookmarkEnd w:id="52"/>
    <w:p>
      <w:pPr>
        <w:ind w:right="100"/>
        <w:spacing w:after="0" w:line="275" w:lineRule="auto"/>
        <w:rPr>
          <w:sz w:val="20"/>
          <w:szCs w:val="20"/>
          <w:color w:val="auto"/>
        </w:rPr>
      </w:pPr>
      <w:r>
        <w:rPr>
          <w:rFonts w:ascii="Arial" w:cs="Arial" w:eastAsia="Arial" w:hAnsi="Arial"/>
          <w:sz w:val="19"/>
          <w:szCs w:val="19"/>
          <w:color w:val="auto"/>
        </w:rPr>
        <w:t>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Tax Cuts and Jobs Act (the “TCJA”) could adversely affect our business and financial condition.</w:t>
      </w:r>
    </w:p>
    <w:p>
      <w:pPr>
        <w:spacing w:after="0" w:line="233" w:lineRule="exact"/>
        <w:rPr>
          <w:sz w:val="20"/>
          <w:szCs w:val="20"/>
          <w:color w:val="auto"/>
        </w:rPr>
      </w:pPr>
    </w:p>
    <w:p>
      <w:pPr>
        <w:ind w:right="40" w:firstLine="607"/>
        <w:spacing w:after="0" w:line="273" w:lineRule="auto"/>
        <w:rPr>
          <w:sz w:val="20"/>
          <w:szCs w:val="20"/>
          <w:color w:val="auto"/>
        </w:rPr>
      </w:pPr>
      <w:r>
        <w:rPr>
          <w:rFonts w:ascii="Arial" w:cs="Arial" w:eastAsia="Arial" w:hAnsi="Arial"/>
          <w:sz w:val="19"/>
          <w:szCs w:val="19"/>
          <w:color w:val="auto"/>
        </w:rPr>
        <w:t>The TCJA, among other things, reduced the corporate tax rate from a top marginal rate of 35% to a flat rate of 21%, limited the tax deduction for interest expense to 30% of adjusted earnings (except for certain small businesses), limited the deduction for net operating losses generated after December 31, 2017 to 80% of current year taxable income and eliminated net operating loss carrybacks, provided immediate deductions for certain new investments instead of deductions for depreciation expense over time and modified or repealed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Associated with our Common Stock</w:t>
      </w:r>
    </w:p>
    <w:p>
      <w:pPr>
        <w:spacing w:after="0" w:line="239"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b w:val="1"/>
          <w:bCs w:val="1"/>
          <w:i w:val="1"/>
          <w:iCs w:val="1"/>
          <w:color w:val="auto"/>
        </w:rPr>
        <w:t>The market price of our common stock may be volatile and may fluctuate in a way that is disproportionate to our operating performance.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stock price may experience substantial volatility as a result of a number of factors, including:</w:t>
      </w:r>
    </w:p>
    <w:p>
      <w:pPr>
        <w:spacing w:after="0" w:line="24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4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70"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b w:val="1"/>
          <w:bCs w:val="1"/>
          <w:i w:val="1"/>
          <w:iCs w:val="1"/>
          <w:color w:val="auto"/>
        </w:rPr>
        <w:t>Sales of a substantial number of shares of our common stock, or the perception that such sales may occur, may adversely affect the market price of our common stock.</w:t>
      </w:r>
    </w:p>
    <w:p>
      <w:pPr>
        <w:sectPr>
          <w:pgSz w:w="11900" w:h="16838" w:orient="portrait"/>
          <w:cols w:equalWidth="0" w:num="1">
            <w:col w:w="11240"/>
          </w:cols>
          <w:pgMar w:left="320" w:top="118" w:right="339" w:bottom="0" w:gutter="0" w:footer="0" w:header="0"/>
        </w:sectPr>
      </w:pPr>
    </w:p>
    <w:bookmarkStart w:id="53" w:name="page54"/>
    <w:bookmarkEnd w:id="53"/>
    <w:p>
      <w:pPr>
        <w:spacing w:after="0" w:line="169"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As of August 3, 2020, most of our 86,349,981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5"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201"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As of June 30, 2020, Perceptive, our directors and executive officers and their affiliates beneficially owned approximately 27% of the outstanding shares of our common stock. Additionally, on November 14, 2018, the standstill provisions contained in that certain Stockholders Agreement, dated as of June 6, 2017, by and between us and BPC, as amended by the Biotest Transfer Agreement, which prohibited the Biotest Trust from, among other things, acquiring more than (i) 50%, less one share, of our issued and outstanding shares of capital stock on an as-converted basis, or (ii) 30% of the issued and outstanding shares of common stock, terminated and are of no further force and effect. This event could result in the Biotest Trust acquiring additional shares of our common stock or taking other actions with the goal of acquiring additional shares of our common stock.</w:t>
      </w:r>
    </w:p>
    <w:p>
      <w:pPr>
        <w:spacing w:after="0" w:line="17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22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(the “Board”)to institute a stockholder rights plan, also known as a poison pill, that would work to dilute our stock,</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0"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211"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b w:val="1"/>
          <w:bCs w:val="1"/>
          <w:i w:val="1"/>
          <w:iCs w:val="1"/>
          <w:color w:val="auto"/>
        </w:rPr>
        <w:t>We have never paid and do not intend to pay cash dividends in the foreseeable future. As a result, capital appreciation, if any, will be your sole source of gain.</w:t>
      </w:r>
    </w:p>
    <w:p>
      <w:pPr>
        <w:spacing w:after="0" w:line="202"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170" w:lineRule="exact"/>
        <w:rPr>
          <w:sz w:val="20"/>
          <w:szCs w:val="20"/>
          <w:color w:val="auto"/>
        </w:rPr>
      </w:pPr>
    </w:p>
    <w:p>
      <w:pPr>
        <w:jc w:val="both"/>
        <w:ind w:right="80"/>
        <w:spacing w:after="0"/>
        <w:rPr>
          <w:sz w:val="20"/>
          <w:szCs w:val="20"/>
          <w:color w:val="auto"/>
        </w:rPr>
      </w:pPr>
      <w:r>
        <w:rPr>
          <w:rFonts w:ascii="Arial" w:cs="Arial" w:eastAsia="Arial" w:hAnsi="Arial"/>
          <w:sz w:val="22"/>
          <w:szCs w:val="22"/>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ectPr>
          <w:pgSz w:w="11900" w:h="17008" w:orient="portrait"/>
          <w:cols w:equalWidth="0" w:num="1">
            <w:col w:w="11200"/>
          </w:cols>
          <w:pgMar w:left="320" w:top="118" w:right="379" w:bottom="0" w:gutter="0" w:footer="0" w:header="0"/>
        </w:sectPr>
      </w:pPr>
    </w:p>
    <w:p>
      <w:pPr>
        <w:spacing w:after="0" w:line="245"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Our Common Stock currently trades on the Nasdaq Global Market under the symbol “ADMA.” If we fail to adhere to Nasdaq’s strict listing criteria, including with respect to stock price, our market capitalization and stockholders’ equity, our stock</w:t>
      </w:r>
    </w:p>
    <w:p>
      <w:pPr>
        <w:sectPr>
          <w:pgSz w:w="11900" w:h="17008" w:orient="portrait"/>
          <w:cols w:equalWidth="0" w:num="1">
            <w:col w:w="11200"/>
          </w:cols>
          <w:pgMar w:left="320" w:top="118" w:right="379" w:bottom="0" w:gutter="0" w:footer="0" w:header="0"/>
          <w:type w:val="continuous"/>
        </w:sectPr>
      </w:pPr>
    </w:p>
    <w:bookmarkStart w:id="54" w:name="page55"/>
    <w:bookmarkEnd w:id="54"/>
    <w:p>
      <w:pPr>
        <w:ind w:right="40"/>
        <w:spacing w:after="0" w:line="277" w:lineRule="auto"/>
        <w:rPr>
          <w:sz w:val="20"/>
          <w:szCs w:val="20"/>
          <w:color w:val="auto"/>
        </w:rPr>
      </w:pPr>
      <w:r>
        <w:rPr>
          <w:rFonts w:ascii="Arial" w:cs="Arial" w:eastAsia="Arial" w:hAnsi="Arial"/>
          <w:sz w:val="19"/>
          <w:szCs w:val="19"/>
          <w:color w:val="auto"/>
        </w:rPr>
        <w:t>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Penny stock regulations may affect your ability to sell our common stock.</w:t>
      </w:r>
    </w:p>
    <w:p>
      <w:pPr>
        <w:spacing w:after="0" w:line="233"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will continue to incur increased costs now that we are no longer an “emerging growth company.”</w:t>
      </w:r>
    </w:p>
    <w:p>
      <w:pPr>
        <w:spacing w:after="0" w:line="233"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Effective January 1, 2019, we ceased to be an “emerging growth company” as defined by the Jumpstart Our Business Startups Act (the “JOBS Act”). The JOBS Act contains provisions that, among other things, reduce certain reporting requirements for qualifying public companies. As an “emerging growth company,” we took advantage of certain benefits afforded to “emerging growth companies” under Section 7(a)(2)(B) of the Securities Act, which included delaying the adoption of new or revised accounting standards applicable to public companies until such standards would otherwise apply to private companies. As an emerging growth company, we were also exempt from the requirement to have our independent registered public accounting firm provide an attestation report on our internal control over financial reporting pursuant to Section 404 of the Sarbanes-Oxley Act.</w:t>
      </w:r>
    </w:p>
    <w:p>
      <w:pPr>
        <w:spacing w:after="0" w:line="21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9"/>
          <w:szCs w:val="19"/>
          <w:color w:val="auto"/>
        </w:rPr>
        <w:t>Consequently, we have, and will continue to, incur increased costs related to our compliance with Section 404 of the Sarbanes-Oxley Act. For example, in 2018, our Audit Committee retained the services of BDO, a Sarbanes-Oxley advisor, to assist with our internal controls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9"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202"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150,000,000 shares of common stock. As of June 30, 2020, there were 54,384,080 shares remaining available for issuance, after giving effect to 9,265,939 shares of our common stock that were subject to outstanding stock options, RSUs, warrants or other convertible securities as of June 30, 2020 that may be issued by us without stockholder approval.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0" w:gutter="0" w:footer="0" w:header="0"/>
        </w:sectPr>
      </w:pPr>
    </w:p>
    <w:bookmarkStart w:id="55" w:name="page56"/>
    <w:bookmarkEnd w:id="55"/>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4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9"/>
          <w:szCs w:val="19"/>
          <w:color w:val="auto"/>
        </w:rPr>
        <w:t>On August 5, 2020, the Company entered into an Open Market Sale Agreement</w:t>
      </w:r>
      <w:r>
        <w:rPr>
          <w:rFonts w:ascii="Arial" w:cs="Arial" w:eastAsia="Arial" w:hAnsi="Arial"/>
          <w:sz w:val="30"/>
          <w:szCs w:val="30"/>
          <w:color w:val="auto"/>
          <w:vertAlign w:val="superscript"/>
        </w:rPr>
        <w:t>SM</w:t>
      </w:r>
      <w:r>
        <w:rPr>
          <w:rFonts w:ascii="Arial" w:cs="Arial" w:eastAsia="Arial" w:hAnsi="Arial"/>
          <w:sz w:val="19"/>
          <w:szCs w:val="19"/>
          <w:color w:val="auto"/>
        </w:rPr>
        <w:t xml:space="preserve"> (the “Sale Agreement”) with Jefferies LLC, as agent (“Agent”), pursuant to which the Company may offer and sell (the “Offering”), from time to time, at its option, through or to the Agent, up to an aggregate of $50,000,000 of shares of the Company’s common stock, par value $0.0001 per share (the “Shares”). Any Shares to be offered and sold under the Sale Agreement will be issued and sold pursuant to the Company’s Registration Statement on Form S-3 (File No. 333-234107), filed with the SEC on October 4, 2019, and declared effective on October 15, 2019 (the “Registration Statement”) and the prospectus supplement relating to the Offering, dated August 5, 2020, that will be filed with the SEC, by methods deemed to be an “at the market offering” as defined in Rule 415(a)</w:t>
      </w:r>
    </w:p>
    <w:p>
      <w:pPr>
        <w:spacing w:after="0" w:line="7" w:lineRule="exact"/>
        <w:rPr>
          <w:sz w:val="20"/>
          <w:szCs w:val="20"/>
          <w:color w:val="auto"/>
        </w:rPr>
      </w:pPr>
    </w:p>
    <w:p>
      <w:pPr>
        <w:ind w:right="420" w:firstLine="8"/>
        <w:spacing w:after="0" w:line="256" w:lineRule="auto"/>
        <w:tabs>
          <w:tab w:leader="none" w:pos="306" w:val="left"/>
        </w:tabs>
        <w:numPr>
          <w:ilvl w:val="0"/>
          <w:numId w:val="36"/>
        </w:numPr>
        <w:rPr>
          <w:rFonts w:ascii="Arial" w:cs="Arial" w:eastAsia="Arial" w:hAnsi="Arial"/>
          <w:sz w:val="21"/>
          <w:szCs w:val="21"/>
          <w:color w:val="auto"/>
        </w:rPr>
      </w:pPr>
      <w:r>
        <w:rPr>
          <w:rFonts w:ascii="Arial" w:cs="Arial" w:eastAsia="Arial" w:hAnsi="Arial"/>
          <w:sz w:val="21"/>
          <w:szCs w:val="21"/>
          <w:color w:val="auto"/>
        </w:rPr>
        <w:t>promulgated under the Securities Act of 1933, as amended, (the “Securities Act”), or if specified by the Company, by any other method permitted by law, including, but not limited to, in negotiated and block transactions.</w:t>
      </w:r>
    </w:p>
    <w:p>
      <w:pPr>
        <w:spacing w:after="0" w:line="196" w:lineRule="exact"/>
        <w:rPr>
          <w:sz w:val="20"/>
          <w:szCs w:val="20"/>
          <w:color w:val="auto"/>
        </w:rPr>
      </w:pPr>
    </w:p>
    <w:p>
      <w:pPr>
        <w:ind w:right="60" w:firstLine="864"/>
        <w:spacing w:after="0" w:line="277" w:lineRule="auto"/>
        <w:rPr>
          <w:sz w:val="20"/>
          <w:szCs w:val="20"/>
          <w:color w:val="auto"/>
        </w:rPr>
      </w:pPr>
      <w:r>
        <w:rPr>
          <w:rFonts w:ascii="Arial" w:cs="Arial" w:eastAsia="Arial" w:hAnsi="Arial"/>
          <w:sz w:val="19"/>
          <w:szCs w:val="19"/>
          <w:color w:val="auto"/>
        </w:rPr>
        <w:t>Subject to the terms of the Sale Agreement, the Agent will use its commercially reasonable efforts to sell the Shares from time to time, based upon the Company’s instructions (including any price, time or size limits or other customary parameters or conditions the Company may impose). The Company cannot provide any assurances that it will issue any Shares pursuant to the Sale Agreement. The Company will pay the Agent a commission of up to 3.0% of the gross proceeds from each sale of the Shares under the Sale Agreement. The Company will also reimburse the Agent for certain expenses incurred in connection with the Sale Agreement and agreed to provide the Agent with customary indemnification rights with respect to certain liabilities, including liabilities under the Securities Act and the Securities Exchange Act of 1934, as amended.</w:t>
      </w:r>
    </w:p>
    <w:p>
      <w:pPr>
        <w:spacing w:after="0" w:line="179" w:lineRule="exact"/>
        <w:rPr>
          <w:sz w:val="20"/>
          <w:szCs w:val="20"/>
          <w:color w:val="auto"/>
        </w:rPr>
      </w:pPr>
    </w:p>
    <w:p>
      <w:pPr>
        <w:ind w:right="520" w:firstLine="648"/>
        <w:spacing w:after="0" w:line="328" w:lineRule="auto"/>
        <w:rPr>
          <w:sz w:val="20"/>
          <w:szCs w:val="20"/>
          <w:color w:val="auto"/>
        </w:rPr>
      </w:pPr>
      <w:r>
        <w:rPr>
          <w:rFonts w:ascii="Arial" w:cs="Arial" w:eastAsia="Arial" w:hAnsi="Arial"/>
          <w:sz w:val="19"/>
          <w:szCs w:val="19"/>
          <w:color w:val="auto"/>
        </w:rPr>
        <w:t>The Sale Agreement will terminate upon the earliest of (a) the sale of the maximum number or amount of the Shares permitted to be sold under the Sale Agreement, (b) the termination of the Sale Agreement by either of the parties thereto.</w:t>
      </w:r>
    </w:p>
    <w:p>
      <w:pPr>
        <w:spacing w:after="0" w:line="132"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Company currently intends to use any net proceeds from the Offering for general corporate purposes, which may include (i) the procurement of raw materials for the manufacturing of BIVIGAM and ASCENIV; (ii) the ongoing commercial sales of its IVIG products; (iii) expanding the manufacturing capacity of its Boca Facility, including supply chain functions, and enhancing the robustness of its supply chain oversight; (iv) expanding its plasma collection facility network; and (v) research and development and business development opportunities.</w:t>
      </w:r>
    </w:p>
    <w:p>
      <w:pPr>
        <w:spacing w:after="0" w:line="214" w:lineRule="exact"/>
        <w:rPr>
          <w:sz w:val="20"/>
          <w:szCs w:val="20"/>
          <w:color w:val="auto"/>
        </w:rPr>
      </w:pPr>
    </w:p>
    <w:p>
      <w:pPr>
        <w:ind w:right="400" w:firstLine="648"/>
        <w:spacing w:after="0" w:line="328" w:lineRule="auto"/>
        <w:rPr>
          <w:sz w:val="20"/>
          <w:szCs w:val="20"/>
          <w:color w:val="auto"/>
        </w:rPr>
      </w:pPr>
      <w:r>
        <w:rPr>
          <w:rFonts w:ascii="Arial" w:cs="Arial" w:eastAsia="Arial" w:hAnsi="Arial"/>
          <w:sz w:val="19"/>
          <w:szCs w:val="19"/>
          <w:color w:val="auto"/>
        </w:rPr>
        <w:t>The foregoing description of the Sale Agreement does not purport to be complete and is qualified in its entirety by reference to the full text of the Sale Agreement, which is included hereto as Exhibit 1.1 and incorporated by reference herein.</w:t>
      </w:r>
    </w:p>
    <w:p>
      <w:pPr>
        <w:spacing w:after="0" w:line="132"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This Quarterly Report on Form 10-Q shall not constitute an offer to sell or the solicitation of an offer to buy the Shares, nor shall there be any offer, solicitation or sale of the Shares in any state or country in which such offer, solicitation or sale would be unlawful prior to registration or qualification under the securities laws of any such state or country.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the Exhibit Index immediately following the signature page of this Quarterly Report on Form 10-Q.</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600" w:type="dxa"/>
            <w:vAlign w:val="bottom"/>
            <w:gridSpan w:val="2"/>
          </w:tcPr>
          <w:p>
            <w:pPr>
              <w:ind w:left="1780"/>
              <w:spacing w:after="0"/>
              <w:rPr>
                <w:sz w:val="20"/>
                <w:szCs w:val="20"/>
                <w:color w:val="auto"/>
              </w:rPr>
            </w:pPr>
            <w:r>
              <w:rPr>
                <w:rFonts w:ascii="Arial" w:cs="Arial" w:eastAsia="Arial" w:hAnsi="Arial"/>
                <w:sz w:val="18"/>
                <w:szCs w:val="18"/>
                <w:b w:val="1"/>
                <w:bCs w:val="1"/>
                <w:color w:val="auto"/>
              </w:rPr>
              <w:t>ADMA Biologics, Inc.</w:t>
            </w:r>
          </w:p>
        </w:tc>
        <w:tc>
          <w:tcPr>
            <w:tcW w:w="1340" w:type="dxa"/>
            <w:vAlign w:val="bottom"/>
          </w:tcPr>
          <w:p>
            <w:pPr>
              <w:spacing w:after="0"/>
              <w:rPr>
                <w:sz w:val="20"/>
                <w:szCs w:val="20"/>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August 5, 2020</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By: /s/ Adam S. Grossman</w:t>
            </w:r>
          </w:p>
        </w:tc>
        <w:tc>
          <w:tcPr>
            <w:tcW w:w="1340" w:type="dxa"/>
            <w:vAlign w:val="bottom"/>
          </w:tcPr>
          <w:p>
            <w:pPr>
              <w:spacing w:after="0"/>
              <w:rPr>
                <w:sz w:val="24"/>
                <w:szCs w:val="24"/>
                <w:color w:val="auto"/>
              </w:rPr>
            </w:pPr>
          </w:p>
        </w:tc>
      </w:tr>
      <w:tr>
        <w:trPr>
          <w:trHeight w:val="195"/>
        </w:trPr>
        <w:tc>
          <w:tcPr>
            <w:tcW w:w="3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Adam S. Grossman</w:t>
            </w:r>
          </w:p>
        </w:tc>
        <w:tc>
          <w:tcPr>
            <w:tcW w:w="134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c>
          <w:tcPr>
            <w:tcW w:w="1340" w:type="dxa"/>
            <w:vAlign w:val="bottom"/>
          </w:tcPr>
          <w:p>
            <w:pPr>
              <w:spacing w:after="0"/>
              <w:rPr>
                <w:sz w:val="20"/>
                <w:szCs w:val="20"/>
                <w:color w:val="auto"/>
              </w:rPr>
            </w:pPr>
          </w:p>
        </w:tc>
      </w:tr>
      <w:tr>
        <w:trPr>
          <w:trHeight w:val="648"/>
        </w:trPr>
        <w:tc>
          <w:tcPr>
            <w:tcW w:w="3300" w:type="dxa"/>
            <w:vAlign w:val="bottom"/>
          </w:tcPr>
          <w:p>
            <w:pPr>
              <w:spacing w:after="0"/>
              <w:rPr>
                <w:sz w:val="20"/>
                <w:szCs w:val="20"/>
                <w:color w:val="auto"/>
              </w:rPr>
            </w:pPr>
            <w:r>
              <w:rPr>
                <w:rFonts w:ascii="Arial" w:cs="Arial" w:eastAsia="Arial" w:hAnsi="Arial"/>
                <w:sz w:val="18"/>
                <w:szCs w:val="18"/>
                <w:color w:val="auto"/>
              </w:rPr>
              <w:t>Date: August 5, 2020</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By: /s/ Brian Lenz</w:t>
            </w:r>
          </w:p>
        </w:tc>
        <w:tc>
          <w:tcPr>
            <w:tcW w:w="1340" w:type="dxa"/>
            <w:vAlign w:val="bottom"/>
          </w:tcPr>
          <w:p>
            <w:pPr>
              <w:spacing w:after="0"/>
              <w:rPr>
                <w:sz w:val="24"/>
                <w:szCs w:val="24"/>
                <w:color w:val="auto"/>
              </w:rPr>
            </w:pPr>
          </w:p>
        </w:tc>
      </w:tr>
      <w:tr>
        <w:trPr>
          <w:trHeight w:val="195"/>
        </w:trPr>
        <w:tc>
          <w:tcPr>
            <w:tcW w:w="3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Brian Lenz</w:t>
            </w:r>
          </w:p>
        </w:tc>
        <w:tc>
          <w:tcPr>
            <w:tcW w:w="134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6"/>
              </w:rPr>
              <w:t>Title:  Executive Vice President and Chief Financial Officer</w:t>
            </w:r>
          </w:p>
        </w:tc>
        <w:tc>
          <w:tcPr>
            <w:tcW w:w="1340" w:type="dxa"/>
            <w:vAlign w:val="bottom"/>
          </w:tcPr>
          <w:p>
            <w:pPr>
              <w:spacing w:after="0"/>
              <w:rPr>
                <w:sz w:val="20"/>
                <w:szCs w:val="20"/>
                <w:color w:val="auto"/>
              </w:rPr>
            </w:pPr>
          </w:p>
        </w:tc>
      </w:tr>
      <w:tr>
        <w:trPr>
          <w:trHeight w:val="661"/>
        </w:trPr>
        <w:tc>
          <w:tcPr>
            <w:tcW w:w="330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ind w:left="2240"/>
              <w:spacing w:after="0"/>
              <w:rPr>
                <w:sz w:val="20"/>
                <w:szCs w:val="20"/>
                <w:color w:val="auto"/>
              </w:rPr>
            </w:pPr>
            <w:r>
              <w:rPr>
                <w:rFonts w:ascii="Arial" w:cs="Arial" w:eastAsia="Arial" w:hAnsi="Arial"/>
                <w:sz w:val="18"/>
                <w:szCs w:val="18"/>
                <w:color w:val="auto"/>
              </w:rPr>
              <w:t>65</w:t>
            </w:r>
          </w:p>
        </w:tc>
        <w:tc>
          <w:tcPr>
            <w:tcW w:w="1340" w:type="dxa"/>
            <w:vAlign w:val="bottom"/>
            <w:tcBorders>
              <w:bottom w:val="single" w:sz="8" w:color="auto"/>
            </w:tcBorders>
          </w:tcPr>
          <w:p>
            <w:pPr>
              <w:spacing w:after="0"/>
              <w:rPr>
                <w:sz w:val="24"/>
                <w:szCs w:val="24"/>
                <w:color w:val="auto"/>
              </w:rPr>
            </w:pPr>
          </w:p>
        </w:tc>
      </w:tr>
      <w:tr>
        <w:trPr>
          <w:trHeight w:val="412"/>
        </w:trPr>
        <w:tc>
          <w:tcPr>
            <w:tcW w:w="330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1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6"/>
        </w:trPr>
        <w:tc>
          <w:tcPr>
            <w:tcW w:w="3300" w:type="dxa"/>
            <w:vAlign w:val="bottom"/>
          </w:tcPr>
          <w:p>
            <w:pPr>
              <w:spacing w:after="0"/>
              <w:rPr>
                <w:sz w:val="24"/>
                <w:szCs w:val="24"/>
                <w:color w:val="auto"/>
              </w:rPr>
            </w:pPr>
          </w:p>
        </w:tc>
        <w:tc>
          <w:tcPr>
            <w:tcW w:w="6600" w:type="dxa"/>
            <w:vAlign w:val="bottom"/>
            <w:gridSpan w:val="2"/>
          </w:tcPr>
          <w:p>
            <w:pPr>
              <w:ind w:left="1820"/>
              <w:spacing w:after="0"/>
              <w:rPr>
                <w:sz w:val="20"/>
                <w:szCs w:val="20"/>
                <w:color w:val="auto"/>
              </w:rPr>
            </w:pPr>
            <w:r>
              <w:rPr>
                <w:rFonts w:ascii="Arial" w:cs="Arial" w:eastAsia="Arial" w:hAnsi="Arial"/>
                <w:sz w:val="22"/>
                <w:szCs w:val="22"/>
                <w:b w:val="1"/>
                <w:bCs w:val="1"/>
                <w:color w:val="auto"/>
              </w:rPr>
              <w:t>EXHIBIT INDEX</w:t>
            </w:r>
          </w:p>
        </w:tc>
        <w:tc>
          <w:tcPr>
            <w:tcW w:w="1340" w:type="dxa"/>
            <w:vAlign w:val="bottom"/>
          </w:tcPr>
          <w:p>
            <w:pPr>
              <w:spacing w:after="0"/>
              <w:rPr>
                <w:sz w:val="24"/>
                <w:szCs w:val="24"/>
                <w:color w:val="auto"/>
              </w:rPr>
            </w:pPr>
          </w:p>
        </w:tc>
      </w:tr>
    </w:tbl>
    <w:p>
      <w:pPr>
        <w:spacing w:after="0" w:line="200" w:lineRule="exact"/>
        <w:rPr>
          <w:sz w:val="20"/>
          <w:szCs w:val="20"/>
          <w:color w:val="auto"/>
        </w:rPr>
      </w:pPr>
    </w:p>
    <w:p>
      <w:pPr>
        <w:sectPr>
          <w:pgSz w:w="11900" w:h="16855" w:orient="portrait"/>
          <w:cols w:equalWidth="0" w:num="1">
            <w:col w:w="11240"/>
          </w:cols>
          <w:pgMar w:left="320" w:top="112" w:right="339" w:bottom="0" w:gutter="0" w:footer="0" w:header="0"/>
        </w:sectPr>
      </w:pPr>
    </w:p>
    <w:p>
      <w:pPr>
        <w:spacing w:after="0" w:line="1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Description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2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55" w:orient="portrait"/>
          <w:cols w:equalWidth="0" w:num="1">
            <w:col w:w="11240"/>
          </w:cols>
          <w:pgMar w:left="320" w:top="112" w:right="339" w:bottom="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92"/>
        </w:trPr>
        <w:tc>
          <w:tcPr>
            <w:tcW w:w="1140" w:type="dxa"/>
            <w:vAlign w:val="bottom"/>
            <w:tcBorders>
              <w:bottom w:val="single" w:sz="8" w:color="CCEEFF"/>
            </w:tcBorders>
            <w:vMerge w:val="restart"/>
            <w:shd w:val="clear" w:color="auto" w:fill="CCEEFF"/>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1.1*</w:t>
              </w:r>
            </w:hyperlink>
          </w:p>
        </w:tc>
        <w:tc>
          <w:tcPr>
            <w:tcW w:w="2160" w:type="dxa"/>
            <w:vAlign w:val="bottom"/>
            <w:tcBorders>
              <w:bottom w:val="single" w:sz="8" w:color="CCEEFF"/>
            </w:tcBorders>
            <w:gridSpan w:val="3"/>
            <w:vMerge w:val="restart"/>
            <w:shd w:val="clear" w:color="auto" w:fill="CCEEFF"/>
          </w:tcPr>
          <w:p>
            <w:pPr>
              <w:spacing w:after="0"/>
              <w:rPr>
                <w:rFonts w:ascii="Arial" w:cs="Arial" w:eastAsia="Arial" w:hAnsi="Arial"/>
                <w:sz w:val="18"/>
                <w:szCs w:val="18"/>
                <w:u w:val="single" w:color="auto"/>
                <w:color w:val="0000EE"/>
                <w:w w:val="89"/>
              </w:rPr>
            </w:pPr>
            <w:hyperlink w:anchor="page58">
              <w:r>
                <w:rPr>
                  <w:rFonts w:ascii="Arial" w:cs="Arial" w:eastAsia="Arial" w:hAnsi="Arial"/>
                  <w:sz w:val="18"/>
                  <w:szCs w:val="18"/>
                  <w:u w:val="single" w:color="auto"/>
                  <w:color w:val="0000EE"/>
                  <w:w w:val="89"/>
                </w:rPr>
                <w:t>Open Market Sale Agreement</w:t>
              </w:r>
            </w:hyperlink>
          </w:p>
        </w:tc>
        <w:tc>
          <w:tcPr>
            <w:tcW w:w="220" w:type="dxa"/>
            <w:vAlign w:val="bottom"/>
            <w:tcBorders>
              <w:bottom w:val="single" w:sz="8" w:color="0000EE"/>
            </w:tcBorders>
            <w:shd w:val="clear" w:color="auto" w:fill="CCEEFF"/>
          </w:tcPr>
          <w:p>
            <w:pPr>
              <w:spacing w:after="0"/>
              <w:rPr>
                <w:rFonts w:ascii="Arial" w:cs="Arial" w:eastAsia="Arial" w:hAnsi="Arial"/>
                <w:sz w:val="15"/>
                <w:szCs w:val="15"/>
                <w:color w:val="0000EE"/>
                <w:w w:val="88"/>
              </w:rPr>
            </w:pPr>
            <w:hyperlink w:anchor="page58">
              <w:r>
                <w:rPr>
                  <w:rFonts w:ascii="Arial" w:cs="Arial" w:eastAsia="Arial" w:hAnsi="Arial"/>
                  <w:sz w:val="15"/>
                  <w:szCs w:val="15"/>
                  <w:color w:val="0000EE"/>
                  <w:w w:val="88"/>
                </w:rPr>
                <w:t>SM</w:t>
              </w:r>
            </w:hyperlink>
          </w:p>
        </w:tc>
        <w:tc>
          <w:tcPr>
            <w:tcW w:w="7720" w:type="dxa"/>
            <w:vAlign w:val="bottom"/>
            <w:tcBorders>
              <w:bottom w:val="single" w:sz="8" w:color="CCEEFF"/>
            </w:tcBorders>
            <w:gridSpan w:val="5"/>
            <w:vMerge w:val="restart"/>
            <w:shd w:val="clear" w:color="auto" w:fill="CCEEFF"/>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 dated August 5, 2020, by and between ADMA Biologics, Inc. and Jefferies LLC.</w:t>
              </w:r>
            </w:hyperlink>
          </w:p>
        </w:tc>
        <w:tc>
          <w:tcPr>
            <w:tcW w:w="0" w:type="dxa"/>
            <w:vAlign w:val="bottom"/>
          </w:tcPr>
          <w:p>
            <w:pPr>
              <w:spacing w:after="0"/>
              <w:rPr>
                <w:sz w:val="1"/>
                <w:szCs w:val="1"/>
                <w:color w:val="auto"/>
              </w:rPr>
            </w:pPr>
          </w:p>
        </w:tc>
      </w:tr>
      <w:tr>
        <w:trPr>
          <w:trHeight w:val="88"/>
        </w:trPr>
        <w:tc>
          <w:tcPr>
            <w:tcW w:w="1140" w:type="dxa"/>
            <w:vAlign w:val="bottom"/>
            <w:vMerge w:val="continue"/>
            <w:shd w:val="clear" w:color="auto" w:fill="CCEEFF"/>
          </w:tcPr>
          <w:p>
            <w:pPr>
              <w:spacing w:after="0"/>
              <w:rPr>
                <w:sz w:val="7"/>
                <w:szCs w:val="7"/>
                <w:color w:val="auto"/>
              </w:rPr>
            </w:pPr>
          </w:p>
        </w:tc>
        <w:tc>
          <w:tcPr>
            <w:tcW w:w="2160" w:type="dxa"/>
            <w:vAlign w:val="bottom"/>
            <w:gridSpan w:val="3"/>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720" w:type="dxa"/>
            <w:vAlign w:val="bottom"/>
            <w:gridSpan w:val="5"/>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5.1*</w:t>
              </w:r>
            </w:hyperlink>
          </w:p>
        </w:tc>
        <w:tc>
          <w:tcPr>
            <w:tcW w:w="10100" w:type="dxa"/>
            <w:vAlign w:val="bottom"/>
            <w:gridSpan w:val="9"/>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Opinion of Morgan, Lewis &amp; Bockius LLP.</w:t>
              </w:r>
            </w:hyperlink>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23.1*</w:t>
              </w:r>
            </w:hyperlink>
          </w:p>
        </w:tc>
        <w:tc>
          <w:tcPr>
            <w:tcW w:w="10100" w:type="dxa"/>
            <w:vAlign w:val="bottom"/>
            <w:gridSpan w:val="9"/>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Consent of Morgan, Lewis &amp; Bockius LLP (included in Exhibit 5.1).</w:t>
              </w:r>
            </w:hyperlink>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31.1*</w:t>
              </w:r>
            </w:hyperlink>
          </w:p>
        </w:tc>
        <w:tc>
          <w:tcPr>
            <w:tcW w:w="10060" w:type="dxa"/>
            <w:vAlign w:val="bottom"/>
            <w:tcBorders>
              <w:bottom w:val="single" w:sz="8" w:color="0000EE"/>
            </w:tcBorders>
            <w:gridSpan w:val="8"/>
          </w:tcPr>
          <w:p>
            <w:pPr>
              <w:spacing w:after="0" w:line="17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Certification of Principal Executive Officer pursuant to Rules 13a-14(a) and 15d-14(a), as adopted pursuant to Section 302 of the Sarbanes-</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31.2*</w:t>
              </w:r>
            </w:hyperlink>
          </w:p>
        </w:tc>
        <w:tc>
          <w:tcPr>
            <w:tcW w:w="10100" w:type="dxa"/>
            <w:vAlign w:val="bottom"/>
            <w:gridSpan w:val="9"/>
            <w:shd w:val="clear" w:color="auto" w:fill="CCEEFF"/>
          </w:tcPr>
          <w:p>
            <w:pPr>
              <w:spacing w:after="0" w:line="17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Certification of Principal Financial Officer pursuant to Rules 13a-14(a) and 15d-14(a), as adopted pursuant to Section 302 of the Sarbanes-</w:t>
              </w:r>
            </w:hyperlink>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Oxley Act of 2002.</w:t>
              </w:r>
            </w:hyperlink>
          </w:p>
        </w:tc>
        <w:tc>
          <w:tcPr>
            <w:tcW w:w="860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32.1**</w:t>
              </w:r>
            </w:hyperlink>
          </w:p>
        </w:tc>
        <w:tc>
          <w:tcPr>
            <w:tcW w:w="9940" w:type="dxa"/>
            <w:vAlign w:val="bottom"/>
            <w:tcBorders>
              <w:bottom w:val="single" w:sz="8" w:color="0000EE"/>
            </w:tcBorders>
            <w:gridSpan w:val="6"/>
          </w:tcPr>
          <w:p>
            <w:pPr>
              <w:spacing w:after="0" w:line="17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32.2**</w:t>
              </w:r>
            </w:hyperlink>
          </w:p>
        </w:tc>
        <w:tc>
          <w:tcPr>
            <w:tcW w:w="10100" w:type="dxa"/>
            <w:vAlign w:val="bottom"/>
            <w:gridSpan w:val="9"/>
            <w:shd w:val="clear" w:color="auto" w:fill="CCEEFF"/>
          </w:tcPr>
          <w:p>
            <w:pPr>
              <w:spacing w:after="0" w:line="17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Act of 2002.</w:t>
              </w:r>
            </w:hyperlink>
          </w:p>
        </w:tc>
        <w:tc>
          <w:tcPr>
            <w:tcW w:w="220" w:type="dxa"/>
            <w:vAlign w:val="bottom"/>
            <w:tcBorders>
              <w:top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10100" w:type="dxa"/>
            <w:vAlign w:val="bottom"/>
            <w:gridSpan w:val="9"/>
          </w:tcPr>
          <w:p>
            <w:pPr>
              <w:spacing w:after="0" w:line="201" w:lineRule="exact"/>
              <w:rPr>
                <w:sz w:val="20"/>
                <w:szCs w:val="20"/>
                <w:color w:val="auto"/>
              </w:rPr>
            </w:pPr>
            <w:r>
              <w:rPr>
                <w:rFonts w:ascii="Arial" w:cs="Arial" w:eastAsia="Arial" w:hAnsi="Arial"/>
                <w:sz w:val="18"/>
                <w:szCs w:val="18"/>
                <w:color w:val="auto"/>
                <w:w w:val="94"/>
              </w:rPr>
              <w:t>The following materials from ADMA Biologics, Inc.’s Form 10-Q for the quarter ended June 30, 2020, formatted in Extensible Business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w w:val="93"/>
              </w:rPr>
              <w:t>Reporting Language (XBRL): (i) Condensed Consolidated Balance Sheets as of June 30, 2020 (Unaudited) and December 31, 2019, (ii)</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w w:val="89"/>
              </w:rPr>
              <w:t>Condensed Consolidated Statements of Operations (Unaudited) for the three and six months ended June 30, 2020 and 2019, (iii) Condensed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w w:val="91"/>
              </w:rPr>
              <w:t>Consolidated Statements of Changes in Stockholders' Equity (Unaudited) for the three and six months ended June 30, 2020 and 2019, (iv)</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w w:val="95"/>
              </w:rPr>
              <w:t>Condensed Consolidated Statements of Cash Flows (Unaudited) for the six months ended June 30, 2020 and 2019, and (v) Notes to</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10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22"/>
          <w:szCs w:val="22"/>
          <w:color w:val="auto"/>
        </w:rPr>
        <w:t>_______________________________</w:t>
      </w:r>
    </w:p>
    <w:p>
      <w:pPr>
        <w:spacing w:after="0" w:line="231" w:lineRule="auto"/>
        <w:rPr>
          <w:sz w:val="20"/>
          <w:szCs w:val="20"/>
          <w:color w:val="auto"/>
        </w:rPr>
      </w:pPr>
      <w:r>
        <w:rPr>
          <w:rFonts w:ascii="Arial" w:cs="Arial" w:eastAsia="Arial" w:hAnsi="Arial"/>
          <w:sz w:val="22"/>
          <w:szCs w:val="22"/>
          <w:color w:val="auto"/>
        </w:rPr>
        <w:t>* Filed herewith.</w:t>
      </w:r>
    </w:p>
    <w:p>
      <w:pPr>
        <w:spacing w:after="0"/>
        <w:rPr>
          <w:sz w:val="20"/>
          <w:szCs w:val="20"/>
          <w:color w:val="auto"/>
        </w:rPr>
      </w:pPr>
      <w:r>
        <w:rPr>
          <w:rFonts w:ascii="Arial" w:cs="Arial" w:eastAsia="Arial" w:hAnsi="Arial"/>
          <w:sz w:val="22"/>
          <w:szCs w:val="22"/>
          <w:color w:val="auto"/>
        </w:rPr>
        <w:t>** In accordance with SEC Release 33-8238, Exhibit 32.1 and 32.2 are being furnished and not filed.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7" w:name="page58"/>
    <w:bookmarkEnd w:id="57"/>
    <w:p>
      <w:pPr>
        <w:ind w:left="10000"/>
        <w:spacing w:after="0"/>
        <w:rPr>
          <w:sz w:val="20"/>
          <w:szCs w:val="20"/>
          <w:color w:val="auto"/>
        </w:rPr>
      </w:pPr>
      <w:r>
        <w:rPr>
          <w:rFonts w:ascii="Arial" w:cs="Arial" w:eastAsia="Arial" w:hAnsi="Arial"/>
          <w:sz w:val="22"/>
          <w:szCs w:val="22"/>
          <w:b w:val="1"/>
          <w:bCs w:val="1"/>
          <w:color w:val="auto"/>
        </w:rPr>
        <w:t>EXHIBIT 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OPEN MARKET SALE AGREEMENT</w:t>
      </w:r>
      <w:r>
        <w:rPr>
          <w:rFonts w:ascii="Arial" w:cs="Arial" w:eastAsia="Arial" w:hAnsi="Arial"/>
          <w:sz w:val="35"/>
          <w:szCs w:val="35"/>
          <w:b w:val="1"/>
          <w:bCs w:val="1"/>
          <w:color w:val="auto"/>
          <w:vertAlign w:val="superscript"/>
        </w:rPr>
        <w:t>SM</w:t>
      </w:r>
    </w:p>
    <w:p>
      <w:pPr>
        <w:spacing w:after="0" w:line="114" w:lineRule="exact"/>
        <w:rPr>
          <w:sz w:val="20"/>
          <w:szCs w:val="20"/>
          <w:color w:val="auto"/>
        </w:rPr>
      </w:pPr>
    </w:p>
    <w:p>
      <w:pPr>
        <w:ind w:left="9920"/>
        <w:spacing w:after="0"/>
        <w:rPr>
          <w:sz w:val="20"/>
          <w:szCs w:val="20"/>
          <w:color w:val="auto"/>
        </w:rPr>
      </w:pPr>
      <w:r>
        <w:rPr>
          <w:rFonts w:ascii="Arial" w:cs="Arial" w:eastAsia="Arial" w:hAnsi="Arial"/>
          <w:sz w:val="19"/>
          <w:szCs w:val="19"/>
          <w:color w:val="auto"/>
        </w:rPr>
        <w:t>August 5, 2020</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38" w:lineRule="auto"/>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7"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21"/>
          <w:szCs w:val="21"/>
          <w:color w:val="auto"/>
        </w:rPr>
        <w:t>ADMA Biologics,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proposes, subject to the terms and conditions stated herein, to issue and sell from time to time through Jefferies LLC, as sales agent and/or principal (the “</w:t>
      </w:r>
      <w:r>
        <w:rPr>
          <w:rFonts w:ascii="Arial" w:cs="Arial" w:eastAsia="Arial" w:hAnsi="Arial"/>
          <w:sz w:val="21"/>
          <w:szCs w:val="21"/>
          <w:b w:val="1"/>
          <w:bCs w:val="1"/>
          <w:color w:val="auto"/>
        </w:rPr>
        <w:t>Agent</w:t>
      </w:r>
      <w:r>
        <w:rPr>
          <w:rFonts w:ascii="Arial" w:cs="Arial" w:eastAsia="Arial" w:hAnsi="Arial"/>
          <w:sz w:val="21"/>
          <w:szCs w:val="21"/>
          <w:color w:val="auto"/>
        </w:rPr>
        <w:t>”), shares of the Company’s common stock, par value $0.0001 per share (the “</w:t>
      </w:r>
      <w:r>
        <w:rPr>
          <w:rFonts w:ascii="Arial" w:cs="Arial" w:eastAsia="Arial" w:hAnsi="Arial"/>
          <w:sz w:val="21"/>
          <w:szCs w:val="21"/>
          <w:b w:val="1"/>
          <w:bCs w:val="1"/>
          <w:color w:val="auto"/>
        </w:rPr>
        <w:t>Common Shares</w:t>
      </w:r>
      <w:r>
        <w:rPr>
          <w:rFonts w:ascii="Arial" w:cs="Arial" w:eastAsia="Arial" w:hAnsi="Arial"/>
          <w:sz w:val="21"/>
          <w:szCs w:val="21"/>
          <w:color w:val="auto"/>
        </w:rPr>
        <w:t>”), having an aggregate offering price of up to $50.0 million on the terms set forth in this agreement (this “</w:t>
      </w:r>
      <w:r>
        <w:rPr>
          <w:rFonts w:ascii="Arial" w:cs="Arial" w:eastAsia="Arial" w:hAnsi="Arial"/>
          <w:sz w:val="21"/>
          <w:szCs w:val="21"/>
          <w:b w:val="1"/>
          <w:bCs w:val="1"/>
          <w:color w:val="auto"/>
        </w:rPr>
        <w:t>Agreement</w:t>
      </w:r>
      <w:r>
        <w:rPr>
          <w:rFonts w:ascii="Arial" w:cs="Arial" w:eastAsia="Arial" w:hAnsi="Arial"/>
          <w:sz w:val="21"/>
          <w:szCs w:val="2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DEFINITIONS</w:t>
      </w:r>
    </w:p>
    <w:p>
      <w:pPr>
        <w:spacing w:after="0" w:line="239" w:lineRule="exact"/>
        <w:rPr>
          <w:sz w:val="20"/>
          <w:szCs w:val="20"/>
          <w:color w:val="auto"/>
        </w:rPr>
      </w:pPr>
    </w:p>
    <w:p>
      <w:pPr>
        <w:ind w:right="20" w:firstLine="615"/>
        <w:spacing w:after="0" w:line="274" w:lineRule="auto"/>
        <w:tabs>
          <w:tab w:leader="none" w:pos="879"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Certain Definitions</w:t>
      </w:r>
      <w:r>
        <w:rPr>
          <w:rFonts w:ascii="Arial" w:cs="Arial" w:eastAsia="Arial" w:hAnsi="Arial"/>
          <w:sz w:val="21"/>
          <w:szCs w:val="21"/>
          <w:color w:val="auto"/>
        </w:rPr>
        <w:t>. For purposes of this Agreement, capitalized terms used herein and not otherwise defined shall have the following respective meanings:</w:t>
      </w:r>
    </w:p>
    <w:p>
      <w:pPr>
        <w:spacing w:after="0" w:line="172" w:lineRule="exact"/>
        <w:rPr>
          <w:sz w:val="20"/>
          <w:szCs w:val="20"/>
          <w:color w:val="auto"/>
        </w:rPr>
      </w:pPr>
    </w:p>
    <w:p>
      <w:pPr>
        <w:jc w:val="both"/>
        <w:ind w:firstLine="607"/>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209" w:lineRule="exact"/>
        <w:rPr>
          <w:sz w:val="20"/>
          <w:szCs w:val="20"/>
          <w:color w:val="auto"/>
        </w:rPr>
      </w:pPr>
    </w:p>
    <w:p>
      <w:pPr>
        <w:jc w:val="both"/>
        <w:ind w:firstLine="60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Agency Period</w:t>
      </w:r>
      <w:r>
        <w:rPr>
          <w:rFonts w:ascii="Arial" w:cs="Arial" w:eastAsia="Arial" w:hAnsi="Arial"/>
          <w:sz w:val="22"/>
          <w:szCs w:val="22"/>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U.S. Securities and Exchange Commission.</w:t>
      </w:r>
    </w:p>
    <w:p>
      <w:pPr>
        <w:spacing w:after="0" w:line="233"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of the Commission thereunder.</w:t>
      </w:r>
    </w:p>
    <w:p>
      <w:pPr>
        <w:spacing w:after="0" w:line="189" w:lineRule="exact"/>
        <w:rPr>
          <w:sz w:val="20"/>
          <w:szCs w:val="20"/>
          <w:color w:val="auto"/>
        </w:rPr>
      </w:pPr>
    </w:p>
    <w:p>
      <w:pPr>
        <w:jc w:val="both"/>
        <w:ind w:firstLine="60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Floor Price</w:t>
      </w:r>
      <w:r>
        <w:rPr>
          <w:rFonts w:ascii="Arial" w:cs="Arial" w:eastAsia="Arial" w:hAnsi="Arial"/>
          <w:sz w:val="19"/>
          <w:szCs w:val="19"/>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SM</w:t>
      </w:r>
      <w:r>
        <w:rPr>
          <w:rFonts w:ascii="Arial" w:cs="Arial" w:eastAsia="Arial" w:hAnsi="Arial"/>
          <w:sz w:val="22"/>
          <w:szCs w:val="22"/>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Amount</w:t>
      </w:r>
      <w:r>
        <w:rPr>
          <w:rFonts w:ascii="Arial" w:cs="Arial" w:eastAsia="Arial" w:hAnsi="Arial"/>
          <w:sz w:val="22"/>
          <w:szCs w:val="22"/>
          <w:color w:val="auto"/>
        </w:rPr>
        <w:t>” means the aggregate Sales Price of the Shares to be sold by the Agent pursuant to any Issuance Notice.</w:t>
      </w:r>
    </w:p>
    <w:p>
      <w:pPr>
        <w:spacing w:after="0" w:line="189" w:lineRule="exact"/>
        <w:rPr>
          <w:sz w:val="20"/>
          <w:szCs w:val="20"/>
          <w:color w:val="auto"/>
        </w:rPr>
      </w:pPr>
    </w:p>
    <w:p>
      <w:pPr>
        <w:jc w:val="both"/>
        <w:ind w:firstLine="607"/>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Issuance Notice</w:t>
      </w:r>
      <w:r>
        <w:rPr>
          <w:rFonts w:ascii="Arial" w:cs="Arial" w:eastAsia="Arial" w:hAnsi="Arial"/>
          <w:sz w:val="19"/>
          <w:szCs w:val="19"/>
          <w:color w:val="auto"/>
        </w:rPr>
        <w:t xml:space="preserve">” means a written notice delivered to the Agent by the Company in accordance with this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that is executed by its Chief Executive Officer, President or Chief Financial Officer.</w:t>
      </w:r>
    </w:p>
    <w:p>
      <w:pPr>
        <w:spacing w:after="0" w:line="121" w:lineRule="exact"/>
        <w:rPr>
          <w:sz w:val="20"/>
          <w:szCs w:val="20"/>
          <w:color w:val="auto"/>
        </w:rPr>
      </w:pPr>
    </w:p>
    <w:p>
      <w:pPr>
        <w:jc w:val="both"/>
        <w:ind w:right="20" w:firstLine="60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Notice Date</w:t>
      </w:r>
      <w:r>
        <w:rPr>
          <w:rFonts w:ascii="Arial" w:cs="Arial" w:eastAsia="Arial" w:hAnsi="Arial"/>
          <w:sz w:val="22"/>
          <w:szCs w:val="22"/>
          <w:color w:val="auto"/>
        </w:rPr>
        <w:t xml:space="preserve">” means any Trading Day during the Agency Period that an Issuance Notice is delivered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Price</w:t>
      </w:r>
      <w:r>
        <w:rPr>
          <w:rFonts w:ascii="Arial" w:cs="Arial" w:eastAsia="Arial" w:hAnsi="Arial"/>
          <w:sz w:val="22"/>
          <w:szCs w:val="22"/>
          <w:color w:val="auto"/>
        </w:rPr>
        <w:t>” means the Sales Price less the Selling Commission.</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Maximum Program Amount</w:t>
      </w:r>
      <w:r>
        <w:rPr>
          <w:rFonts w:ascii="Arial" w:cs="Arial" w:eastAsia="Arial" w:hAnsi="Arial"/>
          <w:sz w:val="19"/>
          <w:szCs w:val="19"/>
          <w:color w:val="auto"/>
        </w:rPr>
        <w:t>” means Common Shares with an aggregate Sales Price of the lesser of (a) $50,000,000,</w:t>
      </w:r>
    </w:p>
    <w:p>
      <w:pPr>
        <w:spacing w:after="0" w:line="49" w:lineRule="exact"/>
        <w:rPr>
          <w:sz w:val="20"/>
          <w:szCs w:val="20"/>
          <w:color w:val="auto"/>
        </w:rPr>
      </w:pPr>
    </w:p>
    <w:p>
      <w:pPr>
        <w:jc w:val="both"/>
        <w:ind w:firstLine="8"/>
        <w:spacing w:after="0" w:line="232" w:lineRule="auto"/>
        <w:tabs>
          <w:tab w:leader="none" w:pos="35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number or dollar amount of Common Shares registered under the effective Registration Statement (defined below) pursuant to which the offering is being made, (c) the number of authorized but unissued Common Shares (less Common Shares issuable upon exercise, conversion or exchange of any outstanding securities of the Company or otherwise reserved from the Company’s authorized capital stock), (d) the number or dollar amount of Common Shares permitted to be sold under Form S-3 (including General Instruction I.B.6 thereof, if applicable), or (e) the number or dollar amount of Common Shares for which the Company has filed a Prospectus (defined below).</w:t>
      </w:r>
    </w:p>
    <w:p>
      <w:pPr>
        <w:sectPr>
          <w:pgSz w:w="11900" w:h="16838" w:orient="portrait"/>
          <w:cols w:equalWidth="0" w:num="1">
            <w:col w:w="11240"/>
          </w:cols>
          <w:pgMar w:left="320" w:top="112" w:right="339" w:bottom="0" w:gutter="0" w:footer="0" w:header="0"/>
        </w:sectPr>
      </w:pPr>
    </w:p>
    <w:bookmarkStart w:id="58" w:name="page59"/>
    <w:bookmarkEnd w:id="58"/>
    <w:p>
      <w:pPr>
        <w:jc w:val="both"/>
        <w:ind w:firstLine="607"/>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88" w:lineRule="exact"/>
        <w:rPr>
          <w:sz w:val="20"/>
          <w:szCs w:val="20"/>
          <w:color w:val="auto"/>
        </w:rPr>
      </w:pPr>
    </w:p>
    <w:p>
      <w:pPr>
        <w:jc w:val="both"/>
        <w:ind w:right="20" w:firstLine="60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Market</w:t>
      </w:r>
      <w:r>
        <w:rPr>
          <w:rFonts w:ascii="Arial" w:cs="Arial" w:eastAsia="Arial" w:hAnsi="Arial"/>
          <w:sz w:val="22"/>
          <w:szCs w:val="22"/>
          <w:color w:val="auto"/>
        </w:rPr>
        <w:t>” means the Nasdaq Global Market or such other national securities exchange on which the Common Shares, including any Shares, are then listed.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Sales Price</w:t>
      </w:r>
      <w:r>
        <w:rPr>
          <w:rFonts w:ascii="Arial" w:cs="Arial" w:eastAsia="Arial" w:hAnsi="Arial"/>
          <w:sz w:val="19"/>
          <w:szCs w:val="19"/>
          <w:color w:val="auto"/>
        </w:rPr>
        <w:t>” means the actual sale execution price of each Share placed by the Agent pursuant to this Agreement.</w:t>
      </w:r>
    </w:p>
    <w:p>
      <w:pPr>
        <w:spacing w:after="0" w:line="268" w:lineRule="exact"/>
        <w:rPr>
          <w:sz w:val="20"/>
          <w:szCs w:val="20"/>
          <w:color w:val="auto"/>
        </w:rPr>
      </w:pPr>
    </w:p>
    <w:p>
      <w:pPr>
        <w:jc w:val="both"/>
        <w:ind w:firstLine="60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 and the rules and regulations of the Commission thereunder.</w:t>
      </w:r>
    </w:p>
    <w:p>
      <w:pPr>
        <w:spacing w:after="0" w:line="189" w:lineRule="exact"/>
        <w:rPr>
          <w:sz w:val="20"/>
          <w:szCs w:val="20"/>
          <w:color w:val="auto"/>
        </w:rPr>
      </w:pPr>
    </w:p>
    <w:p>
      <w:pPr>
        <w:jc w:val="both"/>
        <w:ind w:firstLine="607"/>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Selling Commission</w:t>
      </w:r>
      <w:r>
        <w:rPr>
          <w:rFonts w:ascii="Arial" w:cs="Arial" w:eastAsia="Arial" w:hAnsi="Arial"/>
          <w:sz w:val="19"/>
          <w:szCs w:val="19"/>
          <w:color w:val="auto"/>
        </w:rPr>
        <w:t>” means up to three percent (3%) of the gross proceeds of Shares sold pursuant to this Agreement, or as otherwise agreed between the Company and the Agent with respect to any Shares sold pursuant to this Agreement.</w:t>
      </w:r>
    </w:p>
    <w:p>
      <w:pPr>
        <w:spacing w:after="0" w:line="121" w:lineRule="exact"/>
        <w:rPr>
          <w:sz w:val="20"/>
          <w:szCs w:val="20"/>
          <w:color w:val="auto"/>
        </w:rPr>
      </w:pPr>
    </w:p>
    <w:p>
      <w:pPr>
        <w:jc w:val="both"/>
        <w:ind w:firstLine="607"/>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Settlement Date</w:t>
      </w:r>
      <w:r>
        <w:rPr>
          <w:rFonts w:ascii="Arial" w:cs="Arial" w:eastAsia="Arial" w:hAnsi="Arial"/>
          <w:sz w:val="19"/>
          <w:szCs w:val="19"/>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shall mean the Company’s Common Shares issued or issuable pursuant to this Agreement.</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the Principal Market is open for trading.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REPRESENTATIONS AND WARRANTIES OF THE COMPANY</w:t>
      </w:r>
    </w:p>
    <w:p>
      <w:pPr>
        <w:spacing w:after="0" w:line="239" w:lineRule="exact"/>
        <w:rPr>
          <w:sz w:val="20"/>
          <w:szCs w:val="20"/>
          <w:color w:val="auto"/>
        </w:rPr>
      </w:pPr>
    </w:p>
    <w:p>
      <w:pPr>
        <w:jc w:val="both"/>
        <w:ind w:firstLine="607"/>
        <w:spacing w:after="0" w:line="236" w:lineRule="auto"/>
        <w:rPr>
          <w:sz w:val="20"/>
          <w:szCs w:val="20"/>
          <w:color w:val="auto"/>
        </w:rPr>
      </w:pPr>
      <w:r>
        <w:rPr>
          <w:rFonts w:ascii="Arial" w:cs="Arial" w:eastAsia="Arial" w:hAnsi="Arial"/>
          <w:sz w:val="22"/>
          <w:szCs w:val="22"/>
          <w:color w:val="auto"/>
        </w:rPr>
        <w:t>The Company represents and warrants to, and agrees with, the Agent that as of (1) the date of this Agreement, (2) each Issuance Notice Date, (3) each Settlement Date, (4) each Triggering Event Date and (5) as of each Time of Sale (as defined below) (each of the times referenced above is referred to herein as a “</w:t>
      </w:r>
      <w:r>
        <w:rPr>
          <w:rFonts w:ascii="Arial" w:cs="Arial" w:eastAsia="Arial" w:hAnsi="Arial"/>
          <w:sz w:val="22"/>
          <w:szCs w:val="22"/>
          <w:b w:val="1"/>
          <w:bCs w:val="1"/>
          <w:color w:val="auto"/>
        </w:rPr>
        <w:t>Representation Date</w:t>
      </w:r>
      <w:r>
        <w:rPr>
          <w:rFonts w:ascii="Arial" w:cs="Arial" w:eastAsia="Arial" w:hAnsi="Arial"/>
          <w:sz w:val="22"/>
          <w:szCs w:val="22"/>
          <w:color w:val="auto"/>
        </w:rPr>
        <w:t>”), except as may be disclosed in the Prospectus (including any documents incorporated by reference therein and any supplements thereto) on or before a Representation Date:</w:t>
      </w:r>
    </w:p>
    <w:p>
      <w:pPr>
        <w:spacing w:after="0" w:line="214" w:lineRule="exact"/>
        <w:rPr>
          <w:sz w:val="20"/>
          <w:szCs w:val="20"/>
          <w:color w:val="auto"/>
        </w:rPr>
      </w:pPr>
    </w:p>
    <w:p>
      <w:pPr>
        <w:jc w:val="both"/>
        <w:ind w:firstLine="615"/>
        <w:spacing w:after="0" w:line="270" w:lineRule="auto"/>
        <w:tabs>
          <w:tab w:leader="none" w:pos="892"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Company has prepared and filed with the Commission a shelf registration statement on Form S-3 (File No. 333-234107) that contains a base prospectus (the “</w:t>
      </w:r>
      <w:r>
        <w:rPr>
          <w:rFonts w:ascii="Arial" w:cs="Arial" w:eastAsia="Arial" w:hAnsi="Arial"/>
          <w:sz w:val="19"/>
          <w:szCs w:val="19"/>
          <w:b w:val="1"/>
          <w:bCs w:val="1"/>
          <w:color w:val="auto"/>
        </w:rPr>
        <w:t>Base Prospectus</w:t>
      </w:r>
      <w:r>
        <w:rPr>
          <w:rFonts w:ascii="Arial" w:cs="Arial" w:eastAsia="Arial" w:hAnsi="Arial"/>
          <w:sz w:val="19"/>
          <w:szCs w:val="19"/>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9"/>
          <w:szCs w:val="19"/>
          <w:b w:val="1"/>
          <w:bCs w:val="1"/>
          <w:color w:val="auto"/>
        </w:rPr>
        <w:t>Prospectus</w:t>
      </w:r>
      <w:r>
        <w:rPr>
          <w:rFonts w:ascii="Arial" w:cs="Arial" w:eastAsia="Arial" w:hAnsi="Arial"/>
          <w:sz w:val="19"/>
          <w:szCs w:val="19"/>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9"/>
          <w:szCs w:val="19"/>
          <w:b w:val="1"/>
          <w:bCs w:val="1"/>
          <w:color w:val="auto"/>
        </w:rPr>
        <w:t>Prospectus</w:t>
      </w:r>
      <w:r>
        <w:rPr>
          <w:rFonts w:ascii="Arial" w:cs="Arial" w:eastAsia="Arial" w:hAnsi="Arial"/>
          <w:sz w:val="19"/>
          <w:szCs w:val="19"/>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9"/>
          <w:szCs w:val="19"/>
          <w:b w:val="1"/>
          <w:bCs w:val="1"/>
          <w:color w:val="auto"/>
        </w:rPr>
        <w:t>Original Registration Statement</w:t>
      </w:r>
      <w:r>
        <w:rPr>
          <w:rFonts w:ascii="Arial" w:cs="Arial" w:eastAsia="Arial" w:hAnsi="Arial"/>
          <w:sz w:val="19"/>
          <w:szCs w:val="19"/>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200" w:lineRule="exact"/>
        <w:rPr>
          <w:sz w:val="20"/>
          <w:szCs w:val="20"/>
          <w:color w:val="auto"/>
        </w:rPr>
      </w:pPr>
    </w:p>
    <w:p>
      <w:pPr>
        <w:spacing w:after="0" w:line="236"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9"/>
          <w:szCs w:val="19"/>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that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or deliver or make available (and all other references of like import) copies of any report or statement shall be deemed satisfied if the same is filed with the Commission through its Electronic Data Gathering, Analysis and Retrieval system (“</w:t>
      </w:r>
      <w:r>
        <w:rPr>
          <w:rFonts w:ascii="Arial" w:cs="Arial" w:eastAsia="Arial" w:hAnsi="Arial"/>
          <w:sz w:val="19"/>
          <w:szCs w:val="19"/>
          <w:b w:val="1"/>
          <w:bCs w:val="1"/>
          <w:color w:val="auto"/>
        </w:rPr>
        <w:t>EDGAR</w:t>
      </w:r>
      <w:r>
        <w:rPr>
          <w:rFonts w:ascii="Arial" w:cs="Arial" w:eastAsia="Arial" w:hAnsi="Arial"/>
          <w:sz w:val="19"/>
          <w:szCs w:val="19"/>
          <w:color w:val="auto"/>
        </w:rPr>
        <w:t>”).</w:t>
      </w:r>
    </w:p>
    <w:p>
      <w:pPr>
        <w:sectPr>
          <w:pgSz w:w="11900" w:h="16838" w:orient="portrait"/>
          <w:cols w:equalWidth="0" w:num="1">
            <w:col w:w="11240"/>
          </w:cols>
          <w:pgMar w:left="320" w:top="112" w:right="339" w:bottom="164"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07"/>
        <w:spacing w:after="0" w:line="287" w:lineRule="auto"/>
        <w:rPr>
          <w:sz w:val="20"/>
          <w:szCs w:val="20"/>
          <w:color w:val="auto"/>
        </w:rPr>
      </w:pPr>
      <w:r>
        <w:rPr>
          <w:rFonts w:ascii="Arial" w:cs="Arial" w:eastAsia="Arial" w:hAnsi="Arial"/>
          <w:sz w:val="19"/>
          <w:szCs w:val="19"/>
          <w:color w:val="auto"/>
        </w:rPr>
        <w:t>At the time the Registration Statement was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70" w:lineRule="exact"/>
        <w:rPr>
          <w:sz w:val="20"/>
          <w:szCs w:val="20"/>
          <w:color w:val="auto"/>
        </w:rPr>
      </w:pPr>
    </w:p>
    <w:p>
      <w:pPr>
        <w:jc w:val="both"/>
        <w:ind w:firstLine="615"/>
        <w:spacing w:after="0" w:line="282" w:lineRule="auto"/>
        <w:tabs>
          <w:tab w:leader="none" w:pos="90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74" w:lineRule="exact"/>
        <w:rPr>
          <w:sz w:val="20"/>
          <w:szCs w:val="20"/>
          <w:color w:val="auto"/>
        </w:rPr>
      </w:pPr>
    </w:p>
    <w:p>
      <w:pPr>
        <w:jc w:val="both"/>
        <w:ind w:firstLine="607"/>
        <w:spacing w:after="0" w:line="246" w:lineRule="exact"/>
        <w:rPr>
          <w:sz w:val="20"/>
          <w:szCs w:val="20"/>
          <w:color w:val="auto"/>
        </w:rPr>
      </w:pPr>
      <w:r>
        <w:rPr>
          <w:rFonts w:ascii="Arial" w:cs="Arial" w:eastAsia="Arial" w:hAnsi="Arial"/>
          <w:sz w:val="19"/>
          <w:szCs w:val="19"/>
          <w:color w:val="auto"/>
        </w:rPr>
        <w:t>The Prospectus when filed complied in all material respects with the Securities Act and, if filed with the Commission through EDGAR (except as may be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each Representation Date, complied and will comply, as the case may be,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9"/>
          <w:szCs w:val="19"/>
          <w:b w:val="1"/>
          <w:bCs w:val="1"/>
          <w:color w:val="auto"/>
        </w:rPr>
        <w:t>Time of Sale Information</w:t>
      </w:r>
      <w:r>
        <w:rPr>
          <w:rFonts w:ascii="Arial" w:cs="Arial" w:eastAsia="Arial" w:hAnsi="Arial"/>
          <w:sz w:val="19"/>
          <w:szCs w:val="19"/>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as the case may be,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2" w:lineRule="auto"/>
        <w:tabs>
          <w:tab w:leader="none" w:pos="879"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87" w:lineRule="exact"/>
        <w:rPr>
          <w:rFonts w:ascii="Arial" w:cs="Arial" w:eastAsia="Arial" w:hAnsi="Arial"/>
          <w:sz w:val="19"/>
          <w:szCs w:val="19"/>
          <w:color w:val="auto"/>
        </w:rPr>
      </w:pPr>
    </w:p>
    <w:p>
      <w:pPr>
        <w:jc w:val="both"/>
        <w:ind w:firstLine="615"/>
        <w:spacing w:after="0" w:line="249" w:lineRule="auto"/>
        <w:tabs>
          <w:tab w:leader="none" w:pos="945"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205" w:lineRule="exact"/>
        <w:rPr>
          <w:rFonts w:ascii="Arial" w:cs="Arial" w:eastAsia="Arial" w:hAnsi="Arial"/>
          <w:sz w:val="21"/>
          <w:szCs w:val="21"/>
          <w:color w:val="auto"/>
        </w:rPr>
      </w:pPr>
    </w:p>
    <w:p>
      <w:pPr>
        <w:jc w:val="both"/>
        <w:ind w:firstLine="615"/>
        <w:spacing w:after="0" w:line="277" w:lineRule="auto"/>
        <w:tabs>
          <w:tab w:leader="none" w:pos="892"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ectPr>
          <w:pgSz w:w="11900" w:h="16838" w:orient="portrait"/>
          <w:cols w:equalWidth="0" w:num="1">
            <w:col w:w="11240"/>
          </w:cols>
          <w:pgMar w:left="320" w:top="125" w:right="339" w:bottom="0" w:gutter="0" w:footer="0" w:header="0"/>
        </w:sectPr>
      </w:pPr>
    </w:p>
    <w:bookmarkStart w:id="60" w:name="page61"/>
    <w:bookmarkEnd w:id="60"/>
    <w:p>
      <w:pPr>
        <w:spacing w:after="0" w:line="142" w:lineRule="exact"/>
        <w:rPr>
          <w:sz w:val="20"/>
          <w:szCs w:val="20"/>
          <w:color w:val="auto"/>
        </w:rPr>
      </w:pPr>
    </w:p>
    <w:p>
      <w:pPr>
        <w:jc w:val="both"/>
        <w:ind w:firstLine="615"/>
        <w:spacing w:after="0" w:line="273" w:lineRule="auto"/>
        <w:tabs>
          <w:tab w:leader="none" w:pos="868"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authorized, issued and outstanding capital stock of the Company is as set forth in the Registration Statement and the Prospectus (other than for subsequent issuances, if any, pursuant to employee benefit plans described in the Prospectus or upon the exercise of outstanding options or warrants, in each case described in the Registration Statement and the Prospectus). All the outstanding Common Shares have been duly authorized and validly issued, are fully paid and nonassessable and are free of any preemptive or similar rights; except as set forth in the Time of Sale Information and the Prospectus, the Company is not a party to or bound by any outstanding options, warrants or similar rights to subscribe for, or contractual obligations to issue, sell, transfer or acquire, any of its capital stock or any securities convertible into or exchangeable for any of such capital stock; the Common Shares to be issued and sold by the Company hereunder have been duly authorized and, when issued and delivered against full payment therefor in accordance with the terms hereof will be validly issued, fully paid and nonassessable and free of any preemptive or similar rights; and the capital stock of the Company conforms to the description thereof in the Registration Statement, the Time of Sale Information and the Prospectus (or any amendment or supplement thereto).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3" w:lineRule="auto"/>
        <w:tabs>
          <w:tab w:leader="none" w:pos="918" w:val="left"/>
        </w:tabs>
        <w:numPr>
          <w:ilvl w:val="0"/>
          <w:numId w:val="43"/>
        </w:numPr>
        <w:rPr>
          <w:rFonts w:ascii="Arial" w:cs="Arial" w:eastAsia="Arial" w:hAnsi="Arial"/>
          <w:sz w:val="19"/>
          <w:szCs w:val="19"/>
          <w:color w:val="auto"/>
        </w:rPr>
      </w:pPr>
      <w:r>
        <w:rPr>
          <w:rFonts w:ascii="Arial" w:cs="Arial" w:eastAsia="Arial" w:hAnsi="Arial"/>
          <w:sz w:val="19"/>
          <w:szCs w:val="19"/>
          <w:color w:val="auto"/>
        </w:rPr>
        <w:t>Each of the Company and its subsidiaries is duly organized and validly existing as a corporation, limited liability company or other organization in good standing under the laws of the jurisdiction of its incorporation or organization with full corporate or organizational power and authority to own, lease and operate its properties and to conduct its business as presently conducted and as described in the Registration Statement, the Time of Sale Information and the Prospectus (and any amendment or supplement thereto) and is duly registered and qualified to conduct its business and is in good standing in each jurisdiction or place where the nature of its properties or the conduct of its business requires such registration or qualification, except where the failure to so register or qualify would not have a material adverse effect on the condition (financial or other), business, properties, net worth, results of operations or prospects of the Company and its subsidiaries, taken as a whole (a “</w:t>
      </w:r>
      <w:r>
        <w:rPr>
          <w:rFonts w:ascii="Arial" w:cs="Arial" w:eastAsia="Arial" w:hAnsi="Arial"/>
          <w:sz w:val="19"/>
          <w:szCs w:val="19"/>
          <w:b w:val="1"/>
          <w:bCs w:val="1"/>
          <w:color w:val="auto"/>
        </w:rPr>
        <w:t>Material Adverse</w:t>
      </w:r>
      <w:r>
        <w:rPr>
          <w:rFonts w:ascii="Arial" w:cs="Arial" w:eastAsia="Arial" w:hAnsi="Arial"/>
          <w:sz w:val="19"/>
          <w:szCs w:val="19"/>
          <w:color w:val="auto"/>
        </w:rPr>
        <w:t xml:space="preserve"> </w:t>
      </w:r>
      <w:r>
        <w:rPr>
          <w:rFonts w:ascii="Arial" w:cs="Arial" w:eastAsia="Arial" w:hAnsi="Arial"/>
          <w:sz w:val="19"/>
          <w:szCs w:val="19"/>
          <w:b w:val="1"/>
          <w:bCs w:val="1"/>
          <w:color w:val="auto"/>
        </w:rPr>
        <w:t>Effect</w:t>
      </w:r>
      <w:r>
        <w:rPr>
          <w:rFonts w:ascii="Arial" w:cs="Arial" w:eastAsia="Arial" w:hAnsi="Arial"/>
          <w:sz w:val="19"/>
          <w:szCs w:val="19"/>
          <w:color w:val="auto"/>
        </w:rPr>
        <w:t>”). As used in this Agreement, “subsidiaries” shall mean the Company’s significant subsidiaries (as such term is defined in</w:t>
      </w:r>
      <w:r>
        <w:rPr>
          <w:rFonts w:ascii="Arial" w:cs="Arial" w:eastAsia="Arial" w:hAnsi="Arial"/>
          <w:sz w:val="19"/>
          <w:szCs w:val="19"/>
          <w:b w:val="1"/>
          <w:bCs w:val="1"/>
          <w:color w:val="auto"/>
        </w:rPr>
        <w:t xml:space="preserve"> </w:t>
      </w:r>
      <w:r>
        <w:rPr>
          <w:rFonts w:ascii="Arial" w:cs="Arial" w:eastAsia="Arial" w:hAnsi="Arial"/>
          <w:sz w:val="19"/>
          <w:szCs w:val="19"/>
          <w:color w:val="auto"/>
        </w:rPr>
        <w:t>Rule 1-02 of Regulation S-X promulgated by the Commission), as set forth on Schedule A.</w:t>
      </w:r>
    </w:p>
    <w:p>
      <w:pPr>
        <w:spacing w:after="0" w:line="187" w:lineRule="exact"/>
        <w:rPr>
          <w:rFonts w:ascii="Arial" w:cs="Arial" w:eastAsia="Arial" w:hAnsi="Arial"/>
          <w:sz w:val="19"/>
          <w:szCs w:val="19"/>
          <w:color w:val="auto"/>
        </w:rPr>
      </w:pPr>
    </w:p>
    <w:p>
      <w:pPr>
        <w:jc w:val="both"/>
        <w:ind w:firstLine="615"/>
        <w:spacing w:after="0" w:line="287" w:lineRule="auto"/>
        <w:tabs>
          <w:tab w:leader="none" w:pos="904"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issued and outstanding shares of capital stock of each of the Company’s subsidiaries have been duly authorized and validly issued, are fully paid and nonassessable and are owned by the Company free and clear of any security interests, liens, encumbrances, equities or claims, other than liens granted in connection with the Company’s Credit Agreement, dated as of February 11, 2019, with Perceptive Credit Holdings II, LP, as amended on May 3, 2019 (the “</w:t>
      </w:r>
      <w:r>
        <w:rPr>
          <w:rFonts w:ascii="Arial" w:cs="Arial" w:eastAsia="Arial" w:hAnsi="Arial"/>
          <w:sz w:val="19"/>
          <w:szCs w:val="19"/>
          <w:b w:val="1"/>
          <w:bCs w:val="1"/>
          <w:color w:val="auto"/>
        </w:rPr>
        <w:t>Credit Agreement</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firstLine="615"/>
        <w:spacing w:after="0" w:line="245" w:lineRule="auto"/>
        <w:tabs>
          <w:tab w:leader="none" w:pos="897" w:val="left"/>
        </w:tabs>
        <w:numPr>
          <w:ilvl w:val="0"/>
          <w:numId w:val="43"/>
        </w:numPr>
        <w:rPr>
          <w:rFonts w:ascii="Arial" w:cs="Arial" w:eastAsia="Arial" w:hAnsi="Arial"/>
          <w:sz w:val="21"/>
          <w:szCs w:val="21"/>
          <w:color w:val="auto"/>
        </w:rPr>
      </w:pPr>
      <w:r>
        <w:rPr>
          <w:rFonts w:ascii="Arial" w:cs="Arial" w:eastAsia="Arial" w:hAnsi="Arial"/>
          <w:sz w:val="21"/>
          <w:szCs w:val="21"/>
          <w:color w:val="auto"/>
        </w:rPr>
        <w:t>Except as would not have, individually or in the aggregate, a Material Adverse Effect, there are no legal or governmental proceedings pending or, to the knowledge of the Company, threatened, against the Company or its subsidiaries or to which the Company or its subsidiaries or any of their properties are subject, that are required to be described in the Registration Statement, Time of Sale Information or the Prospectus (or any amendment or supplement thereto) but are not disclosed as required. Except as described in the Registration Statement, Time of Sale Information or Prospectus, there is no action, suit, inquiry, proceeding or investigation by or before any court or governmental or other regulatory or administrative agency or commission pending or, to the knowledge of the Company, threatened, against or involving the Company or its subsidiaries, which might individually or in the aggregate prevent or adversely affect the transactions contemplated by this Agreement or result in a Material Adverse Effect, nor to the Company’s knowledge, is there any basis for any such action, suit, inquiry, proceeding or investigation.</w:t>
      </w:r>
    </w:p>
    <w:p>
      <w:pPr>
        <w:spacing w:after="0" w:line="207" w:lineRule="exact"/>
        <w:rPr>
          <w:rFonts w:ascii="Arial" w:cs="Arial" w:eastAsia="Arial" w:hAnsi="Arial"/>
          <w:sz w:val="21"/>
          <w:szCs w:val="21"/>
          <w:color w:val="auto"/>
        </w:rPr>
      </w:pPr>
    </w:p>
    <w:p>
      <w:pPr>
        <w:jc w:val="both"/>
        <w:ind w:firstLine="615"/>
        <w:spacing w:after="0" w:line="282" w:lineRule="auto"/>
        <w:tabs>
          <w:tab w:leader="none" w:pos="87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There are no agreements, contracts, indentures, leases or other instruments that are required to be described in the Registration Statement, the Time of Sale Information or the Prospectus (or any amendment or supplement thereto) or to be filed as an exhibit to the Registration Statement that are not described, filed or incorporated by reference in the Registration Statement, the Time of Sale Information and the Prospectus as required by the Securities Act. Neither the Company nor the applicable subsidiary has received notice or been made aware of a breach or default by the Company under any of such contracts.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3" w:lineRule="auto"/>
        <w:tabs>
          <w:tab w:leader="none" w:pos="904" w:val="left"/>
        </w:tabs>
        <w:numPr>
          <w:ilvl w:val="0"/>
          <w:numId w:val="44"/>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(i) in violation of (A) its certificate of incorporation or bylaws, or other organizational documents, each as amended to date, (B) any federal, state or foreign law, ordinance, administrative or governmental rule or regulation applicable to the Company or any of its subsidiaries, the violation of which would have a Material Adverse Effect or (C) any decree of any federal, state or foreign court or governmental agency or body having jurisdiction over the Company or any of its subsidiaries, the violation of which would have a Material Adverse Effect; or (ii) in default in any material respect in the performance of any obligation, agreement or condition contained in (A) any bond, debenture, note or any other evidence of indebtedness or (B) any agreement, indenture, lease or other instrument (each of (A) and (B), an “</w:t>
      </w:r>
      <w:r>
        <w:rPr>
          <w:rFonts w:ascii="Arial" w:cs="Arial" w:eastAsia="Arial" w:hAnsi="Arial"/>
          <w:sz w:val="19"/>
          <w:szCs w:val="19"/>
          <w:b w:val="1"/>
          <w:bCs w:val="1"/>
          <w:color w:val="auto"/>
        </w:rPr>
        <w:t>Existing Instrument</w:t>
      </w:r>
      <w:r>
        <w:rPr>
          <w:rFonts w:ascii="Arial" w:cs="Arial" w:eastAsia="Arial" w:hAnsi="Arial"/>
          <w:sz w:val="19"/>
          <w:szCs w:val="19"/>
          <w:color w:val="auto"/>
        </w:rPr>
        <w:t>”) to which the Company or any of its subsidiaries is a party or by which any of their properties may be bound, which default would have a Material Adverse Effect; and to the knowledge of the Company there does not exist any state of facts that constitutes an event of default on the part of the Company or any of its subsidiaries as defined in such Existing Instruments or that, with notice or lapse of time or both, would constitute such an event of default.</w:t>
      </w:r>
    </w:p>
    <w:p>
      <w:pPr>
        <w:spacing w:after="0" w:line="182" w:lineRule="exact"/>
        <w:rPr>
          <w:rFonts w:ascii="Arial" w:cs="Arial" w:eastAsia="Arial" w:hAnsi="Arial"/>
          <w:sz w:val="19"/>
          <w:szCs w:val="19"/>
          <w:color w:val="auto"/>
        </w:rPr>
      </w:pPr>
    </w:p>
    <w:p>
      <w:pPr>
        <w:jc w:val="both"/>
        <w:ind w:firstLine="615"/>
        <w:spacing w:after="0" w:line="328" w:lineRule="auto"/>
        <w:tabs>
          <w:tab w:leader="none" w:pos="843"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Company’s execution and delivery of this Agreement and the performance by the Company of its obligations under this Agreement have been duly and validly authorized by the Company and this Agreement has been duly executed and delivered</w:t>
      </w:r>
    </w:p>
    <w:p>
      <w:pPr>
        <w:sectPr>
          <w:pgSz w:w="11900" w:h="16981" w:orient="portrait"/>
          <w:cols w:equalWidth="0" w:num="1">
            <w:col w:w="11240"/>
          </w:cols>
          <w:pgMar w:left="320" w:top="118" w:right="339" w:bottom="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by the Company.</w:t>
      </w:r>
    </w:p>
    <w:p>
      <w:pPr>
        <w:spacing w:after="0" w:line="234" w:lineRule="exact"/>
        <w:rPr>
          <w:sz w:val="20"/>
          <w:szCs w:val="20"/>
          <w:color w:val="auto"/>
        </w:rPr>
      </w:pPr>
    </w:p>
    <w:p>
      <w:pPr>
        <w:jc w:val="both"/>
        <w:ind w:firstLine="615"/>
        <w:spacing w:after="0" w:line="243" w:lineRule="auto"/>
        <w:tabs>
          <w:tab w:leader="none" w:pos="991" w:val="left"/>
        </w:tabs>
        <w:numPr>
          <w:ilvl w:val="0"/>
          <w:numId w:val="45"/>
        </w:numPr>
        <w:rPr>
          <w:rFonts w:ascii="Arial" w:cs="Arial" w:eastAsia="Arial" w:hAnsi="Arial"/>
          <w:sz w:val="21"/>
          <w:szCs w:val="21"/>
          <w:color w:val="auto"/>
        </w:rPr>
      </w:pPr>
      <w:r>
        <w:rPr>
          <w:rFonts w:ascii="Arial" w:cs="Arial" w:eastAsia="Arial" w:hAnsi="Arial"/>
          <w:sz w:val="21"/>
          <w:szCs w:val="21"/>
          <w:color w:val="auto"/>
        </w:rPr>
        <w:t>None of the issuance and sale of the Shares by the Company, the execution, delivery or performance of this Agreement by the Company nor the consummation by the Company of the transactions contemplated hereby (i) requires any consent, approval, authorization or other order of or registration or filing with, any court, regulatory body, administrative agency or other governmental body, agency or official (except such as may be required for the registration of the Shares under the Securities Act, the listing of the Shares for trading on the Nasdaq Global Market and compliance with the securities or Blue Sky laws of various jurisdictions, all of which will be, or have been, effected in accordance with this Agreement and except as required under FINRA’s Rules of Fair Practice), (ii) conflicts with or will conflict with or constitutes or will constitute a breach of, or a default under, the Company’s certificate of incorporation, as amended to date, (iii) conflicts with or will conflict with or constitutes or will constitute a breach of, or a default under, the Company’s bylaws, as amended to date, or any agreement, indenture, lease or other instrument to which the Company or any of its subsidiaries is a party or by which any of its properties may be bound, (iv) violates any statute, law, regulation, ruling, filing, judgment, injunction, order or decree applicable to the Company or any of its subsidiaries or any of their properties, or (v) results in a breach of, or default under, or results in the creation or imposition of any lien, charge or encumbrance upon any property or assets of the Company or any of its subsidiaries pursuant to, or requires the consent of any other party to, any Existing Instrument, except, in the case of clauses (i), (iii), (iv) and (v), for such conflicts, breaches, defaults, liens, charges or encumbrances in that will not, individually or in the aggregate, result in a Material Adverse Effect.</w:t>
      </w:r>
    </w:p>
    <w:p>
      <w:pPr>
        <w:spacing w:after="0" w:line="218" w:lineRule="exact"/>
        <w:rPr>
          <w:rFonts w:ascii="Arial" w:cs="Arial" w:eastAsia="Arial" w:hAnsi="Arial"/>
          <w:sz w:val="21"/>
          <w:szCs w:val="21"/>
          <w:color w:val="auto"/>
        </w:rPr>
      </w:pPr>
    </w:p>
    <w:p>
      <w:pPr>
        <w:jc w:val="both"/>
        <w:ind w:firstLine="615"/>
        <w:spacing w:after="0" w:line="246" w:lineRule="auto"/>
        <w:tabs>
          <w:tab w:leader="none" w:pos="891" w:val="left"/>
        </w:tabs>
        <w:numPr>
          <w:ilvl w:val="0"/>
          <w:numId w:val="45"/>
        </w:numPr>
        <w:rPr>
          <w:rFonts w:ascii="Arial" w:cs="Arial" w:eastAsia="Arial" w:hAnsi="Arial"/>
          <w:sz w:val="21"/>
          <w:szCs w:val="21"/>
          <w:color w:val="auto"/>
        </w:rPr>
      </w:pPr>
      <w:r>
        <w:rPr>
          <w:rFonts w:ascii="Arial" w:cs="Arial" w:eastAsia="Arial" w:hAnsi="Arial"/>
          <w:sz w:val="21"/>
          <w:szCs w:val="21"/>
          <w:color w:val="auto"/>
        </w:rPr>
        <w:t>Except as described in the Registration Statement, Time of Sale Information and the Prospectus, neither the Company nor any of its subsidiaries has outstanding any options to purchase, or any warrants to subscribe for, or any securities or obligations convertible into, or any contracts or commitments to issue or sell, any Common Shares or any such warrants or convertible securities or obligations. Except as described in the Registration Statement, Time of Sale Information and Prospectus, no holder of securities of the Company has rights to the registration of any securities of the Company as a result of or in connection with the filing of the Registration Statement or the consummation of the transactions contemplated hereby that have not been satisfied or heretofore waived in writing.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38" w:lineRule="auto"/>
        <w:tabs>
          <w:tab w:leader="none" w:pos="904"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CohnReznick LLP, the independent registered public accounting firm who has audited the financial statements of the Company (including the related notes thereto and supporting schedules) filed as part of the Registration Statement, Time of Sale Information and the Prospectus (or any amendment or supplement thereto), are independent public accountants as required by the Securities Act and the Exchange Act.</w:t>
      </w:r>
    </w:p>
    <w:p>
      <w:pPr>
        <w:spacing w:after="0" w:line="211" w:lineRule="exact"/>
        <w:rPr>
          <w:rFonts w:ascii="Arial" w:cs="Arial" w:eastAsia="Arial" w:hAnsi="Arial"/>
          <w:sz w:val="22"/>
          <w:szCs w:val="22"/>
          <w:color w:val="auto"/>
        </w:rPr>
      </w:pPr>
    </w:p>
    <w:p>
      <w:pPr>
        <w:jc w:val="both"/>
        <w:ind w:firstLine="615"/>
        <w:spacing w:after="0" w:line="274" w:lineRule="auto"/>
        <w:tabs>
          <w:tab w:leader="none" w:pos="891"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financial statements, together with related schedules and notes, included in the Registration Statement, the Time of Sale Information and the Prospectus (and any amendment or supplement thereto), present fairly in all material respects the financial condition, results of operations, cash flows and changes in financial position of the Company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Prospectus (and any amendment or supplement thereto) is accurately presented and prepared on a basis consistent with such financial statements and the books and records of the Company. No other financial statements or schedules are required to be included in the Registration Statement.</w:t>
      </w:r>
    </w:p>
    <w:p>
      <w:pPr>
        <w:spacing w:after="0" w:line="185" w:lineRule="exact"/>
        <w:rPr>
          <w:rFonts w:ascii="Arial" w:cs="Arial" w:eastAsia="Arial" w:hAnsi="Arial"/>
          <w:sz w:val="19"/>
          <w:szCs w:val="19"/>
          <w:color w:val="auto"/>
        </w:rPr>
      </w:pPr>
    </w:p>
    <w:p>
      <w:pPr>
        <w:jc w:val="both"/>
        <w:ind w:firstLine="615"/>
        <w:spacing w:after="0" w:line="244" w:lineRule="auto"/>
        <w:tabs>
          <w:tab w:leader="none" w:pos="918" w:val="left"/>
        </w:tabs>
        <w:numPr>
          <w:ilvl w:val="0"/>
          <w:numId w:val="46"/>
        </w:numPr>
        <w:rPr>
          <w:rFonts w:ascii="Arial" w:cs="Arial" w:eastAsia="Arial" w:hAnsi="Arial"/>
          <w:sz w:val="21"/>
          <w:szCs w:val="21"/>
          <w:color w:val="auto"/>
        </w:rPr>
      </w:pPr>
      <w:r>
        <w:rPr>
          <w:rFonts w:ascii="Arial" w:cs="Arial" w:eastAsia="Arial" w:hAnsi="Arial"/>
          <w:sz w:val="21"/>
          <w:szCs w:val="21"/>
          <w:color w:val="auto"/>
        </w:rPr>
        <w:t>Since the date of the last balance sheet included in or incorporated by reference into the Prospectus (i) neither the Company nor any of its subsidiaries has incurred any material liabilities or obligations, indirect, direct or contingent, or entered into any transaction that is not in the ordinary course of business, (ii) neither the Company nor any of its subsidiaries has sustained any material loss or interference with its business or properties from fire, flood, windstorm, accident or other calamity, whether or not covered by insurance, (iii) neither the Company nor any of its subsidiaries has paid or declared any dividends or other distributions with respect to its capital stock and the Company is not in default under the terms of any class of capital stock of the Company or any outstanding debt obligations, (iv) there has not been any change in the authorized or outstanding capital stock of the Company or any material change in the indebtedness of the Company (other than in the ordinary course of business) and (v) there has not been any material adverse change, or any development involving or that may reasonably be expected to result in a Material Adverse Effect, in the condition (financial or otherwise), business, properties, net worth, result of operations or prospects of the Company.</w:t>
      </w:r>
    </w:p>
    <w:p>
      <w:pPr>
        <w:spacing w:after="0" w:line="215" w:lineRule="exact"/>
        <w:rPr>
          <w:rFonts w:ascii="Arial" w:cs="Arial" w:eastAsia="Arial" w:hAnsi="Arial"/>
          <w:sz w:val="21"/>
          <w:szCs w:val="21"/>
          <w:color w:val="auto"/>
        </w:rPr>
      </w:pPr>
    </w:p>
    <w:p>
      <w:pPr>
        <w:jc w:val="both"/>
        <w:ind w:firstLine="615"/>
        <w:spacing w:after="0" w:line="287" w:lineRule="auto"/>
        <w:tabs>
          <w:tab w:leader="none" w:pos="868"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Common Shares are registered pursuant to Section 12(b) of the Exchange Act and listed on the Nasdaq Global Market, and the Company has taken no action designed to, or likely to have the effect of, terminating the registration of the Common Shares under the Exchange Act or delisting the Common Shares from the Nasdaq Global Market, nor has the Company received any notification that the Commission or the Nasdaq is contemplating terminating such registration or listing.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281" w:gutter="0" w:footer="0" w:header="0"/>
        </w:sectPr>
      </w:pPr>
    </w:p>
    <w:bookmarkStart w:id="62" w:name="page63"/>
    <w:bookmarkEnd w:id="62"/>
    <w:p>
      <w:pPr>
        <w:jc w:val="both"/>
        <w:ind w:firstLine="615"/>
        <w:spacing w:after="0" w:line="252" w:lineRule="auto"/>
        <w:tabs>
          <w:tab w:leader="none" w:pos="8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Other than excepted activity pursuant to Regulation M under the Exchange Act, the Company has not taken and will not take, directly or indirectly, any action that constituted, or any action designed to, or that might reasonably be expected to cause or result in or constitute, under the Securities Act or otherwise, stabilization or manipulation of the price of any security of the Company to facilitate the sale or resale of the Shares or for any other purpose.</w:t>
      </w:r>
    </w:p>
    <w:p>
      <w:pPr>
        <w:spacing w:after="0" w:line="201" w:lineRule="exact"/>
        <w:rPr>
          <w:rFonts w:ascii="Arial" w:cs="Arial" w:eastAsia="Arial" w:hAnsi="Arial"/>
          <w:sz w:val="21"/>
          <w:szCs w:val="21"/>
          <w:color w:val="auto"/>
        </w:rPr>
      </w:pPr>
    </w:p>
    <w:p>
      <w:pPr>
        <w:jc w:val="both"/>
        <w:ind w:firstLine="615"/>
        <w:spacing w:after="0" w:line="244" w:lineRule="auto"/>
        <w:tabs>
          <w:tab w:leader="none" w:pos="856"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Company and each of its subsidiaries have filed, or have applied for an extension of time to file, all tax returns required to be filed (other than certain state or local tax returns, as to which the failure to file, individually or in the aggregate, would not have a Material Adverse Effect), which filed returns are complete and correct, and neither the Company nor any subsidiary is in default in the payment of any taxes that were payable pursuant to said filed returns or any assessments with respect thereto; unless the same has been contested in good-faith. All deficiencies asserted as a result of any federal, state, local or foreign tax audits have been paid or finally settled and no issue has been raised in any such audit that, by application of the same or similar principles, reasonably could be expected to result in a proposed deficiency for any other period not so audited. There are no outstanding agreements or waivers extending the statutory period of limitation applicable to any federal, state, local or foreign tax return for any period.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212" w:lineRule="exact"/>
        <w:rPr>
          <w:rFonts w:ascii="Arial" w:cs="Arial" w:eastAsia="Arial" w:hAnsi="Arial"/>
          <w:sz w:val="21"/>
          <w:szCs w:val="21"/>
          <w:color w:val="auto"/>
        </w:rPr>
      </w:pPr>
    </w:p>
    <w:p>
      <w:pPr>
        <w:jc w:val="both"/>
        <w:ind w:firstLine="615"/>
        <w:spacing w:after="0" w:line="246" w:lineRule="auto"/>
        <w:tabs>
          <w:tab w:leader="none" w:pos="945" w:val="left"/>
        </w:tabs>
        <w:numPr>
          <w:ilvl w:val="0"/>
          <w:numId w:val="47"/>
        </w:numPr>
        <w:rPr>
          <w:rFonts w:ascii="Arial" w:cs="Arial" w:eastAsia="Arial" w:hAnsi="Arial"/>
          <w:sz w:val="21"/>
          <w:szCs w:val="21"/>
          <w:color w:val="auto"/>
        </w:rPr>
      </w:pPr>
      <w:r>
        <w:rPr>
          <w:rFonts w:ascii="Arial" w:cs="Arial" w:eastAsia="Arial" w:hAnsi="Arial"/>
          <w:sz w:val="21"/>
          <w:szCs w:val="21"/>
          <w:color w:val="auto"/>
        </w:rPr>
        <w:t>Except as set forth in the Registration Statement, Time of Sale Information and the Prospectus, there are no transactions with “affiliates” (as defined in Rule 405 under the Securities Act) or any officer, director or security holder of the Company (whether or not an affiliate) that are required by the Securities Act to be disclosed in the Registration Statement, Time of Sale Information and the Prospectus. Additionally, no relationship, direct or indirect, exists between the Company or any of its subsidiaries on the one hand, and the directors, officers, stockholders, customers or suppliers of the Company or any subsidiary on the other hand that is required by the Securities Act to be disclosed in the Registration Statement, the Time of Sale Information and the Prospectus that is not so disclosed.</w:t>
      </w:r>
    </w:p>
    <w:p>
      <w:pPr>
        <w:spacing w:after="0" w:line="211" w:lineRule="exact"/>
        <w:rPr>
          <w:rFonts w:ascii="Arial" w:cs="Arial" w:eastAsia="Arial" w:hAnsi="Arial"/>
          <w:sz w:val="21"/>
          <w:szCs w:val="21"/>
          <w:color w:val="auto"/>
        </w:rPr>
      </w:pPr>
    </w:p>
    <w:p>
      <w:pPr>
        <w:ind w:firstLine="615"/>
        <w:spacing w:after="0" w:line="250" w:lineRule="auto"/>
        <w:tabs>
          <w:tab w:leader="none" w:pos="90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Company is not an “investment company” or an “affiliated person” of, or “promoter” or “principal underwriter” for, an investment company within the meaning of the Investment Company Act of 1940, as amended.</w:t>
      </w:r>
    </w:p>
    <w:p>
      <w:pPr>
        <w:spacing w:after="0" w:line="201" w:lineRule="exact"/>
        <w:rPr>
          <w:rFonts w:ascii="Arial" w:cs="Arial" w:eastAsia="Arial" w:hAnsi="Arial"/>
          <w:sz w:val="22"/>
          <w:szCs w:val="22"/>
          <w:color w:val="auto"/>
        </w:rPr>
      </w:pPr>
    </w:p>
    <w:p>
      <w:pPr>
        <w:jc w:val="both"/>
        <w:ind w:firstLine="615"/>
        <w:spacing w:after="0" w:line="245" w:lineRule="auto"/>
        <w:tabs>
          <w:tab w:leader="none" w:pos="939" w:val="left"/>
        </w:tabs>
        <w:numPr>
          <w:ilvl w:val="0"/>
          <w:numId w:val="47"/>
        </w:numPr>
        <w:rPr>
          <w:rFonts w:ascii="Arial" w:cs="Arial" w:eastAsia="Arial" w:hAnsi="Arial"/>
          <w:sz w:val="21"/>
          <w:szCs w:val="21"/>
          <w:color w:val="auto"/>
        </w:rPr>
      </w:pPr>
      <w:r>
        <w:rPr>
          <w:rFonts w:ascii="Arial" w:cs="Arial" w:eastAsia="Arial" w:hAnsi="Arial"/>
          <w:sz w:val="21"/>
          <w:szCs w:val="21"/>
          <w:color w:val="auto"/>
        </w:rPr>
        <w:t>Except as would not have, individually or in the aggregate, a Material Adverse Effect, or as otherwise disclosed in the Time of Sale Information and the Prospectus, each of the Company and its subsidiaries has good and marketable title to all property (real and personal) described in the Time of Sale Information and the Prospectus as being owned by it, free and clear of all liens, claims, security interests or other encumbrances except (i) as provided by the Credit Agreement, (ii) such as are described in the Time of Sale Information and the Prospectus or (iii) such as do not have or will not result in a Material Adverse Effect to the use of the property or the conduct of the business of the Company. All property (real and personal) held under lease by the Company and its subsidiaries is held by it under valid, subsisting and enforceable leases with only such exceptions as in the aggregate are not materially burdensome and do not have or result in a Material Adverse Effect to the use of the property or the conduct of the business of the Company.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3" w:lineRule="auto"/>
        <w:tabs>
          <w:tab w:leader="none" w:pos="918" w:val="left"/>
        </w:tabs>
        <w:numPr>
          <w:ilvl w:val="0"/>
          <w:numId w:val="48"/>
        </w:numPr>
        <w:rPr>
          <w:rFonts w:ascii="Arial" w:cs="Arial" w:eastAsia="Arial" w:hAnsi="Arial"/>
          <w:sz w:val="19"/>
          <w:szCs w:val="19"/>
          <w:color w:val="auto"/>
        </w:rPr>
      </w:pPr>
      <w:r>
        <w:rPr>
          <w:rFonts w:ascii="Arial" w:cs="Arial" w:eastAsia="Arial" w:hAnsi="Arial"/>
          <w:sz w:val="19"/>
          <w:szCs w:val="19"/>
          <w:color w:val="auto"/>
        </w:rPr>
        <w:t>Except as otherwise disclosed in the Time of Sale Information and the Prospectus, each of the Company and its subsidiaries has all permits, licenses, franchises, approvals, consents and authorizations of governmental or regulatory authorities (hereinafter “permit” or “permits”) as are necessary to own its properties and to conduct its business in the manner described in the Time of Sale Information and the Prospectus, subject to such qualifications as may be set forth in the Time of Sale Information and the Prospectus, except where the failure to have obtained any such permit has not had and will not have a Material Adverse Effect; each of the Company and its subsidiaries has operated and is operating its business in material compliance with and not in material violation of all of its obligations with respect to each such permit and no event has occurred that allows, or after notice or lapse of time would allow, revocation or termination of any such permit or result in any other material impairment of the rights of any such permit, subject in each case to such qualification as may be set forth in the Time of Sale Information and the Prospectus; and, except as described in the Time of Sale Information and the Prospectus, such permits contain no restrictions that are materially burdensome to the Company or any of its subsidiaries.</w:t>
      </w:r>
    </w:p>
    <w:p>
      <w:pPr>
        <w:spacing w:after="0" w:line="182" w:lineRule="exact"/>
        <w:rPr>
          <w:rFonts w:ascii="Arial" w:cs="Arial" w:eastAsia="Arial" w:hAnsi="Arial"/>
          <w:sz w:val="19"/>
          <w:szCs w:val="19"/>
          <w:color w:val="auto"/>
        </w:rPr>
      </w:pPr>
    </w:p>
    <w:p>
      <w:pPr>
        <w:jc w:val="both"/>
        <w:ind w:firstLine="615"/>
        <w:spacing w:after="0" w:line="272" w:lineRule="auto"/>
        <w:tabs>
          <w:tab w:leader="none" w:pos="891"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consolidated financial statements of the Company, together with the related schedules and notes thereto, set forth or incorporated by reference in the Time of Sale Information and the Prospectus present fairly in all material respects (i) the financial condition of the Company and its consolidated subsidiaries as of the dates indicated and (ii) the consolidated results of operations, stockholders’ equity and changes in cash flows of the Company and its consolidated subsidiaries for the periods therein specified; and such financial statements and related schedules and notes thereto have been prepared in conformity with United States generally accepted accounting principles, consistently applied throughout the periods involved (except as otherwise stated therein and subject, in the case of unaudited financial statements, to the absence of footnotes and normal year-end adjustments). There are no other financial statements (historical or pro forma) that are required to be included or incorporated by reference in the Time of Sale Information and the Prospectus; and the Company does not have any material liabilities or obligations, direct or contingent (including any off-balance sheet obligations), not disclosed in the Time of Sale Information and the Prospectus; and all disclosures contained in the Time of Sale Information and the Prospectus regarding “non-GAAP financial measures” (as such term is defined by the rules and regulations of the Commission) comply with Regulation G of the Exchange</w:t>
      </w:r>
    </w:p>
    <w:p>
      <w:pPr>
        <w:sectPr>
          <w:pgSz w:w="11900" w:h="16838" w:orient="portrait"/>
          <w:cols w:equalWidth="0" w:num="1">
            <w:col w:w="11240"/>
          </w:cols>
          <w:pgMar w:left="320" w:top="118" w:right="339" w:bottom="0" w:gutter="0" w:footer="0" w:header="0"/>
        </w:sectPr>
      </w:pPr>
    </w:p>
    <w:bookmarkStart w:id="63" w:name="page64"/>
    <w:bookmarkEnd w:id="63"/>
    <w:p>
      <w:pPr>
        <w:jc w:val="both"/>
        <w:spacing w:after="0" w:line="287" w:lineRule="auto"/>
        <w:rPr>
          <w:sz w:val="20"/>
          <w:szCs w:val="20"/>
          <w:color w:val="auto"/>
        </w:rPr>
      </w:pPr>
      <w:r>
        <w:rPr>
          <w:rFonts w:ascii="Arial" w:cs="Arial" w:eastAsia="Arial" w:hAnsi="Arial"/>
          <w:sz w:val="19"/>
          <w:szCs w:val="19"/>
          <w:color w:val="auto"/>
        </w:rPr>
        <w:t>Act and Item 10(e) of Regulation S-K under the Securities Act, to the extent applicable, and present fairly in all material respects the information shown therein and the Company’s basis for using such measures.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0" w:lineRule="exact"/>
        <w:rPr>
          <w:sz w:val="20"/>
          <w:szCs w:val="20"/>
          <w:color w:val="auto"/>
        </w:rPr>
      </w:pPr>
    </w:p>
    <w:p>
      <w:pPr>
        <w:jc w:val="both"/>
        <w:ind w:firstLine="615"/>
        <w:spacing w:after="0" w:line="275" w:lineRule="auto"/>
        <w:tabs>
          <w:tab w:leader="none" w:pos="892"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Company and its subsidiaries maintain a system of internal accounting controls sufficient to provide reasonable assurances that (i) transactions are executed in accordance with management’s general or specific authorizations,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authorizations and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0" w:lineRule="auto"/>
        <w:tabs>
          <w:tab w:leader="none" w:pos="1002"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has established and maintains and evaluates “disclosure controls and procedures” (as such term is defined in Rule 13a-15 and 15d-15 under the Exchange Act); such disclosure controls and procedures are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the Company’s independent auditors and the Audit Committee of the Board of Directors of the Company have been advised of (i) all significant deficiencies and material weaknesses in the design or operation of internal control over financial reporting which are reasonably likely to adversely affect the Company’s ability to record, process, summarize, and report financial data and (ii) all fraud, whether or not material, known to the Company, that involves management or other employees who have a significant role in the Company’s internal control over financial reporting; since the date of the most recent evaluation of such disclosure controls and procedures, except as described in the Registration Statement, the Time of Sale Information and the Prospectus, there have been no significant changes in internal control over financial reporting or in other factors that has materially affected or is reasonably likely to materially affect internal control over financial reporting, including any corrective actions with regard to significant deficiencies and material weaknesses; the principal executive officers (or their equivalents) and principal financial officers (or their equivalents) of the Company have made all certifications required by the Sarbanes-Oxley Act of 2002, as amended (the “</w:t>
      </w:r>
      <w:r>
        <w:rPr>
          <w:rFonts w:ascii="Arial" w:cs="Arial" w:eastAsia="Arial" w:hAnsi="Arial"/>
          <w:sz w:val="19"/>
          <w:szCs w:val="19"/>
          <w:b w:val="1"/>
          <w:bCs w:val="1"/>
          <w:color w:val="auto"/>
        </w:rPr>
        <w:t>Sarbanes-Oxley Act</w:t>
      </w:r>
      <w:r>
        <w:rPr>
          <w:rFonts w:ascii="Arial" w:cs="Arial" w:eastAsia="Arial" w:hAnsi="Arial"/>
          <w:sz w:val="19"/>
          <w:szCs w:val="19"/>
          <w:color w:val="auto"/>
        </w:rPr>
        <w:t>”) and any related rules and regulations promulgated by the Commission, and the statements contained in each such certification are complete and correct; the Company and its subsidiaries are, and the Company has taken all necessary actions to ensure that the Company’s directors and officers in their capacities as such are, each in compliance in all material respects with all applicable effective provisions of the Sarbanes-Oxley Act and the rules and regulations of the Commission and the Nasdaq Stock Market promulgated thereunder.</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firstLine="615"/>
        <w:spacing w:after="0" w:line="257" w:lineRule="auto"/>
        <w:tabs>
          <w:tab w:leader="none" w:pos="999"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Company and, to the knowledge of the Company, the Company’s directors or officers, in their capacities as such, are each in compliance in all material respects with Section 402 of the Sarbanes-Oxley Act and the rules and regulations promulgated thereunder.</w:t>
      </w:r>
    </w:p>
    <w:p>
      <w:pPr>
        <w:spacing w:after="0" w:line="196" w:lineRule="exact"/>
        <w:rPr>
          <w:rFonts w:ascii="Arial" w:cs="Arial" w:eastAsia="Arial" w:hAnsi="Arial"/>
          <w:sz w:val="21"/>
          <w:szCs w:val="21"/>
          <w:color w:val="auto"/>
        </w:rPr>
      </w:pPr>
    </w:p>
    <w:p>
      <w:pPr>
        <w:jc w:val="both"/>
        <w:ind w:firstLine="615"/>
        <w:spacing w:after="0" w:line="277" w:lineRule="auto"/>
        <w:tabs>
          <w:tab w:leader="none" w:pos="988"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Company has not, prior to the date hereof, made any offer or sale of securities which could be “integrated” for purposes of the Securities Act with the offer and sale of the Common Shares pursuant to the Registration Statement, the Time of Sale Information and the Prospectus; and except as disclosed in the Registration Statement, Time of Sale Information and the Prospectus, the Company has not sold or issued any security during the 180-day period preceding the date of the Prospectus, including but not limited to any sales pursuant to Rule 144A or Regulations D or S under the Securities Act, other than Common Shares used pursuant to employee benefit plans, qualified stock option plans or the employee compensation plans or pursuant to outstanding options, rights or warrants as described in the Time of Sale Information and the Prospectus.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3" w:lineRule="auto"/>
        <w:tabs>
          <w:tab w:leader="none" w:pos="1039" w:val="left"/>
        </w:tabs>
        <w:numPr>
          <w:ilvl w:val="0"/>
          <w:numId w:val="51"/>
        </w:numPr>
        <w:rPr>
          <w:rFonts w:ascii="Arial" w:cs="Arial" w:eastAsia="Arial" w:hAnsi="Arial"/>
          <w:sz w:val="19"/>
          <w:szCs w:val="19"/>
          <w:color w:val="auto"/>
        </w:rPr>
      </w:pPr>
      <w:r>
        <w:rPr>
          <w:rFonts w:ascii="Arial" w:cs="Arial" w:eastAsia="Arial" w:hAnsi="Arial"/>
          <w:sz w:val="19"/>
          <w:szCs w:val="19"/>
          <w:color w:val="auto"/>
        </w:rPr>
        <w:t>(i) None of the Company or any of its subsidiaries or affiliates, or any officer or employee thereof, or, to the Company’s knowledge, any director,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9"/>
          <w:szCs w:val="19"/>
          <w:b w:val="1"/>
          <w:bCs w:val="1"/>
          <w:color w:val="auto"/>
        </w:rPr>
        <w:t>Government Official</w:t>
      </w:r>
      <w:r>
        <w:rPr>
          <w:rFonts w:ascii="Arial" w:cs="Arial" w:eastAsia="Arial" w:hAnsi="Arial"/>
          <w:sz w:val="19"/>
          <w:szCs w:val="19"/>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w:t>
      </w:r>
    </w:p>
    <w:p>
      <w:pPr>
        <w:sectPr>
          <w:pgSz w:w="11900" w:h="16838" w:orient="portrait"/>
          <w:cols w:equalWidth="0" w:num="1">
            <w:col w:w="11240"/>
          </w:cols>
          <w:pgMar w:left="320" w:top="118" w:right="339" w:bottom="0" w:gutter="0" w:footer="0" w:header="0"/>
        </w:sectPr>
      </w:pPr>
    </w:p>
    <w:bookmarkStart w:id="64" w:name="page65"/>
    <w:bookmarkEnd w:id="64"/>
    <w:p>
      <w:pPr>
        <w:spacing w:after="0" w:line="251" w:lineRule="auto"/>
        <w:rPr>
          <w:sz w:val="20"/>
          <w:szCs w:val="20"/>
          <w:color w:val="auto"/>
        </w:rPr>
      </w:pPr>
      <w:r>
        <w:rPr>
          <w:rFonts w:ascii="Arial" w:cs="Arial" w:eastAsia="Arial" w:hAnsi="Arial"/>
          <w:sz w:val="22"/>
          <w:szCs w:val="22"/>
          <w:color w:val="auto"/>
        </w:rPr>
        <w:t>furtherance of an offer, payment, promise to pay, or authorization of the payment or giving of money, or anything else of value, to any person in violation of any applicable anti-corruption laws.</w:t>
      </w:r>
    </w:p>
    <w:p>
      <w:pPr>
        <w:spacing w:after="0" w:line="200" w:lineRule="exact"/>
        <w:rPr>
          <w:sz w:val="20"/>
          <w:szCs w:val="20"/>
          <w:color w:val="auto"/>
        </w:rPr>
      </w:pPr>
    </w:p>
    <w:p>
      <w:pPr>
        <w:jc w:val="both"/>
        <w:ind w:firstLine="615"/>
        <w:spacing w:after="0" w:line="245" w:lineRule="auto"/>
        <w:tabs>
          <w:tab w:leader="none" w:pos="1002"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21"/>
          <w:szCs w:val="21"/>
          <w:b w:val="1"/>
          <w:bCs w:val="1"/>
          <w:color w:val="auto"/>
        </w:rPr>
        <w:t>Anti-Money</w:t>
      </w:r>
      <w:r>
        <w:rPr>
          <w:rFonts w:ascii="Arial" w:cs="Arial" w:eastAsia="Arial" w:hAnsi="Arial"/>
          <w:sz w:val="21"/>
          <w:szCs w:val="21"/>
          <w:color w:val="auto"/>
        </w:rPr>
        <w:t xml:space="preserve"> </w:t>
      </w:r>
      <w:r>
        <w:rPr>
          <w:rFonts w:ascii="Arial" w:cs="Arial" w:eastAsia="Arial" w:hAnsi="Arial"/>
          <w:sz w:val="21"/>
          <w:szCs w:val="21"/>
          <w:b w:val="1"/>
          <w:bCs w:val="1"/>
          <w:color w:val="auto"/>
        </w:rPr>
        <w:t>Laundering Laws</w:t>
      </w:r>
      <w:r>
        <w:rPr>
          <w:rFonts w:ascii="Arial" w:cs="Arial" w:eastAsia="Arial" w:hAnsi="Arial"/>
          <w:sz w:val="21"/>
          <w:szCs w:val="21"/>
          <w:color w:val="auto"/>
        </w:rPr>
        <w:t>”), and no action, suit or proceeding by or before any court or governmental agency, authority or body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arbitrator involving the Company or any of its subsidiaries with respect to the Anti-Money Laundering Laws is pending or, to the knowledge of the Company, threatened.</w:t>
      </w:r>
    </w:p>
    <w:p>
      <w:pPr>
        <w:spacing w:after="0" w:line="211" w:lineRule="exact"/>
        <w:rPr>
          <w:rFonts w:ascii="Arial" w:cs="Arial" w:eastAsia="Arial" w:hAnsi="Arial"/>
          <w:sz w:val="21"/>
          <w:szCs w:val="21"/>
          <w:color w:val="auto"/>
        </w:rPr>
      </w:pPr>
    </w:p>
    <w:p>
      <w:pPr>
        <w:jc w:val="both"/>
        <w:ind w:firstLine="615"/>
        <w:spacing w:after="0"/>
        <w:tabs>
          <w:tab w:leader="none" w:pos="1624" w:val="left"/>
        </w:tabs>
        <w:numPr>
          <w:ilvl w:val="0"/>
          <w:numId w:val="52"/>
        </w:numPr>
        <w:rPr>
          <w:rFonts w:ascii="Arial" w:cs="Arial" w:eastAsia="Arial" w:hAnsi="Arial"/>
          <w:sz w:val="22"/>
          <w:szCs w:val="22"/>
          <w:color w:val="auto"/>
        </w:rPr>
      </w:pPr>
      <w:r>
        <w:rPr>
          <w:rFonts w:ascii="Arial" w:cs="Arial" w:eastAsia="Arial" w:hAnsi="Arial"/>
          <w:sz w:val="22"/>
          <w:szCs w:val="22"/>
          <w:color w:val="auto"/>
        </w:rPr>
        <w:t>(i) None of the Company, any of its subsidiaries, or any officer or employee thereof, or, to the Company’s knowledge, any director, agent, affiliate or representative of the Company or any of its subsidiaries, is an individual or entity (“</w:t>
      </w:r>
      <w:r>
        <w:rPr>
          <w:rFonts w:ascii="Arial" w:cs="Arial" w:eastAsia="Arial" w:hAnsi="Arial"/>
          <w:sz w:val="22"/>
          <w:szCs w:val="22"/>
          <w:b w:val="1"/>
          <w:bCs w:val="1"/>
          <w:color w:val="auto"/>
        </w:rPr>
        <w:t>Person</w:t>
      </w:r>
      <w:r>
        <w:rPr>
          <w:rFonts w:ascii="Arial" w:cs="Arial" w:eastAsia="Arial" w:hAnsi="Arial"/>
          <w:sz w:val="22"/>
          <w:szCs w:val="22"/>
          <w:color w:val="auto"/>
        </w:rPr>
        <w:t>”) that is, or is owned or controlled by one or more Persons that are:</w:t>
      </w:r>
    </w:p>
    <w:p>
      <w:pPr>
        <w:spacing w:after="0" w:line="213" w:lineRule="exact"/>
        <w:rPr>
          <w:rFonts w:ascii="Arial" w:cs="Arial" w:eastAsia="Arial" w:hAnsi="Arial"/>
          <w:sz w:val="22"/>
          <w:szCs w:val="22"/>
          <w:color w:val="auto"/>
        </w:rPr>
      </w:pPr>
    </w:p>
    <w:p>
      <w:pPr>
        <w:jc w:val="both"/>
        <w:ind w:left="1220" w:firstLine="610"/>
        <w:spacing w:after="0"/>
        <w:tabs>
          <w:tab w:leader="none" w:pos="2181"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22"/>
          <w:szCs w:val="22"/>
          <w:b w:val="1"/>
          <w:bCs w:val="1"/>
          <w:color w:val="auto"/>
        </w:rPr>
        <w:t>Sanctions</w:t>
      </w:r>
      <w:r>
        <w:rPr>
          <w:rFonts w:ascii="Arial" w:cs="Arial" w:eastAsia="Arial" w:hAnsi="Arial"/>
          <w:sz w:val="22"/>
          <w:szCs w:val="22"/>
          <w:color w:val="auto"/>
        </w:rPr>
        <w:t>”), or</w:t>
      </w:r>
    </w:p>
    <w:p>
      <w:pPr>
        <w:spacing w:after="0" w:line="213" w:lineRule="exact"/>
        <w:rPr>
          <w:rFonts w:ascii="Arial" w:cs="Arial" w:eastAsia="Arial" w:hAnsi="Arial"/>
          <w:sz w:val="22"/>
          <w:szCs w:val="22"/>
          <w:color w:val="auto"/>
        </w:rPr>
      </w:pPr>
    </w:p>
    <w:p>
      <w:pPr>
        <w:ind w:left="1220" w:right="40" w:firstLine="610"/>
        <w:spacing w:after="0" w:line="250" w:lineRule="auto"/>
        <w:tabs>
          <w:tab w:leader="none" w:pos="2169" w:val="left"/>
        </w:tabs>
        <w:numPr>
          <w:ilvl w:val="1"/>
          <w:numId w:val="52"/>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the subject of Sanctions (including, without limitation, Crimea, Cuba, Iran, North Korea and Syria).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20" w:firstLine="1223"/>
        <w:spacing w:after="0" w:line="250" w:lineRule="auto"/>
        <w:tabs>
          <w:tab w:leader="none" w:pos="1533"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Company will not, directly or indirectly, use the proceeds of the offering, or lend, contribute or otherwise make available such proceeds to any subsidiary, joint venture partner or other Person:</w:t>
      </w:r>
    </w:p>
    <w:p>
      <w:pPr>
        <w:spacing w:after="0" w:line="201" w:lineRule="exact"/>
        <w:rPr>
          <w:rFonts w:ascii="Arial" w:cs="Arial" w:eastAsia="Arial" w:hAnsi="Arial"/>
          <w:sz w:val="22"/>
          <w:szCs w:val="22"/>
          <w:color w:val="auto"/>
        </w:rPr>
      </w:pPr>
    </w:p>
    <w:p>
      <w:pPr>
        <w:ind w:left="1220" w:right="80" w:firstLine="610"/>
        <w:spacing w:after="0" w:line="250" w:lineRule="auto"/>
        <w:tabs>
          <w:tab w:leader="none" w:pos="2181" w:val="left"/>
        </w:tabs>
        <w:numPr>
          <w:ilvl w:val="2"/>
          <w:numId w:val="53"/>
        </w:numPr>
        <w:rPr>
          <w:rFonts w:ascii="Arial" w:cs="Arial" w:eastAsia="Arial" w:hAnsi="Arial"/>
          <w:sz w:val="22"/>
          <w:szCs w:val="22"/>
          <w:color w:val="auto"/>
        </w:rPr>
      </w:pPr>
      <w:r>
        <w:rPr>
          <w:rFonts w:ascii="Arial" w:cs="Arial" w:eastAsia="Arial" w:hAnsi="Arial"/>
          <w:sz w:val="22"/>
          <w:szCs w:val="22"/>
          <w:color w:val="auto"/>
        </w:rPr>
        <w:t>to fund or facilitate any activities or business of or with any Person or in any country or territory that, at the time of such funding or facilitation, is the subject of Sanctions; or</w:t>
      </w:r>
    </w:p>
    <w:p>
      <w:pPr>
        <w:spacing w:after="0" w:line="201" w:lineRule="exact"/>
        <w:rPr>
          <w:rFonts w:ascii="Arial" w:cs="Arial" w:eastAsia="Arial" w:hAnsi="Arial"/>
          <w:sz w:val="22"/>
          <w:szCs w:val="22"/>
          <w:color w:val="auto"/>
        </w:rPr>
      </w:pPr>
    </w:p>
    <w:p>
      <w:pPr>
        <w:ind w:left="1220" w:right="480" w:firstLine="610"/>
        <w:spacing w:after="0" w:line="250" w:lineRule="auto"/>
        <w:tabs>
          <w:tab w:leader="none" w:pos="2169" w:val="left"/>
        </w:tabs>
        <w:numPr>
          <w:ilvl w:val="2"/>
          <w:numId w:val="53"/>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underwriter, advisor, investor or otherwise).</w:t>
      </w:r>
    </w:p>
    <w:p>
      <w:pPr>
        <w:spacing w:after="0" w:line="201" w:lineRule="exact"/>
        <w:rPr>
          <w:rFonts w:ascii="Arial" w:cs="Arial" w:eastAsia="Arial" w:hAnsi="Arial"/>
          <w:sz w:val="22"/>
          <w:szCs w:val="22"/>
          <w:color w:val="auto"/>
        </w:rPr>
      </w:pPr>
    </w:p>
    <w:p>
      <w:pPr>
        <w:jc w:val="both"/>
        <w:ind w:firstLine="615"/>
        <w:spacing w:after="0"/>
        <w:tabs>
          <w:tab w:leader="none" w:pos="12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(iii) For the past five years, the Company and each of its subsidiaries have not knowingly engaged in, are not now knowingly engaged in any dealings or transactions with any Person, or in any country or territory, that at the time of the dealing or transaction is or was the subject of Sanctions.</w:t>
      </w:r>
    </w:p>
    <w:p>
      <w:pPr>
        <w:spacing w:after="0" w:line="213" w:lineRule="exact"/>
        <w:rPr>
          <w:rFonts w:ascii="Arial" w:cs="Arial" w:eastAsia="Arial" w:hAnsi="Arial"/>
          <w:sz w:val="22"/>
          <w:szCs w:val="22"/>
          <w:color w:val="auto"/>
        </w:rPr>
      </w:pPr>
    </w:p>
    <w:p>
      <w:pPr>
        <w:jc w:val="both"/>
        <w:ind w:firstLine="615"/>
        <w:spacing w:after="0" w:line="271" w:lineRule="auto"/>
        <w:tabs>
          <w:tab w:leader="none" w:pos="1039"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 labor problem or dispute with the employees of the Company or any of its subsidiaries exists, or, to the Company’s knowledge, is threatened or imminent, which would reasonably be expected to result in a Material Adverse Effect. The Company is not aware that any key employee or significant group of employees of the Company or any of its subsidiaries plans to terminate employment with the Company or any of its subsidiaries. Neither the Company nor any of its subsidiaries has engaged in any unfair labor practice, and except for matters which would not, individually or in the aggregate, result in a Material Adverse Effect, (i) there is (A) no unfair labor practice complaint pending or, to the Company’s knowledge, threatened against the Company or any of its subsidiaries before the National Labor Relations Board, and no grievance or arbitration proceeding arising out of or under collective bargaining agreements is pending or to the Company’s knowledge, threatened, (B) no strike, labor dispute, slowdown or stoppage pending or, to the Company’s knowledge, threatened against the Company or any of its subsidiaries and (C) no union representation dispute currently existing concerning the employees of the Company or any of its subsidiaries and (ii) to the Company’s knowledge, (A) no union organizing activities are currently taking place concerning the employees of the Company or any of its subsidiaries and (B) there has been no violation of any federal, state, local or foreign law relating to discrimination in the hiring, promotion or pay of employees, any applicable wage or hour laws or any provision of the Employee Retirement Income Security Act of 1974 (“</w:t>
      </w:r>
      <w:r>
        <w:rPr>
          <w:rFonts w:ascii="Arial" w:cs="Arial" w:eastAsia="Arial" w:hAnsi="Arial"/>
          <w:sz w:val="19"/>
          <w:szCs w:val="19"/>
          <w:b w:val="1"/>
          <w:bCs w:val="1"/>
          <w:color w:val="auto"/>
        </w:rPr>
        <w:t>ERISA</w:t>
      </w:r>
      <w:r>
        <w:rPr>
          <w:rFonts w:ascii="Arial" w:cs="Arial" w:eastAsia="Arial" w:hAnsi="Arial"/>
          <w:sz w:val="19"/>
          <w:szCs w:val="19"/>
          <w:color w:val="auto"/>
        </w:rPr>
        <w:t>”) or the rules and regulations promulgated thereunder concerning the employees of the Company or any of its subsidiaries.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615"/>
        <w:spacing w:after="0" w:line="273" w:lineRule="auto"/>
        <w:tabs>
          <w:tab w:leader="none" w:pos="9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Company and its subsidiaries are (i) in compliance with any and all applicable federal, state, local and foreign laws and regulations relating to the protection of human health and safety, the environment or hazardous or toxic substances or wastes, pollutants or contaminants (“</w:t>
      </w:r>
      <w:r>
        <w:rPr>
          <w:rFonts w:ascii="Arial" w:cs="Arial" w:eastAsia="Arial" w:hAnsi="Arial"/>
          <w:sz w:val="19"/>
          <w:szCs w:val="19"/>
          <w:b w:val="1"/>
          <w:bCs w:val="1"/>
          <w:color w:val="auto"/>
        </w:rPr>
        <w:t>Environmental Laws</w:t>
      </w:r>
      <w:r>
        <w:rPr>
          <w:rFonts w:ascii="Arial" w:cs="Arial" w:eastAsia="Arial" w:hAnsi="Arial"/>
          <w:sz w:val="19"/>
          <w:szCs w:val="19"/>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other approvals would not, individually or in the aggregate, have a Material Adverse Effect. Neither the Company nor any of its subsidiaries has been named as a “potentially responsible party” under the Comprehensive Environmental Response Compensation and Liability Act of 1980, as amended. Neither the Company nor any of its subsidiaries owns, leases or occupies any property that appears on any list of hazardous sites compiled by any state or local governmental agency. There are no costs or</w:t>
      </w:r>
    </w:p>
    <w:p>
      <w:pPr>
        <w:sectPr>
          <w:pgSz w:w="11900" w:h="16838" w:orient="portrait"/>
          <w:cols w:equalWidth="0" w:num="1">
            <w:col w:w="11240"/>
          </w:cols>
          <w:pgMar w:left="320" w:top="118" w:right="339" w:bottom="0" w:gutter="0" w:footer="0" w:header="0"/>
        </w:sectPr>
      </w:pPr>
    </w:p>
    <w:bookmarkStart w:id="65" w:name="page66"/>
    <w:bookmarkEnd w:id="65"/>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result in a Material Adverse Effect.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3" w:lineRule="auto"/>
        <w:tabs>
          <w:tab w:leader="none" w:pos="916" w:val="left"/>
        </w:tabs>
        <w:numPr>
          <w:ilvl w:val="0"/>
          <w:numId w:val="55"/>
        </w:numPr>
        <w:rPr>
          <w:rFonts w:ascii="Arial" w:cs="Arial" w:eastAsia="Arial" w:hAnsi="Arial"/>
          <w:sz w:val="19"/>
          <w:szCs w:val="19"/>
          <w:color w:val="auto"/>
        </w:rPr>
      </w:pPr>
      <w:r>
        <w:rPr>
          <w:rFonts w:ascii="Arial" w:cs="Arial" w:eastAsia="Arial" w:hAnsi="Arial"/>
          <w:sz w:val="19"/>
          <w:szCs w:val="19"/>
          <w:color w:val="auto"/>
        </w:rPr>
        <w:t>Each of the Company and its subsidiaries owns and has full right, title and interest in and to, or has valid licenses to use, each material trade name, trademark, service mark, patent, copyright, approval, trade secret and other similar rights (collectively “</w:t>
      </w:r>
      <w:r>
        <w:rPr>
          <w:rFonts w:ascii="Arial" w:cs="Arial" w:eastAsia="Arial" w:hAnsi="Arial"/>
          <w:sz w:val="19"/>
          <w:szCs w:val="19"/>
          <w:b w:val="1"/>
          <w:bCs w:val="1"/>
          <w:color w:val="auto"/>
        </w:rPr>
        <w:t>Intellectual Property</w:t>
      </w:r>
      <w:r>
        <w:rPr>
          <w:rFonts w:ascii="Arial" w:cs="Arial" w:eastAsia="Arial" w:hAnsi="Arial"/>
          <w:sz w:val="19"/>
          <w:szCs w:val="19"/>
          <w:color w:val="auto"/>
        </w:rPr>
        <w:t>”) under which the Company and its subsidiaries conduct all or any material part of its business, and the Company has not created any lien or encumbrance on, or granted any right or license with respect to, any such Intellectual Property except where the failure to own or obtain a license or right to use any such Intellectual Property would not, individually or in the aggregate, have a Material Adverse Effect; there is no material claim pending against the Company or its subsidiaries with respect to any Intellectual Property and the Company and its subsidiaries have not received notice or otherwise become aware that any Intellectual Property that it uses or has used in the conduct of its business infringes upon or conflicts with the rights of any third party. Neither the Company nor any of its subsidiaries has become aware that any material Intellectual Property that it uses or has used in the conduct of its business infringes upon or conflicts with the rights of any third party.</w:t>
      </w:r>
    </w:p>
    <w:p>
      <w:pPr>
        <w:spacing w:after="0" w:line="187" w:lineRule="exact"/>
        <w:rPr>
          <w:rFonts w:ascii="Arial" w:cs="Arial" w:eastAsia="Arial" w:hAnsi="Arial"/>
          <w:sz w:val="19"/>
          <w:szCs w:val="19"/>
          <w:color w:val="auto"/>
        </w:rPr>
      </w:pPr>
    </w:p>
    <w:p>
      <w:pPr>
        <w:jc w:val="both"/>
        <w:ind w:firstLine="615"/>
        <w:spacing w:after="0" w:line="238" w:lineRule="auto"/>
        <w:tabs>
          <w:tab w:leader="none" w:pos="999" w:val="left"/>
        </w:tabs>
        <w:numPr>
          <w:ilvl w:val="0"/>
          <w:numId w:val="55"/>
        </w:numPr>
        <w:rPr>
          <w:rFonts w:ascii="Arial" w:cs="Arial" w:eastAsia="Arial" w:hAnsi="Arial"/>
          <w:sz w:val="22"/>
          <w:szCs w:val="22"/>
          <w:color w:val="auto"/>
        </w:rPr>
      </w:pPr>
      <w:r>
        <w:rPr>
          <w:rFonts w:ascii="Arial" w:cs="Arial" w:eastAsia="Arial" w:hAnsi="Arial"/>
          <w:sz w:val="22"/>
          <w:szCs w:val="22"/>
          <w:color w:val="auto"/>
        </w:rPr>
        <w:t>To the Company’s knowledge, there are no affiliations or associations between (i) any member of FINRA and (ii) the Company or any of the Company’s officers, directors, 5% or greater security holders or any beneficial owner of the Company’s unregistered equity securities that were acquired at any time on or after the 180th day immediately preceding the date the Registration Statement was initially filed with the Commission.</w:t>
      </w:r>
    </w:p>
    <w:p>
      <w:pPr>
        <w:spacing w:after="0" w:line="211" w:lineRule="exact"/>
        <w:rPr>
          <w:rFonts w:ascii="Arial" w:cs="Arial" w:eastAsia="Arial" w:hAnsi="Arial"/>
          <w:sz w:val="22"/>
          <w:szCs w:val="22"/>
          <w:color w:val="auto"/>
        </w:rPr>
      </w:pPr>
    </w:p>
    <w:p>
      <w:pPr>
        <w:jc w:val="both"/>
        <w:ind w:firstLine="615"/>
        <w:spacing w:after="0" w:line="236" w:lineRule="auto"/>
        <w:tabs>
          <w:tab w:leader="none" w:pos="9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and each of its subsidiaries are insured by insurers of recognized financial responsibility against such losses and risks and in such amounts as are prudent and customary in the businesses in which it is engaged; and neither the Company nor any of its subsidiaries has reason to believe that it will not be able to renew its existing insurance coverage as and when such coverage expires or to obtain similar coverage from similar insurers as may be necessary to continue its business at a comparable cost.</w:t>
      </w:r>
    </w:p>
    <w:p>
      <w:pPr>
        <w:spacing w:after="0" w:line="214" w:lineRule="exact"/>
        <w:rPr>
          <w:rFonts w:ascii="Arial" w:cs="Arial" w:eastAsia="Arial" w:hAnsi="Arial"/>
          <w:sz w:val="22"/>
          <w:szCs w:val="22"/>
          <w:color w:val="auto"/>
        </w:rPr>
      </w:pPr>
    </w:p>
    <w:p>
      <w:pPr>
        <w:jc w:val="both"/>
        <w:ind w:firstLine="615"/>
        <w:spacing w:after="0" w:line="271" w:lineRule="auto"/>
        <w:tabs>
          <w:tab w:leader="none" w:pos="1159"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Company and its subsidiaries and any “employee benefit plan” (as defined under ERISA) established or maintained by the Company, its subsidiaries or their “ERISA Affiliates” (as defined below) are in compliance in all material respects with ERISA and all other applicable state and federal laws. “</w:t>
      </w:r>
      <w:r>
        <w:rPr>
          <w:rFonts w:ascii="Arial" w:cs="Arial" w:eastAsia="Arial" w:hAnsi="Arial"/>
          <w:sz w:val="19"/>
          <w:szCs w:val="19"/>
          <w:b w:val="1"/>
          <w:bCs w:val="1"/>
          <w:color w:val="auto"/>
        </w:rPr>
        <w:t>ERISA Affiliate</w:t>
      </w:r>
      <w:r>
        <w:rPr>
          <w:rFonts w:ascii="Arial" w:cs="Arial" w:eastAsia="Arial" w:hAnsi="Arial"/>
          <w:sz w:val="19"/>
          <w:szCs w:val="19"/>
          <w:color w:val="auto"/>
        </w:rPr>
        <w:t>” means, with respect to the Company or a subsidiary, any member of any group or organization described in Sections 414(b), (c), (m) or (o)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of which the Company or such subsidiary is a member. No “reportable event” (as defined in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in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that would cause the loss of such qualification.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57" w:lineRule="auto"/>
        <w:tabs>
          <w:tab w:leader="none" w:pos="999"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There are no business relationships or related-party transactions involving the Company or any of its subsidiaries or any other person required to be described in the Registration Statement, the Time of Sale Information or the Prospectus that have not been described as required.</w:t>
      </w:r>
    </w:p>
    <w:p>
      <w:pPr>
        <w:spacing w:after="0" w:line="196" w:lineRule="exact"/>
        <w:rPr>
          <w:rFonts w:ascii="Arial" w:cs="Arial" w:eastAsia="Arial" w:hAnsi="Arial"/>
          <w:sz w:val="21"/>
          <w:szCs w:val="21"/>
          <w:color w:val="auto"/>
        </w:rPr>
      </w:pPr>
    </w:p>
    <w:p>
      <w:pPr>
        <w:jc w:val="both"/>
        <w:ind w:firstLine="615"/>
        <w:spacing w:after="0" w:line="238" w:lineRule="auto"/>
        <w:tabs>
          <w:tab w:leader="none" w:pos="1012" w:val="left"/>
        </w:tabs>
        <w:numPr>
          <w:ilvl w:val="0"/>
          <w:numId w:val="56"/>
        </w:numPr>
        <w:rPr>
          <w:rFonts w:ascii="Arial" w:cs="Arial" w:eastAsia="Arial" w:hAnsi="Arial"/>
          <w:sz w:val="22"/>
          <w:szCs w:val="22"/>
          <w:color w:val="auto"/>
        </w:rPr>
      </w:pPr>
      <w:r>
        <w:rPr>
          <w:rFonts w:ascii="Arial" w:cs="Arial" w:eastAsia="Arial" w:hAnsi="Arial"/>
          <w:sz w:val="22"/>
          <w:szCs w:val="22"/>
          <w:color w:val="auto"/>
        </w:rPr>
        <w:t>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Information or the Prospectus.</w:t>
      </w:r>
    </w:p>
    <w:p>
      <w:pPr>
        <w:spacing w:after="0" w:line="211" w:lineRule="exact"/>
        <w:rPr>
          <w:rFonts w:ascii="Arial" w:cs="Arial" w:eastAsia="Arial" w:hAnsi="Arial"/>
          <w:sz w:val="22"/>
          <w:szCs w:val="22"/>
          <w:color w:val="auto"/>
        </w:rPr>
      </w:pPr>
    </w:p>
    <w:p>
      <w:pPr>
        <w:jc w:val="both"/>
        <w:ind w:firstLine="615"/>
        <w:spacing w:after="0"/>
        <w:tabs>
          <w:tab w:leader="none" w:pos="1012"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Except as pursuant to this Agreement, there is no broker, finder or other party that is entitled to receive from the Company any brokerage or finder’s fee or other fee or commission as a result of any transactions contemplated by this Agreement.</w:t>
      </w:r>
    </w:p>
    <w:p>
      <w:pPr>
        <w:spacing w:after="0" w:line="213" w:lineRule="exact"/>
        <w:rPr>
          <w:rFonts w:ascii="Arial" w:cs="Arial" w:eastAsia="Arial" w:hAnsi="Arial"/>
          <w:sz w:val="22"/>
          <w:szCs w:val="22"/>
          <w:color w:val="auto"/>
        </w:rPr>
      </w:pPr>
    </w:p>
    <w:p>
      <w:pPr>
        <w:jc w:val="both"/>
        <w:ind w:firstLine="615"/>
        <w:spacing w:after="0" w:line="287" w:lineRule="auto"/>
        <w:tabs>
          <w:tab w:leader="none" w:pos="1026" w:val="left"/>
        </w:tabs>
        <w:numPr>
          <w:ilvl w:val="0"/>
          <w:numId w:val="56"/>
        </w:numPr>
        <w:rPr>
          <w:rFonts w:ascii="Arial" w:cs="Arial" w:eastAsia="Arial" w:hAnsi="Arial"/>
          <w:sz w:val="19"/>
          <w:szCs w:val="19"/>
          <w:color w:val="auto"/>
        </w:rPr>
      </w:pPr>
      <w:r>
        <w:rPr>
          <w:rFonts w:ascii="Arial" w:cs="Arial" w:eastAsia="Arial" w:hAnsi="Arial"/>
          <w:sz w:val="19"/>
          <w:szCs w:val="19"/>
          <w:color w:val="auto"/>
        </w:rPr>
        <w:t>Each financial or operational projection or other “forward-looking statement” (as defined by Section 27A of the Securities Act or Section 21E of the Exchange Act) contained in the Registration Statement, the Time of Sale Information or the Prospectus (i) was so included by the Company in good faith and with reasonable basis after due consideration by the Company of the underlying assumptions, estimates and other applicable facts and circumstances and (ii) is accompanied by meaningful</w:t>
      </w:r>
    </w:p>
    <w:p>
      <w:pPr>
        <w:sectPr>
          <w:pgSz w:w="11900" w:h="16943" w:orient="portrait"/>
          <w:cols w:equalWidth="0" w:num="1">
            <w:col w:w="11240"/>
          </w:cols>
          <w:pgMar w:left="320" w:top="118" w:right="339" w:bottom="0" w:gutter="0" w:footer="0" w:header="0"/>
        </w:sectPr>
      </w:pPr>
    </w:p>
    <w:bookmarkStart w:id="66" w:name="page67"/>
    <w:bookmarkEnd w:id="66"/>
    <w:p>
      <w:pPr>
        <w:jc w:val="both"/>
        <w:spacing w:after="0" w:line="253" w:lineRule="exact"/>
        <w:rPr>
          <w:sz w:val="20"/>
          <w:szCs w:val="20"/>
          <w:color w:val="auto"/>
        </w:rPr>
      </w:pPr>
      <w:r>
        <w:rPr>
          <w:rFonts w:ascii="Arial" w:cs="Arial" w:eastAsia="Arial" w:hAnsi="Arial"/>
          <w:sz w:val="22"/>
          <w:szCs w:val="22"/>
          <w:color w:val="auto"/>
        </w:rPr>
        <w:t>cautionary statements identifying those factors that could cause actual results to differ materially from those in such forward</w:t>
      </w:r>
      <w:r>
        <w:rPr>
          <w:rFonts w:ascii="MS PGothic" w:cs="MS PGothic" w:eastAsia="MS PGothic" w:hAnsi="MS PGothic"/>
          <w:sz w:val="22"/>
          <w:szCs w:val="22"/>
          <w:color w:val="auto"/>
        </w:rPr>
        <w:t>‑</w:t>
      </w:r>
      <w:r>
        <w:rPr>
          <w:rFonts w:ascii="Arial" w:cs="Arial" w:eastAsia="Arial" w:hAnsi="Arial"/>
          <w:sz w:val="22"/>
          <w:szCs w:val="22"/>
          <w:color w:val="auto"/>
        </w:rPr>
        <w:t>looking statement. No such statement was made with the knowledge of an executive officer or director of the Company that it was false or misleading.</w:t>
      </w:r>
    </w:p>
    <w:p>
      <w:pPr>
        <w:spacing w:after="0" w:line="214" w:lineRule="exact"/>
        <w:rPr>
          <w:sz w:val="20"/>
          <w:szCs w:val="20"/>
          <w:color w:val="auto"/>
        </w:rPr>
      </w:pPr>
    </w:p>
    <w:p>
      <w:pPr>
        <w:jc w:val="both"/>
        <w:ind w:firstLine="615"/>
        <w:spacing w:after="0"/>
        <w:tabs>
          <w:tab w:leader="none" w:pos="927"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213" w:lineRule="exact"/>
        <w:rPr>
          <w:rFonts w:ascii="Arial" w:cs="Arial" w:eastAsia="Arial" w:hAnsi="Arial"/>
          <w:sz w:val="22"/>
          <w:szCs w:val="22"/>
          <w:color w:val="auto"/>
        </w:rPr>
      </w:pPr>
    </w:p>
    <w:p>
      <w:pPr>
        <w:jc w:val="both"/>
        <w:ind w:firstLine="615"/>
        <w:spacing w:after="0" w:line="269" w:lineRule="auto"/>
        <w:tabs>
          <w:tab w:leader="none" w:pos="991"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Company and its subsidiaries’ information technology assets and equipment, computers, systems, networks, hardware, software, websites, applications, and databases (collectively, “</w:t>
      </w:r>
      <w:r>
        <w:rPr>
          <w:rFonts w:ascii="Arial" w:cs="Arial" w:eastAsia="Arial" w:hAnsi="Arial"/>
          <w:sz w:val="19"/>
          <w:szCs w:val="19"/>
          <w:b w:val="1"/>
          <w:bCs w:val="1"/>
          <w:color w:val="auto"/>
        </w:rPr>
        <w:t>IT Systems</w:t>
      </w:r>
      <w:r>
        <w:rPr>
          <w:rFonts w:ascii="Arial" w:cs="Arial" w:eastAsia="Arial" w:hAnsi="Arial"/>
          <w:sz w:val="19"/>
          <w:szCs w:val="19"/>
          <w:color w:val="auto"/>
        </w:rPr>
        <w:t>”) are adequate within reasonable industry standards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9"/>
          <w:szCs w:val="19"/>
          <w:b w:val="1"/>
          <w:bCs w:val="1"/>
          <w:color w:val="auto"/>
        </w:rPr>
        <w:t>Personal Data</w:t>
      </w:r>
      <w:r>
        <w:rPr>
          <w:rFonts w:ascii="Arial" w:cs="Arial" w:eastAsia="Arial" w:hAnsi="Arial"/>
          <w:sz w:val="19"/>
          <w:szCs w:val="19"/>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9"/>
          <w:szCs w:val="19"/>
          <w:b w:val="1"/>
          <w:bCs w:val="1"/>
          <w:color w:val="auto"/>
        </w:rPr>
        <w:t>HIPAA</w:t>
      </w:r>
      <w:r>
        <w:rPr>
          <w:rFonts w:ascii="Arial" w:cs="Arial" w:eastAsia="Arial" w:hAnsi="Arial"/>
          <w:sz w:val="19"/>
          <w:szCs w:val="19"/>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1" w:lineRule="auto"/>
        <w:tabs>
          <w:tab w:leader="none" w:pos="903"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Company and its subsidiaries are, and at all times in the past three years have been,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European Union General Data Protection Regulation (“</w:t>
      </w:r>
      <w:r>
        <w:rPr>
          <w:rFonts w:ascii="Arial" w:cs="Arial" w:eastAsia="Arial" w:hAnsi="Arial"/>
          <w:sz w:val="19"/>
          <w:szCs w:val="19"/>
          <w:b w:val="1"/>
          <w:bCs w:val="1"/>
          <w:color w:val="auto"/>
        </w:rPr>
        <w:t>GDPR</w:t>
      </w:r>
      <w:r>
        <w:rPr>
          <w:rFonts w:ascii="Arial" w:cs="Arial" w:eastAsia="Arial" w:hAnsi="Arial"/>
          <w:sz w:val="19"/>
          <w:szCs w:val="19"/>
          <w:color w:val="auto"/>
        </w:rPr>
        <w:t>”) (EU 2016/679) (collectively, the “</w:t>
      </w:r>
      <w:r>
        <w:rPr>
          <w:rFonts w:ascii="Arial" w:cs="Arial" w:eastAsia="Arial" w:hAnsi="Arial"/>
          <w:sz w:val="19"/>
          <w:szCs w:val="19"/>
          <w:b w:val="1"/>
          <w:bCs w:val="1"/>
          <w:color w:val="auto"/>
        </w:rPr>
        <w:t>Privacy Laws</w:t>
      </w:r>
      <w:r>
        <w:rPr>
          <w:rFonts w:ascii="Arial" w:cs="Arial" w:eastAsia="Arial" w:hAnsi="Arial"/>
          <w:sz w:val="19"/>
          <w:szCs w:val="19"/>
          <w:color w:val="auto"/>
        </w:rPr>
        <w:t>”). To facilitate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9"/>
          <w:szCs w:val="19"/>
          <w:b w:val="1"/>
          <w:bCs w:val="1"/>
          <w:color w:val="auto"/>
        </w:rPr>
        <w:t>Policies</w:t>
      </w:r>
      <w:r>
        <w:rPr>
          <w:rFonts w:ascii="Arial" w:cs="Arial" w:eastAsia="Arial" w:hAnsi="Arial"/>
          <w:sz w:val="19"/>
          <w:szCs w:val="19"/>
          <w:color w:val="auto"/>
        </w:rPr>
        <w:t>”). The Company and its subsidiaries have at all times during the last three years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7" w:lineRule="exact"/>
        <w:rPr>
          <w:rFonts w:ascii="Arial" w:cs="Arial" w:eastAsia="Arial" w:hAnsi="Arial"/>
          <w:sz w:val="19"/>
          <w:szCs w:val="19"/>
          <w:color w:val="auto"/>
        </w:rPr>
      </w:pPr>
    </w:p>
    <w:p>
      <w:pPr>
        <w:jc w:val="both"/>
        <w:ind w:firstLine="615"/>
        <w:spacing w:after="0" w:line="271" w:lineRule="auto"/>
        <w:tabs>
          <w:tab w:leader="none" w:pos="99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clinical trials and other studies conducted by the Company, or, to the Company’s knowledge, by its collaborators or contractors on behalf of the Company (collectively, “studies”), that are described in, or the results of which are referred to in, the Registration Statement, the Time of Sale Information or the Prospectus were and, if still pending, are being conducted in all material respects in accordance with applicable Health Care Laws (as defined in Section 2(vv)), including relevant and applicable good clinical practices (GCPs),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materially inconsistent with, or otherwise call into question, the results described or referred to in the Registration Statement, the Time of Sale Information or the Prospectus; the Company and its subsidiaries have made all such material filings and obtained all such material approvals in relation to the studies as may be required by United States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9"/>
          <w:szCs w:val="19"/>
          <w:b w:val="1"/>
          <w:bCs w:val="1"/>
          <w:color w:val="auto"/>
        </w:rPr>
        <w:t>Regulatory Agencies</w:t>
      </w:r>
      <w:r>
        <w:rPr>
          <w:rFonts w:ascii="Arial" w:cs="Arial" w:eastAsia="Arial" w:hAnsi="Arial"/>
          <w:sz w:val="19"/>
          <w:szCs w:val="19"/>
          <w:color w:val="auto"/>
        </w:rPr>
        <w:t>”); and neither the Company nor any of its subsidiaries has received any notice of, or correspondence from, any Regulatory Agency requiring the termination, suspension or modification of any clinical trials that are described or referred to in the Registration Statement, the Time of Sale Information or the Prospectus.</w:t>
      </w:r>
    </w:p>
    <w:p>
      <w:pPr>
        <w:sectPr>
          <w:pgSz w:w="11900" w:h="16838" w:orient="portrait"/>
          <w:cols w:equalWidth="0" w:num="1">
            <w:col w:w="11240"/>
          </w:cols>
          <w:pgMar w:left="320" w:top="118" w:right="339" w:bottom="173"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69" w:lineRule="auto"/>
        <w:tabs>
          <w:tab w:leader="none" w:pos="999" w:val="left"/>
        </w:tabs>
        <w:numPr>
          <w:ilvl w:val="0"/>
          <w:numId w:val="59"/>
        </w:numPr>
        <w:rPr>
          <w:rFonts w:ascii="Arial" w:cs="Arial" w:eastAsia="Arial" w:hAnsi="Arial"/>
          <w:sz w:val="19"/>
          <w:szCs w:val="19"/>
          <w:color w:val="auto"/>
        </w:rPr>
      </w:pPr>
      <w:r>
        <w:rPr>
          <w:rFonts w:ascii="Arial" w:cs="Arial" w:eastAsia="Arial" w:hAnsi="Arial"/>
          <w:sz w:val="19"/>
          <w:szCs w:val="19"/>
          <w:color w:val="auto"/>
        </w:rPr>
        <w:t>Except as described in the Registration Statement, the Time of Sale Information and the Prospectus, the Company and its subsidiaries are, and at all times have been, in material compliance with all Health Care Laws applicable to their business and operations. For purposes of this Agreement, “</w:t>
      </w:r>
      <w:r>
        <w:rPr>
          <w:rFonts w:ascii="Arial" w:cs="Arial" w:eastAsia="Arial" w:hAnsi="Arial"/>
          <w:sz w:val="19"/>
          <w:szCs w:val="19"/>
          <w:b w:val="1"/>
          <w:bCs w:val="1"/>
          <w:color w:val="auto"/>
        </w:rPr>
        <w:t>Health Care Laws</w:t>
      </w:r>
      <w:r>
        <w:rPr>
          <w:rFonts w:ascii="Arial" w:cs="Arial" w:eastAsia="Arial" w:hAnsi="Arial"/>
          <w:sz w:val="19"/>
          <w:szCs w:val="19"/>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material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right="20" w:firstLine="615"/>
        <w:spacing w:after="0" w:line="257" w:lineRule="auto"/>
        <w:tabs>
          <w:tab w:leader="none" w:pos="1122" w:val="left"/>
        </w:tabs>
        <w:numPr>
          <w:ilvl w:val="0"/>
          <w:numId w:val="59"/>
        </w:numPr>
        <w:rPr>
          <w:rFonts w:ascii="Arial" w:cs="Arial" w:eastAsia="Arial" w:hAnsi="Arial"/>
          <w:sz w:val="21"/>
          <w:szCs w:val="21"/>
          <w:color w:val="auto"/>
        </w:rPr>
      </w:pPr>
      <w:r>
        <w:rPr>
          <w:rFonts w:ascii="Arial" w:cs="Arial" w:eastAsia="Arial" w:hAnsi="Arial"/>
          <w:sz w:val="21"/>
          <w:szCs w:val="21"/>
          <w:color w:val="auto"/>
        </w:rPr>
        <w:t>All statistical, demographic and market 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tabs>
          <w:tab w:leader="none" w:pos="1012"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Company and its subsidiaries have been and are in compliance with all applicable laws, rules and regulations, except where failure to be so in compliance could not be expected, individually or in the aggregate, to result in a Material Adverse Effect.</w:t>
      </w:r>
    </w:p>
    <w:p>
      <w:pPr>
        <w:spacing w:after="0" w:line="213" w:lineRule="exact"/>
        <w:rPr>
          <w:rFonts w:ascii="Arial" w:cs="Arial" w:eastAsia="Arial" w:hAnsi="Arial"/>
          <w:sz w:val="22"/>
          <w:szCs w:val="22"/>
          <w:color w:val="auto"/>
        </w:rPr>
      </w:pPr>
    </w:p>
    <w:p>
      <w:pPr>
        <w:jc w:val="both"/>
        <w:ind w:firstLine="615"/>
        <w:spacing w:after="0" w:line="236" w:lineRule="auto"/>
        <w:tabs>
          <w:tab w:leader="none" w:pos="999" w:val="left"/>
        </w:tabs>
        <w:numPr>
          <w:ilvl w:val="0"/>
          <w:numId w:val="60"/>
        </w:numPr>
        <w:rPr>
          <w:rFonts w:ascii="Arial" w:cs="Arial" w:eastAsia="Arial" w:hAnsi="Arial"/>
          <w:sz w:val="22"/>
          <w:szCs w:val="22"/>
          <w:color w:val="auto"/>
        </w:rPr>
      </w:pPr>
      <w:r>
        <w:rPr>
          <w:rFonts w:ascii="Arial" w:cs="Arial" w:eastAsia="Arial" w:hAnsi="Arial"/>
          <w:sz w:val="22"/>
          <w:szCs w:val="22"/>
          <w:color w:val="auto"/>
        </w:rPr>
        <w:t>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214" w:lineRule="exact"/>
        <w:rPr>
          <w:sz w:val="20"/>
          <w:szCs w:val="20"/>
          <w:color w:val="auto"/>
        </w:rPr>
      </w:pPr>
    </w:p>
    <w:p>
      <w:pPr>
        <w:jc w:val="both"/>
        <w:ind w:firstLine="607"/>
        <w:spacing w:after="0"/>
        <w:rPr>
          <w:sz w:val="20"/>
          <w:szCs w:val="20"/>
          <w:color w:val="auto"/>
        </w:rPr>
      </w:pPr>
      <w:r>
        <w:rPr>
          <w:rFonts w:ascii="Arial" w:cs="Arial" w:eastAsia="Arial" w:hAnsi="Arial"/>
          <w:sz w:val="22"/>
          <w:szCs w:val="22"/>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213" w:lineRule="exact"/>
        <w:rPr>
          <w:sz w:val="20"/>
          <w:szCs w:val="20"/>
          <w:color w:val="auto"/>
        </w:rPr>
      </w:pPr>
    </w:p>
    <w:p>
      <w:pPr>
        <w:jc w:val="both"/>
        <w:ind w:firstLine="607"/>
        <w:spacing w:after="0"/>
        <w:rPr>
          <w:sz w:val="20"/>
          <w:szCs w:val="20"/>
          <w:color w:val="auto"/>
        </w:rPr>
      </w:pPr>
      <w:r>
        <w:rPr>
          <w:rFonts w:ascii="Arial" w:cs="Arial" w:eastAsia="Arial" w:hAnsi="Arial"/>
          <w:sz w:val="22"/>
          <w:szCs w:val="22"/>
          <w:color w:val="auto"/>
        </w:rPr>
        <w:t xml:space="preserve">The Company acknowledges that the Agent and, for purposes of the opinions to be delivered pursuant to </w:t>
      </w:r>
      <w:r>
        <w:rPr>
          <w:rFonts w:ascii="Arial" w:cs="Arial" w:eastAsia="Arial" w:hAnsi="Arial"/>
          <w:sz w:val="22"/>
          <w:szCs w:val="22"/>
          <w:u w:val="single" w:color="auto"/>
          <w:color w:val="auto"/>
        </w:rPr>
        <w:t>Section 4(o)</w:t>
      </w:r>
      <w:r>
        <w:rPr>
          <w:rFonts w:ascii="Arial" w:cs="Arial" w:eastAsia="Arial" w:hAnsi="Arial"/>
          <w:sz w:val="22"/>
          <w:szCs w:val="22"/>
          <w:color w:val="auto"/>
        </w:rPr>
        <w:t xml:space="preserve"> hereof, counsel to the Company and counsel to the Agent, will rely upon the accuracy and truthfulness of the foregoing representations and hereby consents to such reliance.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ISSUANCE AND SALE OF COMMON SHARES</w:t>
      </w:r>
    </w:p>
    <w:p>
      <w:pPr>
        <w:spacing w:after="0" w:line="239" w:lineRule="exact"/>
        <w:rPr>
          <w:sz w:val="20"/>
          <w:szCs w:val="20"/>
          <w:color w:val="auto"/>
        </w:rPr>
      </w:pPr>
    </w:p>
    <w:p>
      <w:pPr>
        <w:jc w:val="both"/>
        <w:ind w:firstLine="615"/>
        <w:spacing w:after="0" w:line="297" w:lineRule="auto"/>
        <w:tabs>
          <w:tab w:leader="none" w:pos="89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Sale of Securities</w:t>
      </w:r>
      <w:r>
        <w:rPr>
          <w:rFonts w:ascii="Arial" w:cs="Arial" w:eastAsia="Arial" w:hAnsi="Arial"/>
          <w:sz w:val="19"/>
          <w:szCs w:val="19"/>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w:t>
      </w:r>
    </w:p>
    <w:p>
      <w:pPr>
        <w:sectPr>
          <w:pgSz w:w="11900" w:h="16838" w:orient="portrait"/>
          <w:cols w:equalWidth="0" w:num="1">
            <w:col w:w="11240"/>
          </w:cols>
          <w:pgMar w:left="320" w:top="341" w:right="339" w:bottom="0" w:gutter="0" w:footer="0" w:header="0"/>
        </w:sectPr>
      </w:pPr>
    </w:p>
    <w:bookmarkStart w:id="68" w:name="page69"/>
    <w:bookmarkEnd w:id="68"/>
    <w:p>
      <w:pPr>
        <w:ind w:right="20"/>
        <w:spacing w:after="0" w:line="251" w:lineRule="auto"/>
        <w:rPr>
          <w:sz w:val="20"/>
          <w:szCs w:val="20"/>
          <w:color w:val="auto"/>
        </w:rPr>
      </w:pPr>
      <w:r>
        <w:rPr>
          <w:rFonts w:ascii="Arial" w:cs="Arial" w:eastAsia="Arial" w:hAnsi="Arial"/>
          <w:sz w:val="22"/>
          <w:szCs w:val="22"/>
          <w:color w:val="auto"/>
        </w:rPr>
        <w:t>Price of up to the Maximum Program Amount, based on and in accordance with Issuance Notices as the Company may deliver, during the Agency Period.</w:t>
      </w:r>
    </w:p>
    <w:p>
      <w:pPr>
        <w:spacing w:after="0" w:line="200" w:lineRule="exact"/>
        <w:rPr>
          <w:sz w:val="20"/>
          <w:szCs w:val="20"/>
          <w:color w:val="auto"/>
        </w:rPr>
      </w:pPr>
    </w:p>
    <w:p>
      <w:pPr>
        <w:ind w:left="900" w:hanging="285"/>
        <w:spacing w:after="0"/>
        <w:tabs>
          <w:tab w:leader="none" w:pos="9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Mechanics of Issuances</w:t>
      </w:r>
      <w:r>
        <w:rPr>
          <w:rFonts w:ascii="Arial" w:cs="Arial" w:eastAsia="Arial" w:hAnsi="Arial"/>
          <w:sz w:val="22"/>
          <w:szCs w:val="22"/>
          <w:color w:val="auto"/>
        </w:rPr>
        <w:t>.</w:t>
      </w:r>
    </w:p>
    <w:p>
      <w:pPr>
        <w:spacing w:after="0" w:line="233" w:lineRule="exact"/>
        <w:rPr>
          <w:sz w:val="20"/>
          <w:szCs w:val="20"/>
          <w:color w:val="auto"/>
        </w:rPr>
      </w:pPr>
    </w:p>
    <w:p>
      <w:pPr>
        <w:jc w:val="both"/>
        <w:ind w:firstLine="615"/>
        <w:spacing w:after="0" w:line="246" w:lineRule="exact"/>
        <w:tabs>
          <w:tab w:leader="none" w:pos="865"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Issuance Notice</w:t>
      </w:r>
      <w:r>
        <w:rPr>
          <w:rFonts w:ascii="Arial" w:cs="Arial" w:eastAsia="Arial" w:hAnsi="Arial"/>
          <w:sz w:val="19"/>
          <w:szCs w:val="19"/>
          <w:color w:val="auto"/>
        </w:rPr>
        <w:t xml:space="preserve">. Upon the terms and subject to the conditions set forth herein, on any Trading Day during the Agency Period on which the conditions set forth in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shall have been satisfied, the Company may exercise its right to request an issuance of Shares by delivering to the Agent an Issuance Notice;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w:t>
      </w:r>
      <w:r>
        <w:rPr>
          <w:rFonts w:ascii="MS PGothic" w:cs="MS PGothic" w:eastAsia="MS PGothic" w:hAnsi="MS PGothic"/>
          <w:sz w:val="19"/>
          <w:szCs w:val="19"/>
          <w:color w:val="auto"/>
        </w:rPr>
        <w:t>‑</w:t>
      </w:r>
      <w:r>
        <w:rPr>
          <w:rFonts w:ascii="Arial" w:cs="Arial" w:eastAsia="Arial" w:hAnsi="Arial"/>
          <w:sz w:val="19"/>
          <w:szCs w:val="19"/>
          <w:color w:val="auto"/>
        </w:rPr>
        <w:t>mail to the persons set forth in Schedule B hereto, with the understanding that, with adequate prior written notice, the Agent may modify the list of such persons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9" w:lineRule="auto"/>
        <w:tabs>
          <w:tab w:leader="none" w:pos="92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Agent Efforts</w:t>
      </w:r>
      <w:r>
        <w:rPr>
          <w:rFonts w:ascii="Arial" w:cs="Arial" w:eastAsia="Arial" w:hAnsi="Arial"/>
          <w:sz w:val="19"/>
          <w:szCs w:val="19"/>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77" w:lineRule="exact"/>
        <w:rPr>
          <w:rFonts w:ascii="Arial" w:cs="Arial" w:eastAsia="Arial" w:hAnsi="Arial"/>
          <w:sz w:val="19"/>
          <w:szCs w:val="19"/>
          <w:color w:val="auto"/>
        </w:rPr>
      </w:pPr>
    </w:p>
    <w:p>
      <w:pPr>
        <w:jc w:val="both"/>
        <w:ind w:firstLine="615"/>
        <w:spacing w:after="0" w:line="279" w:lineRule="auto"/>
        <w:tabs>
          <w:tab w:leader="none" w:pos="101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Method of Offer and Sale</w:t>
      </w:r>
      <w:r>
        <w:rPr>
          <w:rFonts w:ascii="Arial" w:cs="Arial" w:eastAsia="Arial" w:hAnsi="Arial"/>
          <w:sz w:val="19"/>
          <w:szCs w:val="19"/>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77" w:lineRule="exact"/>
        <w:rPr>
          <w:rFonts w:ascii="Arial" w:cs="Arial" w:eastAsia="Arial" w:hAnsi="Arial"/>
          <w:sz w:val="19"/>
          <w:szCs w:val="19"/>
          <w:color w:val="auto"/>
        </w:rPr>
      </w:pPr>
    </w:p>
    <w:p>
      <w:pPr>
        <w:jc w:val="both"/>
        <w:ind w:firstLine="615"/>
        <w:spacing w:after="0" w:line="238" w:lineRule="auto"/>
        <w:tabs>
          <w:tab w:leader="none" w:pos="987"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Confirmation to the Company</w:t>
      </w:r>
      <w:r>
        <w:rPr>
          <w:rFonts w:ascii="Arial" w:cs="Arial" w:eastAsia="Arial" w:hAnsi="Arial"/>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211" w:lineRule="exact"/>
        <w:rPr>
          <w:rFonts w:ascii="Arial" w:cs="Arial" w:eastAsia="Arial" w:hAnsi="Arial"/>
          <w:sz w:val="22"/>
          <w:szCs w:val="22"/>
          <w:color w:val="auto"/>
        </w:rPr>
      </w:pPr>
    </w:p>
    <w:p>
      <w:pPr>
        <w:jc w:val="both"/>
        <w:ind w:firstLine="615"/>
        <w:spacing w:after="0" w:line="245" w:lineRule="auto"/>
        <w:tabs>
          <w:tab w:leader="none" w:pos="913"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xml:space="preserve">. Each issuance of Shares will be settled on the applicable Settlement Date for such issuance of Shares and, subject to the provisions of </w:t>
      </w:r>
      <w:r>
        <w:rPr>
          <w:rFonts w:ascii="Arial" w:cs="Arial" w:eastAsia="Arial" w:hAnsi="Arial"/>
          <w:sz w:val="21"/>
          <w:szCs w:val="21"/>
          <w:u w:val="single" w:color="auto"/>
          <w:color w:val="auto"/>
        </w:rPr>
        <w:t>Section 5</w:t>
      </w:r>
      <w:r>
        <w:rPr>
          <w:rFonts w:ascii="Arial" w:cs="Arial" w:eastAsia="Arial" w:hAnsi="Arial"/>
          <w:sz w:val="21"/>
          <w:szCs w:val="21"/>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21"/>
          <w:szCs w:val="21"/>
          <w:b w:val="1"/>
          <w:bCs w:val="1"/>
          <w:color w:val="auto"/>
        </w:rPr>
        <w:t>Time of Sale</w:t>
      </w:r>
      <w:r>
        <w:rPr>
          <w:rFonts w:ascii="Arial" w:cs="Arial" w:eastAsia="Arial" w:hAnsi="Arial"/>
          <w:sz w:val="21"/>
          <w:szCs w:val="21"/>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2" w:lineRule="auto"/>
        <w:tabs>
          <w:tab w:leader="none" w:pos="97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Suspension or Termination of Sales</w:t>
      </w:r>
      <w:r>
        <w:rPr>
          <w:rFonts w:ascii="Arial" w:cs="Arial" w:eastAsia="Arial" w:hAnsi="Arial"/>
          <w:sz w:val="19"/>
          <w:szCs w:val="19"/>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9"/>
          <w:szCs w:val="19"/>
          <w:u w:val="single" w:color="auto"/>
          <w:color w:val="auto"/>
        </w:rPr>
        <w:t>Section 3(b)(v)</w:t>
      </w:r>
      <w:r>
        <w:rPr>
          <w:rFonts w:ascii="Arial" w:cs="Arial" w:eastAsia="Arial" w:hAnsi="Arial"/>
          <w:sz w:val="19"/>
          <w:szCs w:val="19"/>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9"/>
          <w:szCs w:val="19"/>
          <w:u w:val="single" w:color="auto"/>
          <w:color w:val="auto"/>
        </w:rPr>
        <w:t>Section 3(b)(i)</w:t>
      </w:r>
      <w:r>
        <w:rPr>
          <w:rFonts w:ascii="Arial" w:cs="Arial" w:eastAsia="Arial" w:hAnsi="Arial"/>
          <w:sz w:val="19"/>
          <w:szCs w:val="19"/>
          <w:color w:val="auto"/>
        </w:rPr>
        <w:t>.</w:t>
      </w:r>
    </w:p>
    <w:p>
      <w:pPr>
        <w:sectPr>
          <w:pgSz w:w="11900" w:h="16838" w:orient="portrait"/>
          <w:cols w:equalWidth="0" w:num="1">
            <w:col w:w="11240"/>
          </w:cols>
          <w:pgMar w:left="320" w:top="118" w:right="339" w:bottom="30" w:gutter="0" w:footer="0" w:header="0"/>
        </w:sectPr>
      </w:pPr>
    </w:p>
    <w:bookmarkStart w:id="69" w:name="page70"/>
    <w:bookmarkEnd w:id="69"/>
    <w:p>
      <w:pPr>
        <w:jc w:val="both"/>
        <w:ind w:firstLine="615"/>
        <w:spacing w:after="0" w:line="287" w:lineRule="auto"/>
        <w:tabs>
          <w:tab w:leader="none" w:pos="1033"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No Guarantee of Placement, Etc.</w:t>
      </w:r>
      <w:r>
        <w:rPr>
          <w:rFonts w:ascii="Arial" w:cs="Arial" w:eastAsia="Arial" w:hAnsi="Arial"/>
          <w:sz w:val="19"/>
          <w:szCs w:val="19"/>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70" w:lineRule="exact"/>
        <w:rPr>
          <w:rFonts w:ascii="Arial" w:cs="Arial" w:eastAsia="Arial" w:hAnsi="Arial"/>
          <w:sz w:val="19"/>
          <w:szCs w:val="19"/>
          <w:color w:val="auto"/>
        </w:rPr>
      </w:pPr>
    </w:p>
    <w:p>
      <w:pPr>
        <w:jc w:val="both"/>
        <w:ind w:firstLine="615"/>
        <w:spacing w:after="0" w:line="297" w:lineRule="auto"/>
        <w:tabs>
          <w:tab w:leader="none" w:pos="112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Material Non-Public Information.</w:t>
      </w:r>
      <w:r>
        <w:rPr>
          <w:rFonts w:ascii="Arial" w:cs="Arial" w:eastAsia="Arial" w:hAnsi="Arial"/>
          <w:sz w:val="19"/>
          <w:szCs w:val="19"/>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61" w:lineRule="exact"/>
        <w:rPr>
          <w:sz w:val="20"/>
          <w:szCs w:val="20"/>
          <w:color w:val="auto"/>
        </w:rPr>
      </w:pPr>
    </w:p>
    <w:p>
      <w:pPr>
        <w:jc w:val="both"/>
        <w:ind w:firstLine="615"/>
        <w:spacing w:after="0" w:line="297" w:lineRule="auto"/>
        <w:tabs>
          <w:tab w:leader="none" w:pos="879"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9"/>
          <w:szCs w:val="19"/>
          <w:u w:val="single" w:color="auto"/>
          <w:color w:val="auto"/>
        </w:rPr>
        <w:t>Section 3(b)(vi))</w:t>
      </w:r>
      <w:r>
        <w:rPr>
          <w:rFonts w:ascii="Arial" w:cs="Arial" w:eastAsia="Arial" w:hAnsi="Arial"/>
          <w:sz w:val="19"/>
          <w:szCs w:val="19"/>
          <w:color w:val="auto"/>
        </w:rPr>
        <w:t xml:space="preserve"> by the Agent deducting the Selling Commission from the applicable Issuance Amount.</w:t>
      </w:r>
    </w:p>
    <w:p>
      <w:pPr>
        <w:spacing w:after="0" w:line="160" w:lineRule="exact"/>
        <w:rPr>
          <w:rFonts w:ascii="Arial" w:cs="Arial" w:eastAsia="Arial" w:hAnsi="Arial"/>
          <w:sz w:val="19"/>
          <w:szCs w:val="19"/>
          <w:color w:val="auto"/>
        </w:rPr>
      </w:pPr>
    </w:p>
    <w:p>
      <w:pPr>
        <w:jc w:val="both"/>
        <w:ind w:firstLine="615"/>
        <w:spacing w:after="0" w:line="269" w:lineRule="auto"/>
        <w:tabs>
          <w:tab w:leader="none" w:pos="89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9"/>
          <w:szCs w:val="19"/>
          <w:b w:val="1"/>
          <w:bCs w:val="1"/>
          <w:color w:val="auto"/>
        </w:rPr>
        <w:t>Blue Sky Survey</w:t>
      </w:r>
      <w:r>
        <w:rPr>
          <w:rFonts w:ascii="Arial" w:cs="Arial" w:eastAsia="Arial" w:hAnsi="Arial"/>
          <w:sz w:val="19"/>
          <w:szCs w:val="19"/>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$50,000 in connection with entering into this Agreement and filing of the program and (B) $15,000 in connection with each Triggering Event Date (as defined below) on which the Company is required to provide a certificate pursuant to </w:t>
      </w:r>
      <w:r>
        <w:rPr>
          <w:rFonts w:ascii="Arial" w:cs="Arial" w:eastAsia="Arial" w:hAnsi="Arial"/>
          <w:sz w:val="19"/>
          <w:szCs w:val="19"/>
          <w:u w:val="single" w:color="auto"/>
          <w:color w:val="auto"/>
        </w:rPr>
        <w:t>Section 4(o</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ADDITIONAL COVENANTS</w:t>
      </w:r>
    </w:p>
    <w:p>
      <w:pPr>
        <w:spacing w:after="0" w:line="239" w:lineRule="exact"/>
        <w:rPr>
          <w:sz w:val="20"/>
          <w:szCs w:val="20"/>
          <w:color w:val="auto"/>
        </w:rPr>
      </w:pPr>
    </w:p>
    <w:p>
      <w:pPr>
        <w:ind w:firstLine="607"/>
        <w:spacing w:after="0" w:line="250" w:lineRule="auto"/>
        <w:rPr>
          <w:sz w:val="20"/>
          <w:szCs w:val="20"/>
          <w:color w:val="auto"/>
        </w:rPr>
      </w:pPr>
      <w:r>
        <w:rPr>
          <w:rFonts w:ascii="Arial" w:cs="Arial" w:eastAsia="Arial" w:hAnsi="Arial"/>
          <w:sz w:val="22"/>
          <w:szCs w:val="22"/>
          <w:color w:val="auto"/>
        </w:rPr>
        <w:t>The Company covenants and agrees with the Agent as follows, in addition to any other covenants and agreements made elsewhere in this Agreement:</w:t>
      </w:r>
    </w:p>
    <w:p>
      <w:pPr>
        <w:spacing w:after="0" w:line="202" w:lineRule="exact"/>
        <w:rPr>
          <w:sz w:val="20"/>
          <w:szCs w:val="20"/>
          <w:color w:val="auto"/>
        </w:rPr>
      </w:pPr>
    </w:p>
    <w:p>
      <w:pPr>
        <w:jc w:val="both"/>
        <w:ind w:firstLine="615"/>
        <w:spacing w:after="0" w:line="245" w:lineRule="auto"/>
        <w:tabs>
          <w:tab w:leader="none" w:pos="919"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Exchange Act Compliance</w:t>
      </w:r>
      <w:r>
        <w:rPr>
          <w:rFonts w:ascii="Arial" w:cs="Arial" w:eastAsia="Arial" w:hAnsi="Arial"/>
          <w:sz w:val="21"/>
          <w:szCs w:val="21"/>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21"/>
          <w:szCs w:val="21"/>
          <w:b w:val="1"/>
          <w:bCs w:val="1"/>
          <w:color w:val="auto"/>
        </w:rPr>
        <w:t>Interim</w:t>
      </w:r>
      <w:r>
        <w:rPr>
          <w:rFonts w:ascii="Arial" w:cs="Arial" w:eastAsia="Arial" w:hAnsi="Arial"/>
          <w:sz w:val="21"/>
          <w:szCs w:val="21"/>
          <w:color w:val="auto"/>
        </w:rPr>
        <w:t xml:space="preserve"> </w:t>
      </w:r>
      <w:r>
        <w:rPr>
          <w:rFonts w:ascii="Arial" w:cs="Arial" w:eastAsia="Arial" w:hAnsi="Arial"/>
          <w:sz w:val="21"/>
          <w:szCs w:val="21"/>
          <w:b w:val="1"/>
          <w:bCs w:val="1"/>
          <w:color w:val="auto"/>
        </w:rPr>
        <w:t>Prospectus Supplement</w:t>
      </w:r>
      <w:r>
        <w:rPr>
          <w:rFonts w:ascii="Arial" w:cs="Arial" w:eastAsia="Arial" w:hAnsi="Arial"/>
          <w:sz w:val="21"/>
          <w:szCs w:val="21"/>
          <w:color w:val="auto"/>
        </w:rPr>
        <w:t>”), such summary information and, at least once a quarter and subject to this Section 4, file such Interim</w:t>
      </w:r>
      <w:r>
        <w:rPr>
          <w:rFonts w:ascii="Arial" w:cs="Arial" w:eastAsia="Arial" w:hAnsi="Arial"/>
          <w:sz w:val="21"/>
          <w:szCs w:val="21"/>
          <w:b w:val="1"/>
          <w:bCs w:val="1"/>
          <w:color w:val="auto"/>
        </w:rPr>
        <w:t xml:space="preserve"> </w:t>
      </w:r>
      <w:r>
        <w:rPr>
          <w:rFonts w:ascii="Arial" w:cs="Arial" w:eastAsia="Arial" w:hAnsi="Arial"/>
          <w:sz w:val="21"/>
          <w:szCs w:val="21"/>
          <w:color w:val="auto"/>
        </w:rPr>
        <w:t>Prospectus Supplement pursuant to Rule 424(b) under the Securities Act (and within the time periods required by Rule 424(b) and Rule 430B under the Securities Act)).</w:t>
      </w:r>
    </w:p>
    <w:p>
      <w:pPr>
        <w:spacing w:after="0" w:line="211" w:lineRule="exact"/>
        <w:rPr>
          <w:rFonts w:ascii="Arial" w:cs="Arial" w:eastAsia="Arial" w:hAnsi="Arial"/>
          <w:sz w:val="21"/>
          <w:szCs w:val="21"/>
          <w:color w:val="auto"/>
        </w:rPr>
      </w:pPr>
    </w:p>
    <w:p>
      <w:pPr>
        <w:ind w:left="900" w:hanging="285"/>
        <w:spacing w:after="0"/>
        <w:tabs>
          <w:tab w:leader="none" w:pos="900"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Securities Act Compliance</w:t>
      </w:r>
      <w:r>
        <w:rPr>
          <w:rFonts w:ascii="Arial" w:cs="Arial" w:eastAsia="Arial" w:hAnsi="Arial"/>
          <w:sz w:val="19"/>
          <w:szCs w:val="19"/>
          <w:color w:val="auto"/>
        </w:rPr>
        <w:t>. After the date of this Agreement, the Company shall promptly advise the Agent in writing</w:t>
      </w:r>
    </w:p>
    <w:p>
      <w:pPr>
        <w:spacing w:after="0" w:line="42" w:lineRule="exact"/>
        <w:rPr>
          <w:rFonts w:ascii="Arial" w:cs="Arial" w:eastAsia="Arial" w:hAnsi="Arial"/>
          <w:sz w:val="19"/>
          <w:szCs w:val="19"/>
          <w:color w:val="auto"/>
        </w:rPr>
      </w:pPr>
    </w:p>
    <w:p>
      <w:pPr>
        <w:jc w:val="both"/>
        <w:ind w:firstLine="8"/>
        <w:spacing w:after="0" w:line="272" w:lineRule="auto"/>
        <w:tabs>
          <w:tab w:leader="none" w:pos="275" w:val="left"/>
        </w:tabs>
        <w:numPr>
          <w:ilvl w:val="0"/>
          <w:numId w:val="69"/>
        </w:numPr>
        <w:rPr>
          <w:rFonts w:ascii="Arial" w:cs="Arial" w:eastAsia="Arial" w:hAnsi="Arial"/>
          <w:sz w:val="19"/>
          <w:szCs w:val="19"/>
          <w:color w:val="auto"/>
        </w:rPr>
      </w:pPr>
      <w:r>
        <w:rPr>
          <w:rFonts w:ascii="Arial" w:cs="Arial" w:eastAsia="Arial" w:hAnsi="Arial"/>
          <w:sz w:val="19"/>
          <w:szCs w:val="19"/>
          <w:color w:val="auto"/>
        </w:rPr>
        <w:t>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w:t>
      </w:r>
    </w:p>
    <w:p>
      <w:pPr>
        <w:sectPr>
          <w:pgSz w:w="11900" w:h="16838" w:orient="portrait"/>
          <w:cols w:equalWidth="0" w:num="1">
            <w:col w:w="11240"/>
          </w:cols>
          <w:pgMar w:left="320" w:top="118" w:right="339" w:bottom="0" w:gutter="0" w:footer="0" w:header="0"/>
        </w:sectPr>
      </w:pPr>
    </w:p>
    <w:bookmarkStart w:id="70" w:name="page71"/>
    <w:bookmarkEnd w:id="70"/>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trading or included or designated for quotation, or of the threatening or initiation of any proceedings for any of such purposes. If the Commission shall enter any such stop order at any time, the Company will use its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2" w:lineRule="auto"/>
        <w:tabs>
          <w:tab w:leader="none" w:pos="919"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Amendments and Supplements to the Prospectus and Other Securities Act Matters</w:t>
      </w:r>
      <w:r>
        <w:rPr>
          <w:rFonts w:ascii="Arial" w:cs="Arial" w:eastAsia="Arial" w:hAnsi="Arial"/>
          <w:sz w:val="19"/>
          <w:szCs w:val="19"/>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615"/>
        <w:spacing w:after="0" w:line="277" w:lineRule="auto"/>
        <w:tabs>
          <w:tab w:leader="none" w:pos="918"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Agent’s Review of Proposed Amendments and Supplements</w:t>
      </w:r>
      <w:r>
        <w:rPr>
          <w:rFonts w:ascii="Arial" w:cs="Arial" w:eastAsia="Arial" w:hAnsi="Arial"/>
          <w:sz w:val="19"/>
          <w:szCs w:val="19"/>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78" w:lineRule="exact"/>
        <w:rPr>
          <w:rFonts w:ascii="Arial" w:cs="Arial" w:eastAsia="Arial" w:hAnsi="Arial"/>
          <w:sz w:val="19"/>
          <w:szCs w:val="19"/>
          <w:color w:val="auto"/>
        </w:rPr>
      </w:pPr>
    </w:p>
    <w:p>
      <w:pPr>
        <w:jc w:val="both"/>
        <w:ind w:firstLine="615"/>
        <w:spacing w:after="0" w:line="287" w:lineRule="auto"/>
        <w:tabs>
          <w:tab w:leader="none" w:pos="89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Use of Free Writing Prospectus</w:t>
      </w:r>
      <w:r>
        <w:rPr>
          <w:rFonts w:ascii="Arial" w:cs="Arial" w:eastAsia="Arial" w:hAnsi="Arial"/>
          <w:sz w:val="19"/>
          <w:szCs w:val="19"/>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9"/>
          <w:szCs w:val="19"/>
          <w:b w:val="1"/>
          <w:bCs w:val="1"/>
          <w:color w:val="auto"/>
        </w:rPr>
        <w:t>Free Writing Prospectus</w:t>
      </w:r>
      <w:r>
        <w:rPr>
          <w:rFonts w:ascii="Arial" w:cs="Arial" w:eastAsia="Arial" w:hAnsi="Arial"/>
          <w:sz w:val="19"/>
          <w:szCs w:val="19"/>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0" w:lineRule="auto"/>
        <w:tabs>
          <w:tab w:leader="none" w:pos="85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Free Writing Prospectuses</w:t>
      </w:r>
      <w:r>
        <w:rPr>
          <w:rFonts w:ascii="Arial" w:cs="Arial" w:eastAsia="Arial" w:hAnsi="Arial"/>
          <w:sz w:val="19"/>
          <w:szCs w:val="19"/>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not to be unreasonably withheld.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amending or supplementing any such free writing prospectus, the Company shall furnish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not to be unreasonably withheld.</w:t>
      </w:r>
    </w:p>
    <w:p>
      <w:pPr>
        <w:spacing w:after="0" w:line="189" w:lineRule="exact"/>
        <w:rPr>
          <w:rFonts w:ascii="Arial" w:cs="Arial" w:eastAsia="Arial" w:hAnsi="Arial"/>
          <w:sz w:val="19"/>
          <w:szCs w:val="19"/>
          <w:color w:val="auto"/>
        </w:rPr>
      </w:pPr>
    </w:p>
    <w:p>
      <w:pPr>
        <w:jc w:val="both"/>
        <w:ind w:firstLine="615"/>
        <w:spacing w:after="0" w:line="297" w:lineRule="auto"/>
        <w:tabs>
          <w:tab w:leader="none" w:pos="89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Filing of Agent Free Writing Prospectuses</w:t>
      </w:r>
      <w:r>
        <w:rPr>
          <w:rFonts w:ascii="Arial" w:cs="Arial" w:eastAsia="Arial" w:hAnsi="Arial"/>
          <w:sz w:val="19"/>
          <w:szCs w:val="19"/>
          <w:color w:val="auto"/>
        </w:rPr>
        <w:t>. The Company shall not to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60" w:lineRule="exact"/>
        <w:rPr>
          <w:rFonts w:ascii="Arial" w:cs="Arial" w:eastAsia="Arial" w:hAnsi="Arial"/>
          <w:sz w:val="19"/>
          <w:szCs w:val="19"/>
          <w:color w:val="auto"/>
        </w:rPr>
      </w:pPr>
    </w:p>
    <w:p>
      <w:pPr>
        <w:jc w:val="both"/>
        <w:ind w:firstLine="615"/>
        <w:spacing w:after="0" w:line="297" w:lineRule="auto"/>
        <w:tabs>
          <w:tab w:leader="none" w:pos="93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Copies of Registration Statement and Prospectus</w:t>
      </w:r>
      <w:r>
        <w:rPr>
          <w:rFonts w:ascii="Arial" w:cs="Arial" w:eastAsia="Arial" w:hAnsi="Arial"/>
          <w:sz w:val="19"/>
          <w:szCs w:val="19"/>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w:t>
      </w:r>
    </w:p>
    <w:p>
      <w:pPr>
        <w:sectPr>
          <w:pgSz w:w="11900" w:h="16952" w:orient="portrait"/>
          <w:cols w:equalWidth="0" w:num="1">
            <w:col w:w="11240"/>
          </w:cols>
          <w:pgMar w:left="320" w:top="118" w:right="339" w:bottom="0" w:gutter="0" w:footer="0" w:header="0"/>
        </w:sectPr>
      </w:pPr>
    </w:p>
    <w:bookmarkStart w:id="71" w:name="page72"/>
    <w:bookmarkEnd w:id="71"/>
    <w:p>
      <w:pPr>
        <w:jc w:val="both"/>
        <w:spacing w:after="0" w:line="270" w:lineRule="auto"/>
        <w:rPr>
          <w:sz w:val="20"/>
          <w:szCs w:val="20"/>
          <w:color w:val="auto"/>
        </w:rPr>
      </w:pPr>
      <w:r>
        <w:rPr>
          <w:rFonts w:ascii="Arial" w:cs="Arial" w:eastAsia="Arial" w:hAnsi="Arial"/>
          <w:sz w:val="19"/>
          <w:szCs w:val="19"/>
          <w:color w:val="auto"/>
        </w:rPr>
        <w:t>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3" w:lineRule="auto"/>
        <w:tabs>
          <w:tab w:leader="none" w:pos="843"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Blue Sky Compliance</w:t>
      </w:r>
      <w:r>
        <w:rPr>
          <w:rFonts w:ascii="Arial" w:cs="Arial" w:eastAsia="Arial" w:hAnsi="Arial"/>
          <w:sz w:val="19"/>
          <w:szCs w:val="19"/>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as soon as practicable.</w:t>
      </w:r>
    </w:p>
    <w:p>
      <w:pPr>
        <w:spacing w:after="0" w:line="187" w:lineRule="exact"/>
        <w:rPr>
          <w:rFonts w:ascii="Arial" w:cs="Arial" w:eastAsia="Arial" w:hAnsi="Arial"/>
          <w:sz w:val="19"/>
          <w:szCs w:val="19"/>
          <w:color w:val="auto"/>
        </w:rPr>
      </w:pPr>
    </w:p>
    <w:p>
      <w:pPr>
        <w:jc w:val="both"/>
        <w:ind w:firstLine="615"/>
        <w:spacing w:after="0" w:line="238" w:lineRule="auto"/>
        <w:tabs>
          <w:tab w:leader="none" w:pos="856"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211" w:lineRule="exact"/>
        <w:rPr>
          <w:rFonts w:ascii="Arial" w:cs="Arial" w:eastAsia="Arial" w:hAnsi="Arial"/>
          <w:sz w:val="22"/>
          <w:szCs w:val="22"/>
          <w:color w:val="auto"/>
        </w:rPr>
      </w:pPr>
    </w:p>
    <w:p>
      <w:pPr>
        <w:ind w:left="920" w:hanging="305"/>
        <w:spacing w:after="0"/>
        <w:tabs>
          <w:tab w:leader="none" w:pos="92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Listing; Reservation of Shares</w:t>
      </w:r>
      <w:r>
        <w:rPr>
          <w:rFonts w:ascii="Arial" w:cs="Arial" w:eastAsia="Arial" w:hAnsi="Arial"/>
          <w:sz w:val="19"/>
          <w:szCs w:val="19"/>
          <w:color w:val="auto"/>
        </w:rPr>
        <w:t>. (a) The Company will maintain the listing of the Shares on the Principal Market; and</w:t>
      </w:r>
    </w:p>
    <w:p>
      <w:pPr>
        <w:spacing w:after="0" w:line="42" w:lineRule="exact"/>
        <w:rPr>
          <w:rFonts w:ascii="Arial" w:cs="Arial" w:eastAsia="Arial" w:hAnsi="Arial"/>
          <w:sz w:val="19"/>
          <w:szCs w:val="19"/>
          <w:color w:val="auto"/>
        </w:rPr>
      </w:pPr>
    </w:p>
    <w:p>
      <w:pPr>
        <w:ind w:firstLine="8"/>
        <w:spacing w:after="0" w:line="236" w:lineRule="auto"/>
        <w:tabs>
          <w:tab w:leader="none" w:pos="32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Company will reserve and keep available at all times, free of preemptive rights, Shares for the purpose of enabling the Company to satisfy its obligations under this Agreement.</w:t>
      </w:r>
    </w:p>
    <w:p>
      <w:pPr>
        <w:spacing w:after="0" w:line="213" w:lineRule="exact"/>
        <w:rPr>
          <w:rFonts w:ascii="Arial" w:cs="Arial" w:eastAsia="Arial" w:hAnsi="Arial"/>
          <w:sz w:val="22"/>
          <w:szCs w:val="22"/>
          <w:color w:val="auto"/>
        </w:rPr>
      </w:pPr>
    </w:p>
    <w:p>
      <w:pPr>
        <w:ind w:left="860" w:hanging="245"/>
        <w:spacing w:after="0"/>
        <w:tabs>
          <w:tab w:leader="none" w:pos="860"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Transfer Agent</w:t>
      </w:r>
      <w:r>
        <w:rPr>
          <w:rFonts w:ascii="Arial" w:cs="Arial" w:eastAsia="Arial" w:hAnsi="Arial"/>
          <w:sz w:val="19"/>
          <w:szCs w:val="19"/>
          <w:color w:val="auto"/>
        </w:rPr>
        <w:t>. The Company shall engage and maintain, at its expense, a registrar and transfer agent for the Shares.</w:t>
      </w:r>
    </w:p>
    <w:p>
      <w:pPr>
        <w:spacing w:after="0" w:line="267" w:lineRule="exact"/>
        <w:rPr>
          <w:rFonts w:ascii="Arial" w:cs="Arial" w:eastAsia="Arial" w:hAnsi="Arial"/>
          <w:sz w:val="19"/>
          <w:szCs w:val="19"/>
          <w:color w:val="auto"/>
        </w:rPr>
      </w:pPr>
    </w:p>
    <w:p>
      <w:pPr>
        <w:jc w:val="both"/>
        <w:ind w:firstLine="615"/>
        <w:spacing w:after="0" w:line="252" w:lineRule="auto"/>
        <w:tabs>
          <w:tab w:leader="none" w:pos="964" w:val="left"/>
        </w:tabs>
        <w:numPr>
          <w:ilvl w:val="1"/>
          <w:numId w:val="73"/>
        </w:numPr>
        <w:rPr>
          <w:rFonts w:ascii="Arial" w:cs="Arial" w:eastAsia="Arial" w:hAnsi="Arial"/>
          <w:sz w:val="21"/>
          <w:szCs w:val="21"/>
          <w:color w:val="auto"/>
        </w:rPr>
      </w:pPr>
      <w:r>
        <w:rPr>
          <w:rFonts w:ascii="Arial" w:cs="Arial" w:eastAsia="Arial" w:hAnsi="Arial"/>
          <w:sz w:val="21"/>
          <w:szCs w:val="21"/>
          <w:u w:val="single" w:color="auto"/>
          <w:color w:val="auto"/>
        </w:rPr>
        <w:t>Due Diligence</w:t>
      </w:r>
      <w:r>
        <w:rPr>
          <w:rFonts w:ascii="Arial" w:cs="Arial" w:eastAsia="Arial" w:hAnsi="Arial"/>
          <w:sz w:val="21"/>
          <w:szCs w:val="21"/>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200" w:lineRule="exact"/>
        <w:rPr>
          <w:rFonts w:ascii="Arial" w:cs="Arial" w:eastAsia="Arial" w:hAnsi="Arial"/>
          <w:sz w:val="21"/>
          <w:szCs w:val="21"/>
          <w:color w:val="auto"/>
        </w:rPr>
      </w:pPr>
    </w:p>
    <w:p>
      <w:pPr>
        <w:jc w:val="both"/>
        <w:ind w:firstLine="615"/>
        <w:spacing w:after="0" w:line="274" w:lineRule="auto"/>
        <w:tabs>
          <w:tab w:leader="none" w:pos="931"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15"/>
        <w:spacing w:after="0" w:line="250" w:lineRule="auto"/>
        <w:tabs>
          <w:tab w:leader="none" w:pos="918"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Deliverables at Triggering Event Dates; Certificates.</w:t>
      </w:r>
      <w:r>
        <w:rPr>
          <w:rFonts w:ascii="Arial" w:cs="Arial" w:eastAsia="Arial" w:hAnsi="Arial"/>
          <w:sz w:val="22"/>
          <w:szCs w:val="22"/>
          <w:color w:val="auto"/>
        </w:rPr>
        <w:t xml:space="preserve"> The Company agrees that on or prior to the date of the first Issuance Notice and, during the term of this Agreement after the date of the first Issuance Notice, upon:</w:t>
      </w:r>
    </w:p>
    <w:p>
      <w:pPr>
        <w:sectPr>
          <w:pgSz w:w="11900" w:h="16838" w:orient="portrait"/>
          <w:cols w:equalWidth="0" w:num="1">
            <w:col w:w="11240"/>
          </w:cols>
          <w:pgMar w:left="320" w:top="118" w:right="339" w:bottom="49" w:gutter="0" w:footer="0" w:header="0"/>
        </w:sectPr>
      </w:pPr>
    </w:p>
    <w:bookmarkStart w:id="72" w:name="page73"/>
    <w:bookmarkEnd w:id="72"/>
    <w:p>
      <w:pPr>
        <w:jc w:val="both"/>
        <w:ind w:firstLine="1223"/>
        <w:spacing w:after="0" w:line="238" w:lineRule="auto"/>
        <w:tabs>
          <w:tab w:leader="none" w:pos="157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212" w:lineRule="exact"/>
        <w:rPr>
          <w:rFonts w:ascii="Arial" w:cs="Arial" w:eastAsia="Arial" w:hAnsi="Arial"/>
          <w:sz w:val="22"/>
          <w:szCs w:val="22"/>
          <w:color w:val="auto"/>
        </w:rPr>
      </w:pPr>
    </w:p>
    <w:p>
      <w:pPr>
        <w:jc w:val="both"/>
        <w:ind w:firstLine="1223"/>
        <w:spacing w:after="0" w:line="257" w:lineRule="auto"/>
        <w:tabs>
          <w:tab w:leader="none" w:pos="1605"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96" w:lineRule="exact"/>
        <w:rPr>
          <w:rFonts w:ascii="Arial" w:cs="Arial" w:eastAsia="Arial" w:hAnsi="Arial"/>
          <w:sz w:val="21"/>
          <w:szCs w:val="21"/>
          <w:color w:val="auto"/>
        </w:rPr>
      </w:pPr>
    </w:p>
    <w:p>
      <w:pPr>
        <w:jc w:val="both"/>
        <w:ind w:firstLine="1223"/>
        <w:spacing w:after="0" w:line="236" w:lineRule="auto"/>
        <w:tabs>
          <w:tab w:leader="none" w:pos="1564"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(any such event, a “</w:t>
      </w:r>
      <w:r>
        <w:rPr>
          <w:rFonts w:ascii="Arial" w:cs="Arial" w:eastAsia="Arial" w:hAnsi="Arial"/>
          <w:sz w:val="19"/>
          <w:szCs w:val="19"/>
          <w:b w:val="1"/>
          <w:bCs w:val="1"/>
          <w:color w:val="auto"/>
        </w:rPr>
        <w:t>Triggering Event Date</w:t>
      </w:r>
      <w:r>
        <w:rPr>
          <w:rFonts w:ascii="Arial" w:cs="Arial" w:eastAsia="Arial" w:hAnsi="Arial"/>
          <w:sz w:val="19"/>
          <w:szCs w:val="19"/>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and as to the matters set forth in </w:t>
      </w:r>
      <w:r>
        <w:rPr>
          <w:rFonts w:ascii="Arial" w:cs="Arial" w:eastAsia="Arial" w:hAnsi="Arial"/>
          <w:sz w:val="19"/>
          <w:szCs w:val="19"/>
          <w:u w:val="single" w:color="auto"/>
          <w:color w:val="auto"/>
        </w:rPr>
        <w:t>Section 5(a)(iii)</w:t>
      </w:r>
      <w:r>
        <w:rPr>
          <w:rFonts w:ascii="Arial" w:cs="Arial" w:eastAsia="Arial" w:hAnsi="Arial"/>
          <w:sz w:val="19"/>
          <w:szCs w:val="19"/>
          <w:color w:val="auto"/>
        </w:rPr>
        <w:t xml:space="preserve"> hereof, and</w:t>
      </w:r>
    </w:p>
    <w:p>
      <w:pPr>
        <w:spacing w:after="0" w:line="4" w:lineRule="exact"/>
        <w:rPr>
          <w:sz w:val="20"/>
          <w:szCs w:val="20"/>
          <w:color w:val="auto"/>
        </w:rPr>
      </w:pPr>
    </w:p>
    <w:p>
      <w:pPr>
        <w:jc w:val="both"/>
        <w:ind w:firstLine="8"/>
        <w:spacing w:after="0" w:line="243" w:lineRule="auto"/>
        <w:tabs>
          <w:tab w:leader="none" w:pos="350"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containing any other certification that the Agent shall reasonably request. The requirement to provide a certificate under this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3" w:lineRule="auto"/>
        <w:tabs>
          <w:tab w:leader="none" w:pos="89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furnished to the Agent, a negative assurances letter and the written legal opinion of Morgan, Lewis &amp; Bockius LLP, counsel to the Company, Wilmer Cutler Pickering Hale and Dorr LLP, counsel to the Agent, and Casimir Jones, S.C., intellectual property counsel to the Company,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2" w:lineRule="exact"/>
        <w:rPr>
          <w:rFonts w:ascii="Arial" w:cs="Arial" w:eastAsia="Arial" w:hAnsi="Arial"/>
          <w:sz w:val="19"/>
          <w:szCs w:val="19"/>
          <w:color w:val="auto"/>
        </w:rPr>
      </w:pPr>
    </w:p>
    <w:p>
      <w:pPr>
        <w:jc w:val="both"/>
        <w:ind w:firstLine="615"/>
        <w:spacing w:after="0" w:line="272" w:lineRule="auto"/>
        <w:tabs>
          <w:tab w:leader="none" w:pos="89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CohnReznick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187" w:lineRule="exact"/>
        <w:rPr>
          <w:rFonts w:ascii="Arial" w:cs="Arial" w:eastAsia="Arial" w:hAnsi="Arial"/>
          <w:sz w:val="19"/>
          <w:szCs w:val="19"/>
          <w:color w:val="auto"/>
        </w:rPr>
      </w:pPr>
    </w:p>
    <w:p>
      <w:pPr>
        <w:jc w:val="both"/>
        <w:ind w:firstLine="615"/>
        <w:spacing w:after="0" w:line="279" w:lineRule="auto"/>
        <w:tabs>
          <w:tab w:leader="none" w:pos="89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Secretary’s Certificate.</w:t>
      </w:r>
      <w:r>
        <w:rPr>
          <w:rFonts w:ascii="Arial" w:cs="Arial" w:eastAsia="Arial" w:hAnsi="Arial"/>
          <w:sz w:val="19"/>
          <w:szCs w:val="19"/>
          <w:color w:val="auto"/>
        </w:rPr>
        <w:t xml:space="preserve">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w:t>
      </w:r>
    </w:p>
    <w:p>
      <w:pPr>
        <w:sectPr>
          <w:pgSz w:w="11900" w:h="16838" w:orient="portrait"/>
          <w:cols w:equalWidth="0" w:num="1">
            <w:col w:w="11240"/>
          </w:cols>
          <w:pgMar w:left="320" w:top="118" w:right="339" w:bottom="0" w:gutter="0" w:footer="0" w:header="0"/>
        </w:sectPr>
      </w:pPr>
    </w:p>
    <w:bookmarkStart w:id="73" w:name="page74"/>
    <w:bookmarkEnd w:id="73"/>
    <w:p>
      <w:pPr>
        <w:ind w:right="20"/>
        <w:spacing w:after="0" w:line="251" w:lineRule="auto"/>
        <w:rPr>
          <w:sz w:val="20"/>
          <w:szCs w:val="20"/>
          <w:color w:val="auto"/>
        </w:rPr>
      </w:pPr>
      <w:r>
        <w:rPr>
          <w:rFonts w:ascii="Arial" w:cs="Arial" w:eastAsia="Arial" w:hAnsi="Arial"/>
          <w:sz w:val="22"/>
          <w:szCs w:val="22"/>
          <w:color w:val="auto"/>
        </w:rPr>
        <w:t>authority and specimen signatures of each Person who executed this Agreement for or on behalf of the Company, and (iii) containing any other certification that the Agent shall reasonably request.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tabs>
          <w:tab w:leader="none" w:pos="8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Agent’s Own Account; Clients’ Account</w:t>
      </w:r>
      <w:r>
        <w:rPr>
          <w:rFonts w:ascii="Arial" w:cs="Arial" w:eastAsia="Arial" w:hAnsi="Arial"/>
          <w:sz w:val="22"/>
          <w:szCs w:val="22"/>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213" w:lineRule="exact"/>
        <w:rPr>
          <w:rFonts w:ascii="Arial" w:cs="Arial" w:eastAsia="Arial" w:hAnsi="Arial"/>
          <w:sz w:val="22"/>
          <w:szCs w:val="22"/>
          <w:color w:val="auto"/>
        </w:rPr>
      </w:pPr>
    </w:p>
    <w:p>
      <w:pPr>
        <w:jc w:val="both"/>
        <w:ind w:firstLine="615"/>
        <w:spacing w:after="0"/>
        <w:tabs>
          <w:tab w:leader="none" w:pos="843"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Investment Limitation</w:t>
      </w:r>
      <w:r>
        <w:rPr>
          <w:rFonts w:ascii="Arial" w:cs="Arial" w:eastAsia="Arial" w:hAnsi="Arial"/>
          <w:sz w:val="22"/>
          <w:szCs w:val="22"/>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213" w:lineRule="exact"/>
        <w:rPr>
          <w:rFonts w:ascii="Arial" w:cs="Arial" w:eastAsia="Arial" w:hAnsi="Arial"/>
          <w:sz w:val="22"/>
          <w:szCs w:val="22"/>
          <w:color w:val="auto"/>
        </w:rPr>
      </w:pPr>
    </w:p>
    <w:p>
      <w:pPr>
        <w:jc w:val="both"/>
        <w:ind w:firstLine="615"/>
        <w:spacing w:after="0" w:line="274" w:lineRule="auto"/>
        <w:tabs>
          <w:tab w:leader="none" w:pos="891"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Market Activities</w:t>
      </w:r>
      <w:r>
        <w:rPr>
          <w:rFonts w:ascii="Arial" w:cs="Arial" w:eastAsia="Arial" w:hAnsi="Arial"/>
          <w:sz w:val="19"/>
          <w:szCs w:val="19"/>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Arial" w:cs="Arial" w:eastAsia="Arial" w:hAnsi="Arial"/>
          <w:sz w:val="19"/>
          <w:szCs w:val="19"/>
          <w:b w:val="1"/>
          <w:bCs w:val="1"/>
          <w:color w:val="auto"/>
        </w:rPr>
        <w:t>Rule 102</w:t>
      </w:r>
      <w:r>
        <w:rPr>
          <w:rFonts w:ascii="Arial" w:cs="Arial" w:eastAsia="Arial" w:hAnsi="Arial"/>
          <w:sz w:val="19"/>
          <w:szCs w:val="19"/>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85" w:lineRule="exact"/>
        <w:rPr>
          <w:rFonts w:ascii="Arial" w:cs="Arial" w:eastAsia="Arial" w:hAnsi="Arial"/>
          <w:sz w:val="19"/>
          <w:szCs w:val="19"/>
          <w:color w:val="auto"/>
        </w:rPr>
      </w:pPr>
    </w:p>
    <w:p>
      <w:pPr>
        <w:jc w:val="both"/>
        <w:ind w:firstLine="615"/>
        <w:spacing w:after="0" w:line="270" w:lineRule="auto"/>
        <w:tabs>
          <w:tab w:leader="none" w:pos="904"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Notice of Other Sale</w:t>
      </w:r>
      <w:r>
        <w:rPr>
          <w:rFonts w:ascii="Arial" w:cs="Arial" w:eastAsia="Arial" w:hAnsi="Arial"/>
          <w:sz w:val="19"/>
          <w:szCs w:val="19"/>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(iii) issuance or sale of Common Shares or securities convertible into or exchangeable for Common Shares as consideration for mergers, acquisitions, other business combinations, joint ventures or strategic alliances occurring after the date of this Agreement that are not used for capital raising purposes provided that the aggregate number of shares issued pursuant to this clause (iii) shall not exceed 7.5% of the total number of outstanding Common Shares at such time, and (iv) modification of any outstanding options, warrants of any rights to purchase or acquire Common Shares.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CONDITIONS TO DELIVERY OF ISSUANCE NOTICES AND TO SETTLEMENT</w:t>
      </w:r>
    </w:p>
    <w:p>
      <w:pPr>
        <w:spacing w:after="0" w:line="239" w:lineRule="exact"/>
        <w:rPr>
          <w:sz w:val="20"/>
          <w:szCs w:val="20"/>
          <w:color w:val="auto"/>
        </w:rPr>
      </w:pPr>
    </w:p>
    <w:p>
      <w:pPr>
        <w:jc w:val="both"/>
        <w:ind w:firstLine="615"/>
        <w:spacing w:after="0" w:line="249" w:lineRule="auto"/>
        <w:tabs>
          <w:tab w:leader="none" w:pos="892" w:val="left"/>
        </w:tabs>
        <w:numPr>
          <w:ilvl w:val="1"/>
          <w:numId w:val="79"/>
        </w:numPr>
        <w:rPr>
          <w:rFonts w:ascii="Arial" w:cs="Arial" w:eastAsia="Arial" w:hAnsi="Arial"/>
          <w:sz w:val="21"/>
          <w:szCs w:val="21"/>
          <w:color w:val="auto"/>
        </w:rPr>
      </w:pPr>
      <w:r>
        <w:rPr>
          <w:rFonts w:ascii="Arial" w:cs="Arial" w:eastAsia="Arial" w:hAnsi="Arial"/>
          <w:sz w:val="21"/>
          <w:szCs w:val="21"/>
          <w:u w:val="single" w:color="auto"/>
          <w:color w:val="auto"/>
        </w:rPr>
        <w:t>Conditions Precedent to the Right of the Company to Deliver an Issuance Notice and the Obligation of the Agent to Sell Shares</w:t>
      </w:r>
      <w:r>
        <w:rPr>
          <w:rFonts w:ascii="Arial" w:cs="Arial" w:eastAsia="Arial" w:hAnsi="Arial"/>
          <w:sz w:val="21"/>
          <w:szCs w:val="21"/>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of each of the following conditions:</w:t>
      </w:r>
    </w:p>
    <w:p>
      <w:pPr>
        <w:spacing w:after="0" w:line="212" w:lineRule="exact"/>
        <w:rPr>
          <w:rFonts w:ascii="Arial" w:cs="Arial" w:eastAsia="Arial" w:hAnsi="Arial"/>
          <w:sz w:val="21"/>
          <w:szCs w:val="21"/>
          <w:color w:val="auto"/>
        </w:rPr>
      </w:pPr>
    </w:p>
    <w:p>
      <w:pPr>
        <w:jc w:val="both"/>
        <w:ind w:left="920" w:hanging="453"/>
        <w:spacing w:after="0" w:line="257" w:lineRule="auto"/>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4(m)</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920" w:hanging="453"/>
        <w:spacing w:after="0" w:line="311" w:lineRule="auto"/>
        <w:tabs>
          <w:tab w:leader="none" w:pos="92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w:t>
      </w:r>
    </w:p>
    <w:p>
      <w:pPr>
        <w:sectPr>
          <w:pgSz w:w="11900" w:h="16838" w:orient="portrait"/>
          <w:cols w:equalWidth="0" w:num="1">
            <w:col w:w="11240"/>
          </w:cols>
          <w:pgMar w:left="320" w:top="118" w:right="339" w:bottom="0" w:gutter="0" w:footer="0" w:header="0"/>
        </w:sectPr>
      </w:pPr>
    </w:p>
    <w:bookmarkStart w:id="74" w:name="page75"/>
    <w:bookmarkEnd w:id="74"/>
    <w:p>
      <w:pPr>
        <w:ind w:left="920" w:right="20"/>
        <w:spacing w:after="0" w:line="277" w:lineRule="auto"/>
        <w:rPr>
          <w:sz w:val="20"/>
          <w:szCs w:val="20"/>
          <w:color w:val="auto"/>
        </w:rPr>
      </w:pPr>
      <w:r>
        <w:rPr>
          <w:rFonts w:ascii="Arial" w:cs="Arial" w:eastAsia="Arial" w:hAnsi="Arial"/>
          <w:sz w:val="18"/>
          <w:szCs w:val="18"/>
          <w:color w:val="auto"/>
        </w:rPr>
        <w:t>and no proceeding shall have been commenced that may have the effect of prohibiting or materially adversely affecting any of the transactions contemplated by this Agreement.</w:t>
      </w:r>
    </w:p>
    <w:p>
      <w:pPr>
        <w:spacing w:after="0" w:line="170" w:lineRule="exact"/>
        <w:rPr>
          <w:sz w:val="20"/>
          <w:szCs w:val="20"/>
          <w:color w:val="auto"/>
        </w:rPr>
      </w:pPr>
    </w:p>
    <w:p>
      <w:pPr>
        <w:jc w:val="both"/>
        <w:ind w:left="920" w:hanging="453"/>
        <w:spacing w:after="0" w:line="275" w:lineRule="auto"/>
        <w:tabs>
          <w:tab w:leader="none" w:pos="92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Material Adverse Changes</w:t>
      </w:r>
      <w:r>
        <w:rPr>
          <w:rFonts w:ascii="Arial" w:cs="Arial" w:eastAsia="Arial" w:hAnsi="Arial"/>
          <w:sz w:val="17"/>
          <w:szCs w:val="17"/>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900" w:hanging="447"/>
        <w:spacing w:after="0" w:line="287"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No Suspension of Trading in or Delisting of Common Shares; Other Events</w:t>
      </w:r>
      <w:r>
        <w:rPr>
          <w:rFonts w:ascii="Arial" w:cs="Arial" w:eastAsia="Arial" w:hAnsi="Arial"/>
          <w:sz w:val="16"/>
          <w:szCs w:val="16"/>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87" w:lineRule="exact"/>
        <w:rPr>
          <w:rFonts w:ascii="Arial" w:cs="Arial" w:eastAsia="Arial" w:hAnsi="Arial"/>
          <w:sz w:val="16"/>
          <w:szCs w:val="16"/>
          <w:color w:val="auto"/>
        </w:rPr>
      </w:pPr>
    </w:p>
    <w:p>
      <w:pPr>
        <w:jc w:val="both"/>
        <w:ind w:firstLine="615"/>
        <w:spacing w:after="0" w:line="248" w:lineRule="auto"/>
        <w:tabs>
          <w:tab w:leader="none" w:pos="904"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Documents Required to be Delivered on each Issuance Notice Date</w:t>
      </w:r>
      <w:r>
        <w:rPr>
          <w:rFonts w:ascii="Arial" w:cs="Arial" w:eastAsia="Arial" w:hAnsi="Arial"/>
          <w:sz w:val="21"/>
          <w:szCs w:val="21"/>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203" w:lineRule="exact"/>
        <w:rPr>
          <w:rFonts w:ascii="Arial" w:cs="Arial" w:eastAsia="Arial" w:hAnsi="Arial"/>
          <w:sz w:val="21"/>
          <w:szCs w:val="21"/>
          <w:color w:val="auto"/>
        </w:rPr>
      </w:pPr>
    </w:p>
    <w:p>
      <w:pPr>
        <w:jc w:val="both"/>
        <w:ind w:firstLine="615"/>
        <w:spacing w:after="0" w:line="287" w:lineRule="auto"/>
        <w:tabs>
          <w:tab w:leader="none" w:pos="879"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Agent shall not have advised the Company that the Registration Statement, the Prospectus or the Times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INDEMNIFICATION AND CONTRIBUTION</w:t>
      </w:r>
    </w:p>
    <w:p>
      <w:pPr>
        <w:spacing w:after="0" w:line="239" w:lineRule="exact"/>
        <w:rPr>
          <w:sz w:val="20"/>
          <w:szCs w:val="20"/>
          <w:color w:val="auto"/>
        </w:rPr>
      </w:pPr>
    </w:p>
    <w:p>
      <w:pPr>
        <w:jc w:val="both"/>
        <w:ind w:firstLine="615"/>
        <w:spacing w:after="0" w:line="269" w:lineRule="auto"/>
        <w:tabs>
          <w:tab w:leader="none" w:pos="919"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Indemnification of the Agent</w:t>
      </w:r>
      <w:r>
        <w:rPr>
          <w:rFonts w:ascii="Arial" w:cs="Arial" w:eastAsia="Arial" w:hAnsi="Arial"/>
          <w:sz w:val="19"/>
          <w:szCs w:val="19"/>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Agent’s name in the Prospectus. The indemnity agreement set forth in this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shall be in addition to any liabilities that the Company may otherwise have.</w:t>
      </w:r>
    </w:p>
    <w:p>
      <w:pPr>
        <w:sectPr>
          <w:pgSz w:w="11900" w:h="16838" w:orient="portrait"/>
          <w:cols w:equalWidth="0" w:num="1">
            <w:col w:w="11240"/>
          </w:cols>
          <w:pgMar w:left="320" w:top="125" w:right="339" w:bottom="346" w:gutter="0" w:footer="0" w:header="0"/>
        </w:sectPr>
      </w:pPr>
    </w:p>
    <w:bookmarkStart w:id="75" w:name="page76"/>
    <w:bookmarkEnd w:id="75"/>
    <w:p>
      <w:pPr>
        <w:jc w:val="both"/>
        <w:ind w:firstLine="615"/>
        <w:spacing w:after="0" w:line="269" w:lineRule="auto"/>
        <w:tabs>
          <w:tab w:leader="none" w:pos="918"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Indemnification of the Company, its directors and officers</w:t>
      </w:r>
      <w:r>
        <w:rPr>
          <w:rFonts w:ascii="Arial" w:cs="Arial" w:eastAsia="Arial" w:hAnsi="Arial"/>
          <w:sz w:val="19"/>
          <w:szCs w:val="19"/>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name in the Prospectus, and to reimburse the Company and each such director, officer and controlling person for any and all documented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shall be in addition to any liabilities that the Agent or the Company may otherwise have.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69" w:lineRule="auto"/>
        <w:tabs>
          <w:tab w:leader="none" w:pos="879"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Notifications and Other Indemnification Procedures</w:t>
      </w:r>
      <w:r>
        <w:rPr>
          <w:rFonts w:ascii="Arial" w:cs="Arial" w:eastAsia="Arial" w:hAnsi="Arial"/>
          <w:sz w:val="19"/>
          <w:szCs w:val="19"/>
          <w:color w:val="auto"/>
        </w:rPr>
        <w:t xml:space="preserve">. Promptly after receipt by an indemnified party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w:t>
      </w:r>
      <w:r>
        <w:rPr>
          <w:rFonts w:ascii="Arial" w:cs="Arial" w:eastAsia="Arial" w:hAnsi="Arial"/>
          <w:sz w:val="19"/>
          <w:szCs w:val="19"/>
          <w:color w:val="auto"/>
        </w:rPr>
        <w:t xml:space="preserve"> of notice of the commencement of any action, such indemnified party will, if a claim in respect thereof is to be made against an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jc w:val="both"/>
        <w:ind w:firstLine="615"/>
        <w:spacing w:after="0" w:line="273" w:lineRule="auto"/>
        <w:tabs>
          <w:tab w:leader="none" w:pos="91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Settlements</w:t>
      </w:r>
      <w:r>
        <w:rPr>
          <w:rFonts w:ascii="Arial" w:cs="Arial" w:eastAsia="Arial" w:hAnsi="Arial"/>
          <w:sz w:val="19"/>
          <w:szCs w:val="19"/>
          <w:color w:val="auto"/>
        </w:rPr>
        <w:t xml:space="preserve">. The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w:t>
      </w:r>
    </w:p>
    <w:p>
      <w:pPr>
        <w:sectPr>
          <w:pgSz w:w="11900" w:h="16838" w:orient="portrait"/>
          <w:cols w:equalWidth="0" w:num="1">
            <w:col w:w="11240"/>
          </w:cols>
          <w:pgMar w:left="320" w:top="118" w:right="339" w:bottom="0" w:gutter="0" w:footer="0" w:header="0"/>
        </w:sectPr>
      </w:pPr>
    </w:p>
    <w:bookmarkStart w:id="76" w:name="page77"/>
    <w:bookmarkEnd w:id="76"/>
    <w:p>
      <w:pPr>
        <w:spacing w:after="0" w:line="251" w:lineRule="auto"/>
        <w:rPr>
          <w:sz w:val="20"/>
          <w:szCs w:val="20"/>
          <w:color w:val="auto"/>
        </w:rPr>
      </w:pPr>
      <w:r>
        <w:rPr>
          <w:rFonts w:ascii="Arial" w:cs="Arial" w:eastAsia="Arial" w:hAnsi="Arial"/>
          <w:sz w:val="22"/>
          <w:szCs w:val="22"/>
          <w:color w:val="auto"/>
        </w:rPr>
        <w:t>party, unless such settlement, compromise or consent includes an unconditional release of such indemnified party from all liability on claims that are the subject matter of such action, suit or proceeding.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0" w:lineRule="auto"/>
        <w:tabs>
          <w:tab w:leader="none" w:pos="906"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If the indemnification provided for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200" w:lineRule="exact"/>
        <w:rPr>
          <w:sz w:val="20"/>
          <w:szCs w:val="20"/>
          <w:color w:val="auto"/>
        </w:rPr>
      </w:pPr>
    </w:p>
    <w:p>
      <w:pPr>
        <w:spacing w:after="0" w:line="241" w:lineRule="exact"/>
        <w:rPr>
          <w:sz w:val="20"/>
          <w:szCs w:val="20"/>
          <w:color w:val="auto"/>
        </w:rPr>
      </w:pPr>
    </w:p>
    <w:p>
      <w:pPr>
        <w:jc w:val="both"/>
        <w:ind w:firstLine="607"/>
        <w:spacing w:after="0" w:line="248" w:lineRule="auto"/>
        <w:rPr>
          <w:sz w:val="20"/>
          <w:szCs w:val="20"/>
          <w:color w:val="auto"/>
        </w:rPr>
      </w:pPr>
      <w:r>
        <w:rPr>
          <w:rFonts w:ascii="Arial" w:cs="Arial" w:eastAsia="Arial" w:hAnsi="Arial"/>
          <w:sz w:val="21"/>
          <w:szCs w:val="21"/>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21"/>
          <w:szCs w:val="21"/>
          <w:u w:val="single" w:color="auto"/>
          <w:color w:val="auto"/>
        </w:rPr>
        <w:t>Section 6(b)</w:t>
      </w:r>
      <w:r>
        <w:rPr>
          <w:rFonts w:ascii="Arial" w:cs="Arial" w:eastAsia="Arial" w:hAnsi="Arial"/>
          <w:sz w:val="21"/>
          <w:szCs w:val="21"/>
          <w:color w:val="auto"/>
        </w:rPr>
        <w:t xml:space="preserve">, any legal or other fees or expenses reasonably incurred by such party in connection with investigating or defending any action or claim. The provisions set forth in </w:t>
      </w:r>
      <w:r>
        <w:rPr>
          <w:rFonts w:ascii="Arial" w:cs="Arial" w:eastAsia="Arial" w:hAnsi="Arial"/>
          <w:sz w:val="21"/>
          <w:szCs w:val="21"/>
          <w:u w:val="single" w:color="auto"/>
          <w:color w:val="auto"/>
        </w:rPr>
        <w:t>Section 6(b)</w:t>
      </w:r>
      <w:r>
        <w:rPr>
          <w:rFonts w:ascii="Arial" w:cs="Arial" w:eastAsia="Arial" w:hAnsi="Arial"/>
          <w:sz w:val="21"/>
          <w:szCs w:val="21"/>
          <w:color w:val="auto"/>
        </w:rPr>
        <w:t xml:space="preserve"> with respect to notice of commencement of any action shall apply if a claim for contribution is to be made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6(d)</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no additional notice shall be required with respect to any action for which notice has been given under </w:t>
      </w:r>
      <w:r>
        <w:rPr>
          <w:rFonts w:ascii="Arial" w:cs="Arial" w:eastAsia="Arial" w:hAnsi="Arial"/>
          <w:sz w:val="21"/>
          <w:szCs w:val="21"/>
          <w:u w:val="single" w:color="auto"/>
          <w:color w:val="auto"/>
        </w:rPr>
        <w:t>Section 6(b)</w:t>
      </w:r>
      <w:r>
        <w:rPr>
          <w:rFonts w:ascii="Arial" w:cs="Arial" w:eastAsia="Arial" w:hAnsi="Arial"/>
          <w:sz w:val="21"/>
          <w:szCs w:val="21"/>
          <w:color w:val="auto"/>
        </w:rPr>
        <w:t xml:space="preserve"> for purposes of indemnification.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607"/>
        <w:spacing w:after="0"/>
        <w:rPr>
          <w:sz w:val="20"/>
          <w:szCs w:val="20"/>
          <w:color w:val="auto"/>
        </w:rPr>
      </w:pPr>
      <w:r>
        <w:rPr>
          <w:rFonts w:ascii="Arial" w:cs="Arial" w:eastAsia="Arial" w:hAnsi="Arial"/>
          <w:sz w:val="22"/>
          <w:szCs w:val="22"/>
          <w:color w:val="auto"/>
        </w:rPr>
        <w:t xml:space="preserve">The Company and the Agent agree that it would not be just and equitable if contribution pursuant to this </w:t>
      </w:r>
      <w:r>
        <w:rPr>
          <w:rFonts w:ascii="Arial" w:cs="Arial" w:eastAsia="Arial" w:hAnsi="Arial"/>
          <w:sz w:val="22"/>
          <w:szCs w:val="22"/>
          <w:u w:val="single" w:color="auto"/>
          <w:color w:val="auto"/>
        </w:rPr>
        <w:t>Section 6(d)</w:t>
      </w:r>
      <w:r>
        <w:rPr>
          <w:rFonts w:ascii="Arial" w:cs="Arial" w:eastAsia="Arial" w:hAnsi="Arial"/>
          <w:sz w:val="22"/>
          <w:szCs w:val="22"/>
          <w:color w:val="auto"/>
        </w:rPr>
        <w:t xml:space="preserve"> were determined by pro rata allocation or by any other method of allocation which does not take account of the equitable considerations referred to in this </w:t>
      </w:r>
      <w:r>
        <w:rPr>
          <w:rFonts w:ascii="Arial" w:cs="Arial" w:eastAsia="Arial" w:hAnsi="Arial"/>
          <w:sz w:val="22"/>
          <w:szCs w:val="22"/>
          <w:u w:val="single" w:color="auto"/>
          <w:color w:val="auto"/>
        </w:rPr>
        <w:t>Section 6(d)</w:t>
      </w:r>
      <w:r>
        <w:rPr>
          <w:rFonts w:ascii="Arial" w:cs="Arial" w:eastAsia="Arial" w:hAnsi="Arial"/>
          <w:sz w:val="22"/>
          <w:szCs w:val="22"/>
          <w:color w:val="auto"/>
        </w:rPr>
        <w:t>.</w:t>
      </w:r>
    </w:p>
    <w:p>
      <w:pPr>
        <w:spacing w:after="0" w:line="213" w:lineRule="exact"/>
        <w:rPr>
          <w:sz w:val="20"/>
          <w:szCs w:val="20"/>
          <w:color w:val="auto"/>
        </w:rPr>
      </w:pPr>
    </w:p>
    <w:p>
      <w:pPr>
        <w:jc w:val="both"/>
        <w:ind w:firstLine="607"/>
        <w:spacing w:after="0" w:line="246" w:lineRule="auto"/>
        <w:rPr>
          <w:sz w:val="20"/>
          <w:szCs w:val="20"/>
          <w:color w:val="auto"/>
        </w:rPr>
      </w:pPr>
      <w:r>
        <w:rPr>
          <w:rFonts w:ascii="Arial" w:cs="Arial" w:eastAsia="Arial" w:hAnsi="Arial"/>
          <w:sz w:val="21"/>
          <w:szCs w:val="21"/>
          <w:color w:val="auto"/>
        </w:rPr>
        <w:t xml:space="preserve">Notwithstanding the provisions of this </w:t>
      </w:r>
      <w:r>
        <w:rPr>
          <w:rFonts w:ascii="Arial" w:cs="Arial" w:eastAsia="Arial" w:hAnsi="Arial"/>
          <w:sz w:val="21"/>
          <w:szCs w:val="21"/>
          <w:u w:val="single" w:color="auto"/>
          <w:color w:val="auto"/>
        </w:rPr>
        <w:t>Section 6(d)</w:t>
      </w:r>
      <w:r>
        <w:rPr>
          <w:rFonts w:ascii="Arial" w:cs="Arial" w:eastAsia="Arial" w:hAnsi="Arial"/>
          <w:sz w:val="21"/>
          <w:szCs w:val="21"/>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21"/>
          <w:szCs w:val="21"/>
          <w:u w:val="single" w:color="auto"/>
          <w:color w:val="auto"/>
        </w:rPr>
        <w:t>Section 6(d)</w:t>
      </w:r>
      <w:r>
        <w:rPr>
          <w:rFonts w:ascii="Arial" w:cs="Arial" w:eastAsia="Arial" w:hAnsi="Arial"/>
          <w:sz w:val="21"/>
          <w:szCs w:val="21"/>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TERMINATION &amp; SURVIVAL</w:t>
      </w:r>
    </w:p>
    <w:p>
      <w:pPr>
        <w:spacing w:after="0" w:line="239" w:lineRule="exact"/>
        <w:rPr>
          <w:sz w:val="20"/>
          <w:szCs w:val="20"/>
          <w:color w:val="auto"/>
        </w:rPr>
      </w:pPr>
    </w:p>
    <w:p>
      <w:pPr>
        <w:jc w:val="both"/>
        <w:ind w:right="20" w:firstLine="615"/>
        <w:spacing w:after="0"/>
        <w:tabs>
          <w:tab w:leader="none" w:pos="906"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ind w:left="900" w:hanging="447"/>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60" w:hanging="461"/>
        <w:spacing w:after="0" w:line="296" w:lineRule="auto"/>
        <w:tabs>
          <w:tab w:leader="none" w:pos="1360" w:val="left"/>
        </w:tabs>
        <w:numPr>
          <w:ilvl w:val="2"/>
          <w:numId w:val="88"/>
        </w:numPr>
        <w:rPr>
          <w:rFonts w:ascii="Arial" w:cs="Arial" w:eastAsia="Arial" w:hAnsi="Arial"/>
          <w:sz w:val="16"/>
          <w:szCs w:val="16"/>
          <w:color w:val="auto"/>
        </w:rPr>
      </w:pPr>
      <w:r>
        <w:rPr>
          <w:rFonts w:ascii="Arial" w:cs="Arial" w:eastAsia="Arial" w:hAnsi="Arial"/>
          <w:sz w:val="16"/>
          <w:szCs w:val="16"/>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(B)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61" w:lineRule="exact"/>
        <w:rPr>
          <w:rFonts w:ascii="Arial" w:cs="Arial" w:eastAsia="Arial" w:hAnsi="Arial"/>
          <w:sz w:val="16"/>
          <w:szCs w:val="16"/>
          <w:color w:val="auto"/>
        </w:rPr>
      </w:pPr>
    </w:p>
    <w:p>
      <w:pPr>
        <w:jc w:val="both"/>
        <w:ind w:left="1360" w:hanging="461"/>
        <w:spacing w:after="0" w:line="257" w:lineRule="auto"/>
        <w:tabs>
          <w:tab w:leader="none" w:pos="13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ectPr>
          <w:pgSz w:w="11900" w:h="16838" w:orient="portrait"/>
          <w:cols w:equalWidth="0" w:num="1">
            <w:col w:w="11240"/>
          </w:cols>
          <w:pgMar w:left="320" w:top="118" w:right="339" w:bottom="0" w:gutter="0" w:footer="0" w:header="0"/>
        </w:sectPr>
      </w:pPr>
    </w:p>
    <w:bookmarkStart w:id="77" w:name="page78"/>
    <w:bookmarkEnd w:id="77"/>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8. MISCELLANEOUS</w:t>
      </w:r>
    </w:p>
    <w:p>
      <w:pPr>
        <w:spacing w:after="0" w:line="239" w:lineRule="exact"/>
        <w:rPr>
          <w:sz w:val="20"/>
          <w:szCs w:val="20"/>
          <w:color w:val="auto"/>
        </w:rPr>
      </w:pPr>
    </w:p>
    <w:p>
      <w:pPr>
        <w:jc w:val="both"/>
        <w:ind w:firstLine="615"/>
        <w:spacing w:after="0" w:line="245" w:lineRule="exact"/>
        <w:tabs>
          <w:tab w:leader="none" w:pos="933"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Press Releases and Disclosure</w:t>
      </w:r>
      <w:r>
        <w:rPr>
          <w:rFonts w:ascii="Arial" w:cs="Arial" w:eastAsia="Arial" w:hAnsi="Arial"/>
          <w:sz w:val="21"/>
          <w:szCs w:val="21"/>
          <w:color w:val="auto"/>
        </w:rPr>
        <w:t>. The Company may issue a press release describing the material terms of the transactions contemplated hereby as soon as practicable following the date of this Agreement, and may file with the Commission a Current Report on Form 8</w:t>
      </w:r>
      <w:r>
        <w:rPr>
          <w:rFonts w:ascii="MS PGothic" w:cs="MS PGothic" w:eastAsia="MS PGothic" w:hAnsi="MS PGothic"/>
          <w:sz w:val="21"/>
          <w:szCs w:val="21"/>
          <w:color w:val="auto"/>
        </w:rPr>
        <w:t>‑</w:t>
      </w:r>
      <w:r>
        <w:rPr>
          <w:rFonts w:ascii="Arial" w:cs="Arial" w:eastAsia="Arial" w:hAnsi="Arial"/>
          <w:sz w:val="21"/>
          <w:szCs w:val="21"/>
          <w:color w:val="auto"/>
        </w:rPr>
        <w:t>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23" w:lineRule="exact"/>
        <w:rPr>
          <w:rFonts w:ascii="Arial" w:cs="Arial" w:eastAsia="Arial" w:hAnsi="Arial"/>
          <w:sz w:val="21"/>
          <w:szCs w:val="21"/>
          <w:color w:val="auto"/>
        </w:rPr>
      </w:pPr>
    </w:p>
    <w:p>
      <w:pPr>
        <w:jc w:val="both"/>
        <w:ind w:firstLine="615"/>
        <w:spacing w:after="0" w:line="273" w:lineRule="auto"/>
        <w:tabs>
          <w:tab w:leader="none" w:pos="891"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 Advisory or Fiduciary Relationship</w:t>
      </w:r>
      <w:r>
        <w:rPr>
          <w:rFonts w:ascii="Arial" w:cs="Arial" w:eastAsia="Arial" w:hAnsi="Arial"/>
          <w:sz w:val="19"/>
          <w:szCs w:val="19"/>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82" w:lineRule="exact"/>
        <w:rPr>
          <w:rFonts w:ascii="Arial" w:cs="Arial" w:eastAsia="Arial" w:hAnsi="Arial"/>
          <w:sz w:val="19"/>
          <w:szCs w:val="19"/>
          <w:color w:val="auto"/>
        </w:rPr>
      </w:pPr>
    </w:p>
    <w:p>
      <w:pPr>
        <w:jc w:val="both"/>
        <w:ind w:firstLine="615"/>
        <w:spacing w:after="0" w:line="246" w:lineRule="auto"/>
        <w:tabs>
          <w:tab w:leader="none" w:pos="946"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Research Analyst Independence</w:t>
      </w:r>
      <w:r>
        <w:rPr>
          <w:rFonts w:ascii="Arial" w:cs="Arial" w:eastAsia="Arial" w:hAnsi="Arial"/>
          <w:sz w:val="21"/>
          <w:szCs w:val="21"/>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15"/>
        <w:spacing w:after="0" w:line="250" w:lineRule="auto"/>
        <w:tabs>
          <w:tab w:leader="none" w:pos="918"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hereunder shall be in writing and shall be mailed, hand delivered or telecopied and confirmed to the parties hereto as follows: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If to the Agent:</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Jefferies LLC</w:t>
      </w:r>
    </w:p>
    <w:p>
      <w:pPr>
        <w:ind w:left="1020"/>
        <w:spacing w:after="0" w:line="238" w:lineRule="auto"/>
        <w:rPr>
          <w:sz w:val="20"/>
          <w:szCs w:val="20"/>
          <w:color w:val="auto"/>
        </w:rPr>
      </w:pPr>
      <w:r>
        <w:rPr>
          <w:rFonts w:ascii="Arial" w:cs="Arial" w:eastAsia="Arial" w:hAnsi="Arial"/>
          <w:sz w:val="22"/>
          <w:szCs w:val="22"/>
          <w:color w:val="auto"/>
        </w:rPr>
        <w:t>520 Madison Avenue</w:t>
      </w:r>
    </w:p>
    <w:p>
      <w:pPr>
        <w:ind w:left="1020"/>
        <w:spacing w:after="0" w:line="230" w:lineRule="auto"/>
        <w:rPr>
          <w:sz w:val="20"/>
          <w:szCs w:val="20"/>
          <w:color w:val="auto"/>
        </w:rPr>
      </w:pPr>
      <w:r>
        <w:rPr>
          <w:rFonts w:ascii="Arial" w:cs="Arial" w:eastAsia="Arial" w:hAnsi="Arial"/>
          <w:sz w:val="22"/>
          <w:szCs w:val="22"/>
          <w:color w:val="auto"/>
        </w:rPr>
        <w:t>New York, NY 10022</w:t>
      </w:r>
    </w:p>
    <w:p>
      <w:pPr>
        <w:ind w:left="1020"/>
        <w:spacing w:after="0" w:line="231" w:lineRule="auto"/>
        <w:rPr>
          <w:sz w:val="20"/>
          <w:szCs w:val="20"/>
          <w:color w:val="auto"/>
        </w:rPr>
      </w:pPr>
      <w:r>
        <w:rPr>
          <w:rFonts w:ascii="Arial" w:cs="Arial" w:eastAsia="Arial" w:hAnsi="Arial"/>
          <w:sz w:val="22"/>
          <w:szCs w:val="22"/>
          <w:color w:val="auto"/>
        </w:rPr>
        <w:t>Facsimile: (646) 619-4437</w:t>
      </w:r>
    </w:p>
    <w:p>
      <w:pPr>
        <w:ind w:left="102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Wilmer Cutler Pickering Hale and Dorr LLP</w:t>
      </w:r>
    </w:p>
    <w:p>
      <w:pPr>
        <w:ind w:left="1020"/>
        <w:spacing w:after="0" w:line="238" w:lineRule="auto"/>
        <w:rPr>
          <w:sz w:val="20"/>
          <w:szCs w:val="20"/>
          <w:color w:val="auto"/>
        </w:rPr>
      </w:pPr>
      <w:r>
        <w:rPr>
          <w:rFonts w:ascii="Arial" w:cs="Arial" w:eastAsia="Arial" w:hAnsi="Arial"/>
          <w:sz w:val="22"/>
          <w:szCs w:val="22"/>
          <w:color w:val="auto"/>
        </w:rPr>
        <w:t>7 World Trade Center</w:t>
      </w:r>
    </w:p>
    <w:p>
      <w:pPr>
        <w:ind w:left="1020"/>
        <w:spacing w:after="0" w:line="230" w:lineRule="auto"/>
        <w:rPr>
          <w:sz w:val="20"/>
          <w:szCs w:val="20"/>
          <w:color w:val="auto"/>
        </w:rPr>
      </w:pPr>
      <w:r>
        <w:rPr>
          <w:rFonts w:ascii="Arial" w:cs="Arial" w:eastAsia="Arial" w:hAnsi="Arial"/>
          <w:sz w:val="22"/>
          <w:szCs w:val="22"/>
          <w:color w:val="auto"/>
        </w:rPr>
        <w:t>250 Greenwich Street</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New York, NY 10007 Facsimile: (212) 230-8888 Attention: Lisa Firenze</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ADMA Biologics, Inc. 465 State Route 17</w:t>
      </w:r>
    </w:p>
    <w:p>
      <w:pPr>
        <w:sectPr>
          <w:pgSz w:w="11900" w:h="16880" w:orient="portrait"/>
          <w:cols w:equalWidth="0" w:num="1">
            <w:col w:w="11240"/>
          </w:cols>
          <w:pgMar w:left="320" w:top="584" w:right="339" w:bottom="0" w:gutter="0" w:footer="0" w:header="0"/>
        </w:sectPr>
      </w:pPr>
    </w:p>
    <w:bookmarkStart w:id="78" w:name="page79"/>
    <w:bookmarkEnd w:id="78"/>
    <w:p>
      <w:pPr>
        <w:ind w:left="1020"/>
        <w:spacing w:after="0"/>
        <w:rPr>
          <w:sz w:val="20"/>
          <w:szCs w:val="20"/>
          <w:color w:val="auto"/>
        </w:rPr>
      </w:pPr>
      <w:r>
        <w:rPr>
          <w:rFonts w:ascii="Arial" w:cs="Arial" w:eastAsia="Arial" w:hAnsi="Arial"/>
          <w:sz w:val="22"/>
          <w:szCs w:val="22"/>
          <w:color w:val="auto"/>
        </w:rPr>
        <w:t>Ramsey, New Jersey 07466</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Attention: Adam S. Grossman</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Morgan, Lewis &amp; Bockius LLP 502 Carnegie Center</w:t>
      </w:r>
    </w:p>
    <w:p>
      <w:pPr>
        <w:ind w:left="1020"/>
        <w:spacing w:after="0" w:line="238" w:lineRule="auto"/>
        <w:rPr>
          <w:sz w:val="20"/>
          <w:szCs w:val="20"/>
          <w:color w:val="auto"/>
        </w:rPr>
      </w:pPr>
      <w:r>
        <w:rPr>
          <w:rFonts w:ascii="Arial" w:cs="Arial" w:eastAsia="Arial" w:hAnsi="Arial"/>
          <w:sz w:val="22"/>
          <w:szCs w:val="22"/>
          <w:color w:val="auto"/>
        </w:rPr>
        <w:t>Princeton, NJ 08540-0621</w:t>
      </w:r>
    </w:p>
    <w:p>
      <w:pPr>
        <w:ind w:left="1020"/>
        <w:spacing w:after="0"/>
        <w:rPr>
          <w:sz w:val="20"/>
          <w:szCs w:val="20"/>
          <w:color w:val="auto"/>
        </w:rPr>
      </w:pPr>
      <w:r>
        <w:rPr>
          <w:rFonts w:ascii="Arial" w:cs="Arial" w:eastAsia="Arial" w:hAnsi="Arial"/>
          <w:sz w:val="22"/>
          <w:szCs w:val="22"/>
          <w:color w:val="auto"/>
        </w:rPr>
        <w:t>Attention: David C. Schwartz</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Any party hereto may change the address for receipt of communications by giving written notice to the others in accordance with this </w:t>
      </w:r>
      <w:r>
        <w:rPr>
          <w:rFonts w:ascii="Arial" w:cs="Arial" w:eastAsia="Arial" w:hAnsi="Arial"/>
          <w:sz w:val="22"/>
          <w:szCs w:val="22"/>
          <w:u w:val="single" w:color="auto"/>
          <w:color w:val="auto"/>
        </w:rPr>
        <w:t>Section 8(d)</w:t>
      </w:r>
      <w:r>
        <w:rPr>
          <w:rFonts w:ascii="Arial" w:cs="Arial" w:eastAsia="Arial" w:hAnsi="Arial"/>
          <w:sz w:val="22"/>
          <w:szCs w:val="22"/>
          <w:color w:val="auto"/>
        </w:rPr>
        <w:t>.</w:t>
      </w:r>
    </w:p>
    <w:p>
      <w:pPr>
        <w:spacing w:after="0" w:line="202" w:lineRule="exact"/>
        <w:rPr>
          <w:sz w:val="20"/>
          <w:szCs w:val="20"/>
          <w:color w:val="auto"/>
        </w:rPr>
      </w:pPr>
    </w:p>
    <w:p>
      <w:pPr>
        <w:jc w:val="both"/>
        <w:ind w:firstLine="615"/>
        <w:spacing w:after="0" w:line="252" w:lineRule="auto"/>
        <w:tabs>
          <w:tab w:leader="none" w:pos="879"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21"/>
          <w:szCs w:val="21"/>
          <w:u w:val="single" w:color="auto"/>
          <w:color w:val="auto"/>
        </w:rPr>
        <w:t>Section 6</w:t>
      </w:r>
      <w:r>
        <w:rPr>
          <w:rFonts w:ascii="Arial" w:cs="Arial" w:eastAsia="Arial" w:hAnsi="Arial"/>
          <w:sz w:val="21"/>
          <w:szCs w:val="21"/>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200" w:lineRule="exact"/>
        <w:rPr>
          <w:rFonts w:ascii="Arial" w:cs="Arial" w:eastAsia="Arial" w:hAnsi="Arial"/>
          <w:sz w:val="21"/>
          <w:szCs w:val="21"/>
          <w:color w:val="auto"/>
        </w:rPr>
      </w:pPr>
    </w:p>
    <w:p>
      <w:pPr>
        <w:jc w:val="both"/>
        <w:ind w:firstLine="615"/>
        <w:spacing w:after="0" w:line="287" w:lineRule="auto"/>
        <w:tabs>
          <w:tab w:leader="none" w:pos="88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Partial Unenforceability</w:t>
      </w:r>
      <w:r>
        <w:rPr>
          <w:rFonts w:ascii="Arial" w:cs="Arial" w:eastAsia="Arial" w:hAnsi="Arial"/>
          <w:sz w:val="19"/>
          <w:szCs w:val="19"/>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15"/>
        <w:spacing w:after="0" w:line="272" w:lineRule="auto"/>
        <w:tabs>
          <w:tab w:leader="none" w:pos="891"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Governing Law Provisions</w:t>
      </w:r>
      <w:r>
        <w:rPr>
          <w:rFonts w:ascii="Arial" w:cs="Arial" w:eastAsia="Arial" w:hAnsi="Arial"/>
          <w:sz w:val="19"/>
          <w:szCs w:val="19"/>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9"/>
          <w:szCs w:val="19"/>
          <w:b w:val="1"/>
          <w:bCs w:val="1"/>
          <w:color w:val="auto"/>
        </w:rPr>
        <w:t>Related Proceedings</w:t>
      </w:r>
      <w:r>
        <w:rPr>
          <w:rFonts w:ascii="Arial" w:cs="Arial" w:eastAsia="Arial" w:hAnsi="Arial"/>
          <w:sz w:val="19"/>
          <w:szCs w:val="19"/>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9"/>
          <w:szCs w:val="19"/>
          <w:b w:val="1"/>
          <w:bCs w:val="1"/>
          <w:color w:val="auto"/>
        </w:rPr>
        <w:t>Specified</w:t>
      </w:r>
      <w:r>
        <w:rPr>
          <w:rFonts w:ascii="Arial" w:cs="Arial" w:eastAsia="Arial" w:hAnsi="Arial"/>
          <w:sz w:val="19"/>
          <w:szCs w:val="19"/>
          <w:color w:val="auto"/>
        </w:rPr>
        <w:t xml:space="preserve"> </w:t>
      </w:r>
      <w:r>
        <w:rPr>
          <w:rFonts w:ascii="Arial" w:cs="Arial" w:eastAsia="Arial" w:hAnsi="Arial"/>
          <w:sz w:val="19"/>
          <w:szCs w:val="19"/>
          <w:b w:val="1"/>
          <w:bCs w:val="1"/>
          <w:color w:val="auto"/>
        </w:rPr>
        <w:t>Courts</w:t>
      </w:r>
      <w:r>
        <w:rPr>
          <w:rFonts w:ascii="Arial" w:cs="Arial" w:eastAsia="Arial" w:hAnsi="Arial"/>
          <w:sz w:val="19"/>
          <w:szCs w:val="19"/>
          <w:color w:val="auto"/>
        </w:rPr>
        <w:t>”), and each party irrevocably submits to the exclusive jurisdiction (except for proceedings instituted in regard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enforcement of a judgment of any such court (a “</w:t>
      </w:r>
      <w:r>
        <w:rPr>
          <w:rFonts w:ascii="Arial" w:cs="Arial" w:eastAsia="Arial" w:hAnsi="Arial"/>
          <w:sz w:val="19"/>
          <w:szCs w:val="19"/>
          <w:b w:val="1"/>
          <w:bCs w:val="1"/>
          <w:color w:val="auto"/>
        </w:rPr>
        <w:t>Related Judgment</w:t>
      </w:r>
      <w:r>
        <w:rPr>
          <w:rFonts w:ascii="Arial" w:cs="Arial" w:eastAsia="Arial" w:hAnsi="Arial"/>
          <w:sz w:val="19"/>
          <w:szCs w:val="19"/>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7" w:lineRule="exact"/>
        <w:rPr>
          <w:rFonts w:ascii="Arial" w:cs="Arial" w:eastAsia="Arial" w:hAnsi="Arial"/>
          <w:sz w:val="19"/>
          <w:szCs w:val="19"/>
          <w:color w:val="auto"/>
        </w:rPr>
      </w:pPr>
    </w:p>
    <w:p>
      <w:pPr>
        <w:jc w:val="both"/>
        <w:ind w:firstLine="615"/>
        <w:spacing w:after="0" w:line="275" w:lineRule="auto"/>
        <w:tabs>
          <w:tab w:leader="none" w:pos="90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84" w:lineRule="exact"/>
        <w:rPr>
          <w:rFonts w:ascii="Arial" w:cs="Arial" w:eastAsia="Arial" w:hAnsi="Arial"/>
          <w:sz w:val="19"/>
          <w:szCs w:val="19"/>
          <w:color w:val="auto"/>
        </w:rPr>
      </w:pPr>
    </w:p>
    <w:p>
      <w:pPr>
        <w:jc w:val="both"/>
        <w:ind w:firstLine="615"/>
        <w:spacing w:after="0" w:line="277" w:lineRule="auto"/>
        <w:tabs>
          <w:tab w:leader="none" w:pos="85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Counterparts; Electronic Signatures.</w:t>
      </w:r>
      <w:r>
        <w:rPr>
          <w:rFonts w:ascii="Arial" w:cs="Arial" w:eastAsia="Arial" w:hAnsi="Arial"/>
          <w:sz w:val="19"/>
          <w:szCs w:val="19"/>
          <w:color w:val="auto"/>
        </w:rPr>
        <w:t xml:space="preserve"> This Agreement may be executed in any number of counterparts, each of which shall be deemed to be an original, but all such counterparts shall together constitute one and the same Agreement. Delivery of an executed Agreement by one party to the other may be made by facsimile, electronic mail or other transmission method as permitted by applicable law, and the parties hereto agree that any counterpart so delivered shall be deemed to have been duly and validly delivered and be valid and effective for all purposes.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Immediately Follows]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07"/>
        <w:spacing w:after="0"/>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ectPr>
          <w:pgSz w:w="11900" w:h="16838" w:orient="portrait"/>
          <w:cols w:equalWidth="0" w:num="1">
            <w:col w:w="11240"/>
          </w:cols>
          <w:pgMar w:left="320" w:top="118" w:right="339" w:bottom="0" w:gutter="0" w:footer="0" w:header="0"/>
        </w:sectPr>
      </w:pPr>
    </w:p>
    <w:bookmarkStart w:id="79" w:name="page80"/>
    <w:bookmarkEnd w:id="79"/>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Adam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Adam Grossman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President and Chief Executive Officer</w:t>
      </w:r>
    </w:p>
    <w:p>
      <w:pPr>
        <w:spacing w:after="0" w:line="231" w:lineRule="exact"/>
        <w:rPr>
          <w:sz w:val="20"/>
          <w:szCs w:val="20"/>
          <w:color w:val="auto"/>
        </w:rPr>
      </w:pPr>
    </w:p>
    <w:p>
      <w:pPr>
        <w:ind w:right="500" w:firstLine="607"/>
        <w:spacing w:after="0" w:line="250" w:lineRule="auto"/>
        <w:rPr>
          <w:sz w:val="20"/>
          <w:szCs w:val="20"/>
          <w:color w:val="auto"/>
        </w:rPr>
      </w:pPr>
      <w:r>
        <w:rPr>
          <w:rFonts w:ascii="Arial" w:cs="Arial" w:eastAsia="Arial" w:hAnsi="Arial"/>
          <w:sz w:val="22"/>
          <w:szCs w:val="22"/>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JEFFERIES LLC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Kevin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8097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ind w:left="420"/>
        <w:spacing w:after="0" w:line="238" w:lineRule="auto"/>
        <w:rPr>
          <w:sz w:val="20"/>
          <w:szCs w:val="20"/>
          <w:color w:val="auto"/>
        </w:rPr>
      </w:pPr>
      <w:r>
        <w:rPr>
          <w:rFonts w:ascii="Arial" w:cs="Arial" w:eastAsia="Arial" w:hAnsi="Arial"/>
          <w:sz w:val="22"/>
          <w:szCs w:val="22"/>
          <w:color w:val="auto"/>
        </w:rPr>
        <w:t>Name: Kevin Sheridan</w:t>
      </w:r>
    </w:p>
    <w:p>
      <w:pPr>
        <w:ind w:left="42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ISSUANCE NOTICE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38" w:lineRule="auto"/>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Attn: [__________]</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Reference is made to the Open Market Sale Agreement between __________ (the “</w:t>
      </w:r>
      <w:r>
        <w:rPr>
          <w:rFonts w:ascii="Arial" w:cs="Arial" w:eastAsia="Arial" w:hAnsi="Arial"/>
          <w:sz w:val="19"/>
          <w:szCs w:val="19"/>
          <w:b w:val="1"/>
          <w:bCs w:val="1"/>
          <w:color w:val="auto"/>
        </w:rPr>
        <w:t>Company</w:t>
      </w:r>
      <w:r>
        <w:rPr>
          <w:rFonts w:ascii="Arial" w:cs="Arial" w:eastAsia="Arial" w:hAnsi="Arial"/>
          <w:sz w:val="19"/>
          <w:szCs w:val="19"/>
          <w:color w:val="auto"/>
        </w:rPr>
        <w:t>”) and Jefferies LLC (the “</w:t>
      </w:r>
      <w:r>
        <w:rPr>
          <w:rFonts w:ascii="Arial" w:cs="Arial" w:eastAsia="Arial" w:hAnsi="Arial"/>
          <w:sz w:val="19"/>
          <w:szCs w:val="19"/>
          <w:b w:val="1"/>
          <w:bCs w:val="1"/>
          <w:color w:val="auto"/>
        </w:rPr>
        <w:t>Agent</w:t>
      </w:r>
      <w:r>
        <w:rPr>
          <w:rFonts w:ascii="Arial" w:cs="Arial" w:eastAsia="Arial" w:hAnsi="Arial"/>
          <w:sz w:val="19"/>
          <w:szCs w:val="19"/>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dated as of ________ ___, 20__. The Company confirms that all conditions to the delivery of this Issuance Notice are satisfied as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of the date hereof.</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of Delivery of Issuance Notice (determined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Issuance Amount (equal to the total Sales Price for such Shares):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60" w:type="dxa"/>
            <w:vAlign w:val="bottom"/>
          </w:tcPr>
          <w:p>
            <w:pPr>
              <w:spacing w:after="0"/>
              <w:rPr>
                <w:sz w:val="23"/>
                <w:szCs w:val="23"/>
                <w:color w:val="auto"/>
              </w:rPr>
            </w:pPr>
          </w:p>
        </w:tc>
        <w:tc>
          <w:tcPr>
            <w:tcW w:w="3420" w:type="dxa"/>
            <w:vAlign w:val="bottom"/>
          </w:tcPr>
          <w:p>
            <w:pPr>
              <w:jc w:val="right"/>
              <w:ind w:right="552"/>
              <w:spacing w:after="0"/>
              <w:rPr>
                <w:sz w:val="20"/>
                <w:szCs w:val="20"/>
                <w:color w:val="auto"/>
              </w:rPr>
            </w:pPr>
            <w:r>
              <w:rPr>
                <w:rFonts w:ascii="Arial" w:cs="Arial" w:eastAsia="Arial" w:hAnsi="Arial"/>
                <w:sz w:val="22"/>
                <w:szCs w:val="22"/>
                <w:color w:val="auto"/>
                <w:w w:val="93"/>
              </w:rPr>
              <w:t>$_______________________</w:t>
            </w:r>
          </w:p>
        </w:tc>
      </w:tr>
      <w:tr>
        <w:trPr>
          <w:trHeight w:val="486"/>
        </w:trPr>
        <w:tc>
          <w:tcPr>
            <w:tcW w:w="3060" w:type="dxa"/>
            <w:vAlign w:val="bottom"/>
          </w:tcPr>
          <w:p>
            <w:pPr>
              <w:spacing w:after="0"/>
              <w:rPr>
                <w:sz w:val="20"/>
                <w:szCs w:val="20"/>
                <w:color w:val="auto"/>
              </w:rPr>
            </w:pPr>
            <w:r>
              <w:rPr>
                <w:rFonts w:ascii="Arial" w:cs="Arial" w:eastAsia="Arial" w:hAnsi="Arial"/>
                <w:sz w:val="22"/>
                <w:szCs w:val="22"/>
                <w:color w:val="auto"/>
                <w:w w:val="94"/>
              </w:rPr>
              <w:t>Number of days in selling period:</w:t>
            </w:r>
          </w:p>
        </w:tc>
        <w:tc>
          <w:tcPr>
            <w:tcW w:w="3420" w:type="dxa"/>
            <w:vAlign w:val="bottom"/>
          </w:tcPr>
          <w:p>
            <w:pPr>
              <w:jc w:val="right"/>
              <w:spacing w:after="0"/>
              <w:rPr>
                <w:sz w:val="20"/>
                <w:szCs w:val="20"/>
                <w:color w:val="auto"/>
              </w:rPr>
            </w:pPr>
            <w:r>
              <w:rPr>
                <w:rFonts w:ascii="Arial" w:cs="Arial" w:eastAsia="Arial" w:hAnsi="Arial"/>
                <w:sz w:val="22"/>
                <w:szCs w:val="22"/>
                <w:color w:val="auto"/>
              </w:rPr>
              <w:t>________________________</w:t>
            </w:r>
          </w:p>
        </w:tc>
      </w:tr>
      <w:tr>
        <w:trPr>
          <w:trHeight w:val="486"/>
        </w:trPr>
        <w:tc>
          <w:tcPr>
            <w:tcW w:w="3060" w:type="dxa"/>
            <w:vAlign w:val="bottom"/>
          </w:tcPr>
          <w:p>
            <w:pPr>
              <w:spacing w:after="0"/>
              <w:rPr>
                <w:sz w:val="20"/>
                <w:szCs w:val="20"/>
                <w:color w:val="auto"/>
              </w:rPr>
            </w:pPr>
            <w:r>
              <w:rPr>
                <w:rFonts w:ascii="Arial" w:cs="Arial" w:eastAsia="Arial" w:hAnsi="Arial"/>
                <w:sz w:val="22"/>
                <w:szCs w:val="22"/>
                <w:color w:val="auto"/>
              </w:rPr>
              <w:t>First date of selling period:</w:t>
            </w:r>
          </w:p>
        </w:tc>
        <w:tc>
          <w:tcPr>
            <w:tcW w:w="3420" w:type="dxa"/>
            <w:vAlign w:val="bottom"/>
          </w:tcPr>
          <w:p>
            <w:pPr>
              <w:jc w:val="right"/>
              <w:spacing w:after="0"/>
              <w:rPr>
                <w:sz w:val="20"/>
                <w:szCs w:val="20"/>
                <w:color w:val="auto"/>
              </w:rPr>
            </w:pPr>
            <w:r>
              <w:rPr>
                <w:rFonts w:ascii="Arial" w:cs="Arial" w:eastAsia="Arial" w:hAnsi="Arial"/>
                <w:sz w:val="22"/>
                <w:szCs w:val="22"/>
                <w:color w:val="auto"/>
              </w:rPr>
              <w:t>_______________________</w:t>
            </w:r>
          </w:p>
        </w:tc>
      </w:tr>
      <w:tr>
        <w:trPr>
          <w:trHeight w:val="486"/>
        </w:trPr>
        <w:tc>
          <w:tcPr>
            <w:tcW w:w="3060" w:type="dxa"/>
            <w:vAlign w:val="bottom"/>
          </w:tcPr>
          <w:p>
            <w:pPr>
              <w:spacing w:after="0"/>
              <w:rPr>
                <w:sz w:val="20"/>
                <w:szCs w:val="20"/>
                <w:color w:val="auto"/>
              </w:rPr>
            </w:pPr>
            <w:r>
              <w:rPr>
                <w:rFonts w:ascii="Arial" w:cs="Arial" w:eastAsia="Arial" w:hAnsi="Arial"/>
                <w:sz w:val="22"/>
                <w:szCs w:val="22"/>
                <w:color w:val="auto"/>
              </w:rPr>
              <w:t>Last date of selling period:</w:t>
            </w:r>
          </w:p>
        </w:tc>
        <w:tc>
          <w:tcPr>
            <w:tcW w:w="3420" w:type="dxa"/>
            <w:vAlign w:val="bottom"/>
          </w:tcPr>
          <w:p>
            <w:pPr>
              <w:jc w:val="right"/>
              <w:spacing w:after="0"/>
              <w:rPr>
                <w:sz w:val="20"/>
                <w:szCs w:val="20"/>
                <w:color w:val="auto"/>
              </w:rPr>
            </w:pPr>
            <w:r>
              <w:rPr>
                <w:rFonts w:ascii="Arial" w:cs="Arial" w:eastAsia="Arial" w:hAnsi="Arial"/>
                <w:sz w:val="22"/>
                <w:szCs w:val="22"/>
                <w:color w:val="auto"/>
              </w:rPr>
              <w:t>_______________________</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Settlement Date(s) if other than standard T+2 settlement:</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_______________________</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Floor Price Limitation (in no event less than $1.00 without the prior written consent of the Agent, which consent may be withheld in the Agent’s sole discretion): $ ____ per share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Comments: __________________________________________________________________</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______________________________</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6350</wp:posOffset>
            </wp:positionV>
            <wp:extent cx="22542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80" w:name="page81"/>
    <w:bookmarkEnd w:id="80"/>
    <w:p>
      <w:pPr>
        <w:jc w:val="center"/>
        <w:ind w:right="-139"/>
        <w:spacing w:after="0"/>
        <w:rPr>
          <w:sz w:val="20"/>
          <w:szCs w:val="20"/>
          <w:color w:val="auto"/>
        </w:rPr>
      </w:pPr>
      <w:r>
        <w:rPr>
          <w:rFonts w:ascii="Arial" w:cs="Arial" w:eastAsia="Arial" w:hAnsi="Arial"/>
          <w:sz w:val="22"/>
          <w:szCs w:val="22"/>
          <w:b w:val="1"/>
          <w:bCs w:val="1"/>
          <w:color w:val="auto"/>
        </w:rPr>
        <w:t>Schedule A</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Subsidiaries</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entities listed on Exhibit 21.1 to the company’s Annual Report on Form 10-K for the fiscal year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1024255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B</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Notice Parties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Adam Grossman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Brian Lenz</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Agent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Michael Magarro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571" w:right="47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2488565</wp:posOffset>
            </wp:positionV>
            <wp:extent cx="7132320" cy="12687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August 5, 2020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ADMA Biologics, Inc.</w:t>
      </w:r>
    </w:p>
    <w:p>
      <w:pPr>
        <w:spacing w:after="0" w:line="238" w:lineRule="auto"/>
        <w:rPr>
          <w:sz w:val="20"/>
          <w:szCs w:val="20"/>
          <w:color w:val="auto"/>
        </w:rPr>
      </w:pPr>
      <w:r>
        <w:rPr>
          <w:rFonts w:ascii="Arial" w:cs="Arial" w:eastAsia="Arial" w:hAnsi="Arial"/>
          <w:sz w:val="22"/>
          <w:szCs w:val="22"/>
          <w:color w:val="auto"/>
        </w:rPr>
        <w:t>465 Route 17</w:t>
      </w:r>
    </w:p>
    <w:p>
      <w:pPr>
        <w:spacing w:after="0"/>
        <w:rPr>
          <w:sz w:val="20"/>
          <w:szCs w:val="20"/>
          <w:color w:val="auto"/>
        </w:rPr>
      </w:pPr>
      <w:r>
        <w:rPr>
          <w:rFonts w:ascii="Arial" w:cs="Arial" w:eastAsia="Arial" w:hAnsi="Arial"/>
          <w:sz w:val="22"/>
          <w:szCs w:val="22"/>
          <w:color w:val="auto"/>
        </w:rPr>
        <w:t>Ramsey, NJ 07446</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ADMA Biologics, Inc., Registration Statement on Form S-3 (File No. 333-234107)</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have acted as counsel to ADMA Biologics, Inc., a Delaware corporation (the “Company”), in connection with the filing of a prospectus supplement, dated August 5, 2020 (the “Prospectus”), by the Company with the Securities and Exchange Commission (the “Commission”) on August 5, 2020 pursuant to Rule 424(b)(5) of the Securities Act of 1933, as amended (the “Act”), relating to the offer and sale by the Company of up to $50,000,000 aggregate offering price of shares (the “Shares”) of the Company’s common stock, par value $0.0001 per share (the “Common Stock”), in an “at the market offering” as defined in Rule 415(a)(4) of</w:t>
      </w:r>
    </w:p>
    <w:p>
      <w:pPr>
        <w:jc w:val="both"/>
        <w:spacing w:after="0" w:line="229" w:lineRule="auto"/>
        <w:rPr>
          <w:sz w:val="20"/>
          <w:szCs w:val="20"/>
          <w:color w:val="auto"/>
        </w:rPr>
      </w:pPr>
      <w:r>
        <w:rPr>
          <w:rFonts w:ascii="Arial" w:cs="Arial" w:eastAsia="Arial" w:hAnsi="Arial"/>
          <w:sz w:val="20"/>
          <w:szCs w:val="20"/>
          <w:color w:val="auto"/>
        </w:rPr>
        <w:t>the Act in accordance with the Open Market Sale Agreement</w:t>
      </w:r>
      <w:r>
        <w:rPr>
          <w:rFonts w:ascii="Arial" w:cs="Arial" w:eastAsia="Arial" w:hAnsi="Arial"/>
          <w:sz w:val="32"/>
          <w:szCs w:val="32"/>
          <w:color w:val="auto"/>
          <w:vertAlign w:val="superscript"/>
        </w:rPr>
        <w:t>SM</w:t>
      </w:r>
      <w:r>
        <w:rPr>
          <w:rFonts w:ascii="Arial" w:cs="Arial" w:eastAsia="Arial" w:hAnsi="Arial"/>
          <w:sz w:val="20"/>
          <w:szCs w:val="20"/>
          <w:color w:val="auto"/>
        </w:rPr>
        <w:t>, dated August 5, 2020, by and between the Company and Jefferies LLC (the “Sale Agreement”), pursuant to the referenced Registration Statement on Form S-3 (No. 333-234107) (the “Registration Statement”) filed with the Commission on October 4, 2019 and declared effective on October 15, 2019.</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to all matters of fact (including factual conclusions and characterizations and descriptions of purpose, intention or other state of mind), we have relied, with your permission, entirely upon written actions by the Board of Directors of the Company and certificates of certain officers of the Company and have assumed, without independent inquiry, the accuracy of those certificates and written actions by the Board of Directors of the Company.</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As counsel to the Company, in rendering the opinions hereinafter expressed, we have examined and relied upon originals or copies of such corporate records, agreements, documents and instruments as we have deemed necessary or advisable for purposes</w:t>
      </w:r>
    </w:p>
    <w:p>
      <w:pPr>
        <w:sectPr>
          <w:pgSz w:w="11900" w:h="16838" w:orient="portrait"/>
          <w:cols w:equalWidth="0" w:num="1">
            <w:col w:w="11240"/>
          </w:cols>
          <w:pgMar w:left="320" w:top="111" w:right="339" w:bottom="0" w:gutter="0" w:footer="0" w:header="0"/>
        </w:sectPr>
      </w:pPr>
    </w:p>
    <w:bookmarkStart w:id="82" w:name="page83"/>
    <w:bookmarkEnd w:id="82"/>
    <w:p>
      <w:pPr>
        <w:jc w:val="both"/>
        <w:spacing w:after="0" w:line="241" w:lineRule="auto"/>
        <w:rPr>
          <w:sz w:val="20"/>
          <w:szCs w:val="20"/>
          <w:color w:val="auto"/>
        </w:rPr>
      </w:pPr>
      <w:r>
        <w:rPr>
          <w:rFonts w:ascii="Arial" w:cs="Arial" w:eastAsia="Arial" w:hAnsi="Arial"/>
          <w:sz w:val="22"/>
          <w:szCs w:val="22"/>
          <w:color w:val="auto"/>
        </w:rPr>
        <w:t>of this opinion, including (i) the certificate of incorporation and bylaws of the Company, (ii) the Registration Statement and the exhibits thereto filed with the Commission, (iii) the Prospectus, (iv) the Sale Agreement, and (v) the written actions of the Board of Directors of the Company referenced above.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opinion is limited solely to the Delaware General Corporation Law without regard to choice of law, to the extent that the same may apply to or govern the transactions contemplated by the Registration Statement. We express no opinion as to the effect of events occurring, circumstances arising, or changes of law becoming effective or occurring, after the date hereof on the matters addressed in this opinion.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Based on such examination and subject to the foregoing, we are of the opinion that the Shares, when issued by the Company and delivered by the Company against payment therefor as contemplated by the Sales Agreement and an Issuance Notice (as defined in the Sales Agreement), will be validly issued, fully paid and non-assessable.</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hereby consent to the filing of this opinion letter as Exhibit 5.1 to the Registration Statement and to the reference to us under the caption “Legal Matters” in the Prospectus. In giving this consent, we do not admit that we are in the category of persons whose consent is required under Section 7 of the Act, or the rules and regulations of the Commission thereunder. In rendering this opinion, we are opining only as to the specific legal issues expressly set forth herein, and no opinion shall be inferred as to any other matter or matters. This opinion is intended solely for use in connection with the issuance and sale of the Shares subject to the Registration Statement and is not to be relied upon for any other purpose.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Morgan, Lewis &amp; Bockius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2021840</wp:posOffset>
            </wp:positionV>
            <wp:extent cx="7132320" cy="18859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ind w:left="9880"/>
        <w:spacing w:after="0"/>
        <w:rPr>
          <w:sz w:val="20"/>
          <w:szCs w:val="20"/>
          <w:color w:val="auto"/>
        </w:rPr>
      </w:pPr>
      <w:r>
        <w:rPr>
          <w:rFonts w:ascii="Arial" w:cs="Arial" w:eastAsia="Arial" w:hAnsi="Arial"/>
          <w:sz w:val="22"/>
          <w:szCs w:val="22"/>
          <w:b w:val="1"/>
          <w:bCs w:val="1"/>
          <w:color w:val="auto"/>
        </w:rPr>
        <w:t>EXHIBIT 31.1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Adam S. Grossman, certify that:</w:t>
      </w:r>
    </w:p>
    <w:p>
      <w:pPr>
        <w:spacing w:after="0" w:line="233" w:lineRule="exact"/>
        <w:rPr>
          <w:sz w:val="20"/>
          <w:szCs w:val="20"/>
          <w:color w:val="auto"/>
        </w:rPr>
      </w:pPr>
    </w:p>
    <w:p>
      <w:pPr>
        <w:ind w:left="840" w:hanging="184"/>
        <w:spacing w:after="0"/>
        <w:tabs>
          <w:tab w:leader="none" w:pos="8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ADMA Biologics, Inc.;</w:t>
      </w:r>
    </w:p>
    <w:p>
      <w:pPr>
        <w:spacing w:after="0" w:line="233" w:lineRule="exact"/>
        <w:rPr>
          <w:rFonts w:ascii="Arial" w:cs="Arial" w:eastAsia="Arial" w:hAnsi="Arial"/>
          <w:sz w:val="22"/>
          <w:szCs w:val="22"/>
          <w:color w:val="auto"/>
        </w:rPr>
      </w:pPr>
    </w:p>
    <w:p>
      <w:pPr>
        <w:jc w:val="both"/>
        <w:ind w:left="660" w:hanging="4"/>
        <w:spacing w:after="0"/>
        <w:tabs>
          <w:tab w:leader="none" w:pos="853" w:val="left"/>
        </w:tabs>
        <w:numPr>
          <w:ilvl w:val="0"/>
          <w:numId w:val="9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jc w:val="both"/>
        <w:ind w:left="660" w:hanging="4"/>
        <w:spacing w:after="0"/>
        <w:tabs>
          <w:tab w:leader="none" w:pos="853" w:val="left"/>
        </w:tabs>
        <w:numPr>
          <w:ilvl w:val="0"/>
          <w:numId w:val="9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jc w:val="both"/>
        <w:ind w:left="660" w:hanging="4"/>
        <w:spacing w:after="0" w:line="257" w:lineRule="auto"/>
        <w:tabs>
          <w:tab w:leader="none" w:pos="867"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21"/>
          <w:szCs w:val="21"/>
          <w:color w:val="auto"/>
        </w:rPr>
      </w:pPr>
    </w:p>
    <w:p>
      <w:pPr>
        <w:jc w:val="both"/>
        <w:ind w:left="1140" w:firstLine="2"/>
        <w:spacing w:after="0" w:line="238" w:lineRule="auto"/>
        <w:tabs>
          <w:tab w:leader="none" w:pos="1380" w:val="left"/>
        </w:tabs>
        <w:numPr>
          <w:ilvl w:val="1"/>
          <w:numId w:val="9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22"/>
          <w:szCs w:val="22"/>
          <w:color w:val="auto"/>
        </w:rPr>
      </w:pPr>
    </w:p>
    <w:p>
      <w:pPr>
        <w:jc w:val="both"/>
        <w:ind w:left="1140" w:firstLine="2"/>
        <w:spacing w:after="0" w:line="238" w:lineRule="auto"/>
        <w:tabs>
          <w:tab w:leader="none" w:pos="1351" w:val="left"/>
        </w:tabs>
        <w:numPr>
          <w:ilvl w:val="1"/>
          <w:numId w:val="93"/>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22"/>
          <w:szCs w:val="22"/>
          <w:color w:val="auto"/>
        </w:rPr>
      </w:pPr>
    </w:p>
    <w:p>
      <w:pPr>
        <w:jc w:val="both"/>
        <w:ind w:left="1140" w:firstLine="2"/>
        <w:spacing w:after="0"/>
        <w:tabs>
          <w:tab w:leader="none" w:pos="1339" w:val="left"/>
        </w:tabs>
        <w:numPr>
          <w:ilvl w:val="1"/>
          <w:numId w:val="9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jc w:val="both"/>
        <w:ind w:left="1140" w:firstLine="2"/>
        <w:spacing w:after="0" w:line="238" w:lineRule="auto"/>
        <w:tabs>
          <w:tab w:leader="none" w:pos="1351" w:val="left"/>
        </w:tabs>
        <w:numPr>
          <w:ilvl w:val="1"/>
          <w:numId w:val="9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22"/>
          <w:szCs w:val="22"/>
          <w:color w:val="auto"/>
        </w:rPr>
      </w:pPr>
    </w:p>
    <w:p>
      <w:pPr>
        <w:jc w:val="both"/>
        <w:ind w:left="660" w:hanging="4"/>
        <w:spacing w:after="0"/>
        <w:tabs>
          <w:tab w:leader="none" w:pos="867"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22"/>
          <w:szCs w:val="22"/>
          <w:color w:val="auto"/>
        </w:rPr>
      </w:pPr>
    </w:p>
    <w:p>
      <w:pPr>
        <w:jc w:val="both"/>
        <w:ind w:left="1140" w:firstLine="2"/>
        <w:spacing w:after="0"/>
        <w:tabs>
          <w:tab w:leader="none" w:pos="1353" w:val="left"/>
        </w:tabs>
        <w:numPr>
          <w:ilvl w:val="1"/>
          <w:numId w:val="9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140" w:firstLine="2"/>
        <w:spacing w:after="0" w:line="250" w:lineRule="auto"/>
        <w:tabs>
          <w:tab w:leader="none" w:pos="1351" w:val="left"/>
        </w:tabs>
        <w:numPr>
          <w:ilvl w:val="1"/>
          <w:numId w:val="9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August 5, 2020</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480" w:type="dxa"/>
            <w:vAlign w:val="bottom"/>
          </w:tcPr>
          <w:p>
            <w:pPr>
              <w:spacing w:after="0"/>
              <w:rPr>
                <w:sz w:val="16"/>
                <w:szCs w:val="16"/>
                <w:color w:val="auto"/>
              </w:rPr>
            </w:pPr>
          </w:p>
        </w:tc>
        <w:tc>
          <w:tcPr>
            <w:tcW w:w="250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480" w:type="dxa"/>
            <w:vAlign w:val="bottom"/>
          </w:tcPr>
          <w:p>
            <w:pPr>
              <w:spacing w:after="0"/>
              <w:rPr>
                <w:sz w:val="18"/>
                <w:szCs w:val="18"/>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31.2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Brian Lenz, certify that:</w:t>
      </w:r>
    </w:p>
    <w:p>
      <w:pPr>
        <w:spacing w:after="0" w:line="233" w:lineRule="exact"/>
        <w:rPr>
          <w:sz w:val="20"/>
          <w:szCs w:val="20"/>
          <w:color w:val="auto"/>
        </w:rPr>
      </w:pPr>
    </w:p>
    <w:p>
      <w:pPr>
        <w:ind w:left="840" w:hanging="184"/>
        <w:spacing w:after="0"/>
        <w:tabs>
          <w:tab w:leader="none" w:pos="8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ADMA Biologics, Inc.;</w:t>
      </w:r>
    </w:p>
    <w:p>
      <w:pPr>
        <w:spacing w:after="0" w:line="233" w:lineRule="exact"/>
        <w:rPr>
          <w:rFonts w:ascii="Arial" w:cs="Arial" w:eastAsia="Arial" w:hAnsi="Arial"/>
          <w:sz w:val="22"/>
          <w:szCs w:val="22"/>
          <w:color w:val="auto"/>
        </w:rPr>
      </w:pPr>
    </w:p>
    <w:p>
      <w:pPr>
        <w:ind w:left="660" w:right="160" w:hanging="4"/>
        <w:spacing w:after="0"/>
        <w:tabs>
          <w:tab w:leader="none" w:pos="853" w:val="left"/>
        </w:tabs>
        <w:numPr>
          <w:ilvl w:val="0"/>
          <w:numId w:val="9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660" w:right="100" w:hanging="4"/>
        <w:spacing w:after="0"/>
        <w:tabs>
          <w:tab w:leader="none" w:pos="853" w:val="left"/>
        </w:tabs>
        <w:numPr>
          <w:ilvl w:val="0"/>
          <w:numId w:val="9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660" w:right="200" w:hanging="4"/>
        <w:spacing w:after="0" w:line="257" w:lineRule="auto"/>
        <w:tabs>
          <w:tab w:leader="none" w:pos="853"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Arial" w:cs="Arial" w:eastAsia="Arial" w:hAnsi="Arial"/>
          <w:sz w:val="21"/>
          <w:szCs w:val="21"/>
          <w:color w:val="auto"/>
        </w:rPr>
      </w:pPr>
    </w:p>
    <w:p>
      <w:pPr>
        <w:ind w:left="1140" w:right="540" w:firstLine="2"/>
        <w:spacing w:after="0" w:line="238" w:lineRule="auto"/>
        <w:tabs>
          <w:tab w:leader="none" w:pos="1339" w:val="left"/>
        </w:tabs>
        <w:numPr>
          <w:ilvl w:val="1"/>
          <w:numId w:val="9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22"/>
          <w:szCs w:val="22"/>
          <w:color w:val="auto"/>
        </w:rPr>
      </w:pPr>
    </w:p>
    <w:p>
      <w:pPr>
        <w:ind w:left="1140" w:right="80" w:firstLine="2"/>
        <w:spacing w:after="0" w:line="238" w:lineRule="auto"/>
        <w:tabs>
          <w:tab w:leader="none" w:pos="1351" w:val="left"/>
        </w:tabs>
        <w:numPr>
          <w:ilvl w:val="1"/>
          <w:numId w:val="94"/>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22"/>
          <w:szCs w:val="22"/>
          <w:color w:val="auto"/>
        </w:rPr>
      </w:pPr>
    </w:p>
    <w:p>
      <w:pPr>
        <w:ind w:left="1140" w:right="80" w:firstLine="2"/>
        <w:spacing w:after="0"/>
        <w:tabs>
          <w:tab w:leader="none" w:pos="1339" w:val="left"/>
        </w:tabs>
        <w:numPr>
          <w:ilvl w:val="1"/>
          <w:numId w:val="9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140" w:right="20" w:firstLine="2"/>
        <w:spacing w:after="0" w:line="238" w:lineRule="auto"/>
        <w:tabs>
          <w:tab w:leader="none" w:pos="1351" w:val="left"/>
        </w:tabs>
        <w:numPr>
          <w:ilvl w:val="1"/>
          <w:numId w:val="9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22"/>
          <w:szCs w:val="22"/>
          <w:color w:val="auto"/>
        </w:rPr>
      </w:pPr>
    </w:p>
    <w:p>
      <w:pPr>
        <w:ind w:left="660" w:right="380" w:hanging="4"/>
        <w:spacing w:after="0"/>
        <w:tabs>
          <w:tab w:leader="none" w:pos="853"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22"/>
          <w:szCs w:val="22"/>
          <w:color w:val="auto"/>
        </w:rPr>
      </w:pPr>
    </w:p>
    <w:p>
      <w:pPr>
        <w:jc w:val="both"/>
        <w:ind w:left="1140" w:right="260" w:firstLine="2"/>
        <w:spacing w:after="0"/>
        <w:tabs>
          <w:tab w:leader="none" w:pos="1339" w:val="left"/>
        </w:tabs>
        <w:numPr>
          <w:ilvl w:val="1"/>
          <w:numId w:val="9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140" w:right="180" w:firstLine="2"/>
        <w:spacing w:after="0" w:line="250" w:lineRule="auto"/>
        <w:tabs>
          <w:tab w:leader="none" w:pos="1351" w:val="left"/>
        </w:tabs>
        <w:numPr>
          <w:ilvl w:val="1"/>
          <w:numId w:val="9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August 5, 2020</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480" w:type="dxa"/>
            <w:vAlign w:val="bottom"/>
          </w:tcPr>
          <w:p>
            <w:pPr>
              <w:spacing w:after="0"/>
              <w:rPr>
                <w:sz w:val="16"/>
                <w:szCs w:val="16"/>
                <w:color w:val="auto"/>
              </w:rPr>
            </w:pPr>
          </w:p>
        </w:tc>
        <w:tc>
          <w:tcPr>
            <w:tcW w:w="250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480" w:type="dxa"/>
            <w:vAlign w:val="bottom"/>
          </w:tcPr>
          <w:p>
            <w:pPr>
              <w:spacing w:after="0"/>
              <w:rPr>
                <w:sz w:val="18"/>
                <w:szCs w:val="18"/>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In connection with the Quarterly Report of ADMA Biologics, Inc., a Delaware corporation (the “Company”), on Form 10-Q for the quarter ended June 30, 2020,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208" w:lineRule="exact"/>
        <w:rPr>
          <w:sz w:val="20"/>
          <w:szCs w:val="20"/>
          <w:color w:val="auto"/>
        </w:rPr>
      </w:pPr>
    </w:p>
    <w:p>
      <w:pPr>
        <w:ind w:left="920" w:hanging="453"/>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660" w:hanging="453"/>
        <w:spacing w:after="0" w:line="277"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August 5, 2020</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480" w:type="dxa"/>
            <w:vAlign w:val="bottom"/>
          </w:tcPr>
          <w:p>
            <w:pPr>
              <w:spacing w:after="0"/>
              <w:rPr>
                <w:sz w:val="16"/>
                <w:szCs w:val="16"/>
                <w:color w:val="auto"/>
              </w:rPr>
            </w:pPr>
          </w:p>
        </w:tc>
        <w:tc>
          <w:tcPr>
            <w:tcW w:w="250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480" w:type="dxa"/>
            <w:vAlign w:val="bottom"/>
          </w:tcPr>
          <w:p>
            <w:pPr>
              <w:spacing w:after="0"/>
              <w:rPr>
                <w:sz w:val="18"/>
                <w:szCs w:val="18"/>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THE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connection with the Quarterly Report of ADMA Biologics, Inc., a Delaware corporation (the “Company”), on Form 10-Q for the quarter ended June 30, 2020,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219" w:lineRule="exact"/>
        <w:rPr>
          <w:sz w:val="20"/>
          <w:szCs w:val="20"/>
          <w:color w:val="auto"/>
        </w:rPr>
      </w:pPr>
    </w:p>
    <w:p>
      <w:pPr>
        <w:ind w:left="920" w:hanging="453"/>
        <w:spacing w:after="0"/>
        <w:tabs>
          <w:tab w:leader="none" w:pos="9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660" w:hanging="453"/>
        <w:spacing w:after="0" w:line="277" w:lineRule="auto"/>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August 5, 2020</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480" w:type="dxa"/>
            <w:vAlign w:val="bottom"/>
          </w:tcPr>
          <w:p>
            <w:pPr>
              <w:spacing w:after="0"/>
              <w:rPr>
                <w:sz w:val="16"/>
                <w:szCs w:val="16"/>
                <w:color w:val="auto"/>
              </w:rPr>
            </w:pPr>
          </w:p>
        </w:tc>
        <w:tc>
          <w:tcPr>
            <w:tcW w:w="250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480" w:type="dxa"/>
            <w:vAlign w:val="bottom"/>
          </w:tcPr>
          <w:p>
            <w:pPr>
              <w:spacing w:after="0"/>
              <w:rPr>
                <w:sz w:val="18"/>
                <w:szCs w:val="18"/>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3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decimal"/>
      <w:start w:val="2"/>
    </w:lvl>
  </w:abstractNum>
  <w:abstractNum w:abstractNumId="7">
    <w:nsid w:val="75C6C33A"/>
    <w:multiLevelType w:val="hybridMultilevel"/>
    <w:lvl w:ilvl="0">
      <w:lvlJc w:val="left"/>
      <w:lvlText w:val="%1."/>
      <w:numFmt w:val="decimal"/>
      <w:start w:val="4"/>
    </w:lvl>
  </w:abstractNum>
  <w:abstractNum w:abstractNumId="8">
    <w:nsid w:val="12E685FB"/>
    <w:multiLevelType w:val="hybridMultilevel"/>
    <w:lvl w:ilvl="0">
      <w:lvlJc w:val="left"/>
      <w:lvlText w:val="%1."/>
      <w:numFmt w:val="decimal"/>
      <w:start w:val="5"/>
    </w:lvl>
  </w:abstractNum>
  <w:abstractNum w:abstractNumId="9">
    <w:nsid w:val="70C6A529"/>
    <w:multiLevelType w:val="hybridMultilevel"/>
    <w:lvl w:ilvl="0">
      <w:lvlJc w:val="left"/>
      <w:lvlText w:val="%1"/>
      <w:numFmt w:val="upperLetter"/>
      <w:start w:val="61"/>
    </w:lvl>
  </w:abstractNum>
  <w:abstractNum w:abstractNumId="10">
    <w:nsid w:val="520EEDD1"/>
    <w:multiLevelType w:val="hybridMultilevel"/>
    <w:lvl w:ilvl="0">
      <w:lvlJc w:val="left"/>
      <w:lvlText w:val="%1."/>
      <w:numFmt w:val="decimal"/>
      <w:start w:val="7"/>
    </w:lvl>
  </w:abstractNum>
  <w:abstractNum w:abstractNumId="11">
    <w:nsid w:val="374A3FE6"/>
    <w:multiLevelType w:val="hybridMultilevel"/>
    <w:lvl w:ilvl="0">
      <w:lvlJc w:val="left"/>
      <w:lvlText w:val="%1."/>
      <w:numFmt w:val="decimal"/>
      <w:start w:val="8"/>
    </w:lvl>
  </w:abstractNum>
  <w:abstractNum w:abstractNumId="12">
    <w:nsid w:val="4F4EF005"/>
    <w:multiLevelType w:val="hybridMultilevel"/>
    <w:lvl w:ilvl="0">
      <w:lvlJc w:val="left"/>
      <w:lvlText w:val="(%1)"/>
      <w:numFmt w:val="lowerRoman"/>
      <w:start w:val="1"/>
    </w:lvl>
  </w:abstractNum>
  <w:abstractNum w:abstractNumId="13">
    <w:nsid w:val="23F9C13C"/>
    <w:multiLevelType w:val="hybridMultilevel"/>
    <w:lvl w:ilvl="0">
      <w:lvlJc w:val="left"/>
      <w:lvlText w:val="%1."/>
      <w:numFmt w:val="decimal"/>
      <w:start w:val="9"/>
    </w:lvl>
  </w:abstractNum>
  <w:abstractNum w:abstractNumId="14">
    <w:nsid w:val="649BB77C"/>
    <w:multiLevelType w:val="hybridMultilevel"/>
    <w:lvl w:ilvl="0">
      <w:lvlJc w:val="left"/>
      <w:lvlText w:val="%1."/>
      <w:numFmt w:val="decimal"/>
      <w:start w:val="10"/>
    </w:lvl>
  </w:abstractNum>
  <w:abstractNum w:abstractNumId="15">
    <w:nsid w:val="275AC794"/>
    <w:multiLevelType w:val="hybridMultilevel"/>
    <w:lvl w:ilvl="0">
      <w:lvlJc w:val="left"/>
      <w:lvlText w:val="%1."/>
      <w:numFmt w:val="decimal"/>
      <w:start w:val="11"/>
    </w:lvl>
  </w:abstractNum>
  <w:abstractNum w:abstractNumId="16">
    <w:nsid w:val="39386575"/>
    <w:multiLevelType w:val="hybridMultilevel"/>
    <w:lvl w:ilvl="0">
      <w:lvlJc w:val="left"/>
      <w:lvlText w:val="%1."/>
      <w:numFmt w:val="decimal"/>
      <w:start w:val="12"/>
    </w:lvl>
  </w:abstractNum>
  <w:abstractNum w:abstractNumId="17">
    <w:nsid w:val="1CF10FD8"/>
    <w:multiLevelType w:val="hybridMultilevel"/>
    <w:lvl w:ilvl="0">
      <w:lvlJc w:val="left"/>
      <w:lvlText w:val="%1."/>
      <w:numFmt w:val="decimal"/>
      <w:start w:val="13"/>
    </w:lvl>
  </w:abstractNum>
  <w:abstractNum w:abstractNumId="18">
    <w:nsid w:val="180115BE"/>
    <w:multiLevelType w:val="hybridMultilevel"/>
    <w:lvl w:ilvl="0">
      <w:lvlJc w:val="left"/>
      <w:lvlText w:val="%1."/>
      <w:numFmt w:val="decimal"/>
      <w:start w:val="14"/>
    </w:lvl>
  </w:abstractNum>
  <w:abstractNum w:abstractNumId="19">
    <w:nsid w:val="235BA861"/>
    <w:multiLevelType w:val="hybridMultilevel"/>
    <w:lvl w:ilvl="0">
      <w:lvlJc w:val="left"/>
      <w:lvlText w:val="(%1)"/>
      <w:numFmt w:val="decimal"/>
      <w:start w:val="4"/>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endash "/>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1)"/>
      <w:numFmt w:val="decimal"/>
      <w:start w:val="4"/>
    </w:lvl>
  </w:abstractNum>
  <w:abstractNum w:abstractNumId="36">
    <w:nsid w:val="4AD084E9"/>
    <w:multiLevelType w:val="hybridMultilevel"/>
    <w:lvl w:ilvl="0">
      <w:lvlJc w:val="left"/>
      <w:lvlText w:val="(%1)"/>
      <w:numFmt w:val="lowerLetter"/>
      <w:start w:val="1"/>
    </w:lvl>
  </w:abstractNum>
  <w:abstractNum w:abstractNumId="37">
    <w:nsid w:val="1F48EAA1"/>
    <w:multiLevelType w:val="hybridMultilevel"/>
    <w:lvl w:ilvl="0">
      <w:lvlJc w:val="left"/>
      <w:lvlText w:val="(%1)"/>
      <w:numFmt w:val="lowerLetter"/>
      <w:start w:val="2"/>
    </w:lvl>
  </w:abstractNum>
  <w:abstractNum w:abstractNumId="38">
    <w:nsid w:val="1381823A"/>
    <w:multiLevelType w:val="hybridMultilevel"/>
    <w:lvl w:ilvl="0">
      <w:lvlJc w:val="left"/>
      <w:lvlText w:val="(%1)"/>
      <w:numFmt w:val="lowerLetter"/>
      <w:start w:val="1"/>
    </w:lvl>
  </w:abstractNum>
  <w:abstractNum w:abstractNumId="39">
    <w:nsid w:val="5DB70AE5"/>
    <w:multiLevelType w:val="hybridMultilevel"/>
    <w:lvl w:ilvl="0">
      <w:lvlJc w:val="left"/>
      <w:lvlText w:val="(%1)"/>
      <w:numFmt w:val="lowerLetter"/>
      <w:start w:val="2"/>
    </w:lvl>
  </w:abstractNum>
  <w:abstractNum w:abstractNumId="40">
    <w:nsid w:val="100F8FCA"/>
    <w:multiLevelType w:val="hybridMultilevel"/>
    <w:lvl w:ilvl="0">
      <w:lvlJc w:val="left"/>
      <w:lvlText w:val="(%1)"/>
      <w:numFmt w:val="lowerLetter"/>
      <w:start w:val="3"/>
    </w:lvl>
  </w:abstractNum>
  <w:abstractNum w:abstractNumId="41">
    <w:nsid w:val="6590700B"/>
    <w:multiLevelType w:val="hybridMultilevel"/>
    <w:lvl w:ilvl="0">
      <w:lvlJc w:val="left"/>
      <w:lvlText w:val="(%1)"/>
      <w:numFmt w:val="lowerLetter"/>
      <w:start w:val="6"/>
    </w:lvl>
  </w:abstractNum>
  <w:abstractNum w:abstractNumId="42">
    <w:nsid w:val="15014ACB"/>
    <w:multiLevelType w:val="hybridMultilevel"/>
    <w:lvl w:ilvl="0">
      <w:lvlJc w:val="left"/>
      <w:lvlText w:val="(%1)"/>
      <w:numFmt w:val="lowerLetter"/>
      <w:start w:val="7"/>
    </w:lvl>
  </w:abstractNum>
  <w:abstractNum w:abstractNumId="43">
    <w:nsid w:val="5F5E7FD0"/>
    <w:multiLevelType w:val="hybridMultilevel"/>
    <w:lvl w:ilvl="0">
      <w:lvlJc w:val="left"/>
      <w:lvlText w:val="(%1)"/>
      <w:numFmt w:val="lowerLetter"/>
      <w:start w:val="11"/>
    </w:lvl>
  </w:abstractNum>
  <w:abstractNum w:abstractNumId="44">
    <w:nsid w:val="98A3148"/>
    <w:multiLevelType w:val="hybridMultilevel"/>
    <w:lvl w:ilvl="0">
      <w:lvlJc w:val="left"/>
      <w:lvlText w:val="(%1)"/>
      <w:numFmt w:val="lowerLetter"/>
      <w:start w:val="13"/>
    </w:lvl>
  </w:abstractNum>
  <w:abstractNum w:abstractNumId="45">
    <w:nsid w:val="799D0247"/>
    <w:multiLevelType w:val="hybridMultilevel"/>
    <w:lvl w:ilvl="0">
      <w:lvlJc w:val="left"/>
      <w:lvlText w:val="(%1)"/>
      <w:numFmt w:val="lowerLetter"/>
      <w:start w:val="15"/>
    </w:lvl>
  </w:abstractNum>
  <w:abstractNum w:abstractNumId="46">
    <w:nsid w:val="6B94764"/>
    <w:multiLevelType w:val="hybridMultilevel"/>
    <w:lvl w:ilvl="0">
      <w:lvlJc w:val="left"/>
      <w:lvlText w:val="(%1)"/>
      <w:numFmt w:val="lowerLetter"/>
      <w:start w:val="19"/>
    </w:lvl>
  </w:abstractNum>
  <w:abstractNum w:abstractNumId="47">
    <w:nsid w:val="42C296BD"/>
    <w:multiLevelType w:val="hybridMultilevel"/>
    <w:lvl w:ilvl="0">
      <w:lvlJc w:val="left"/>
      <w:lvlText w:val="(%1)"/>
      <w:numFmt w:val="lowerLetter"/>
      <w:start w:val="24"/>
    </w:lvl>
  </w:abstractNum>
  <w:abstractNum w:abstractNumId="48">
    <w:nsid w:val="168E121F"/>
    <w:multiLevelType w:val="hybridMultilevel"/>
    <w:lvl w:ilvl="0">
      <w:lvlJc w:val="left"/>
      <w:lvlText w:val="(%1)"/>
      <w:numFmt w:val="lowerLetter"/>
      <w:start w:val="26"/>
    </w:lvl>
  </w:abstractNum>
  <w:abstractNum w:abstractNumId="49">
    <w:nsid w:val="1EBA5D23"/>
    <w:multiLevelType w:val="hybridMultilevel"/>
    <w:lvl w:ilvl="0">
      <w:lvlJc w:val="left"/>
      <w:lvlText w:val="(%1)"/>
      <w:numFmt w:val="lowerLetter"/>
      <w:start w:val="27"/>
    </w:lvl>
  </w:abstractNum>
  <w:abstractNum w:abstractNumId="50">
    <w:nsid w:val="661E3F1E"/>
    <w:multiLevelType w:val="hybridMultilevel"/>
    <w:lvl w:ilvl="0">
      <w:lvlJc w:val="left"/>
      <w:lvlText w:val="(%1)"/>
      <w:numFmt w:val="lowerLetter"/>
      <w:start w:val="30"/>
    </w:lvl>
  </w:abstractNum>
  <w:abstractNum w:abstractNumId="51">
    <w:nsid w:val="5DC79EA8"/>
    <w:multiLevelType w:val="hybridMultilevel"/>
    <w:lvl w:ilvl="0">
      <w:lvlJc w:val="left"/>
      <w:lvlText w:val="(%1)"/>
      <w:numFmt w:val="lowerLetter"/>
      <w:start w:val="31"/>
    </w:lvl>
    <w:lvl w:ilvl="1">
      <w:lvlJc w:val="left"/>
      <w:lvlText w:val="(%2)"/>
      <w:numFmt w:val="upperLetter"/>
      <w:start w:val="1"/>
    </w:lvl>
  </w:abstractNum>
  <w:abstractNum w:abstractNumId="52">
    <w:nsid w:val="540A471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3">
    <w:nsid w:val="7BD3EE7B"/>
    <w:multiLevelType w:val="hybridMultilevel"/>
    <w:lvl w:ilvl="0">
      <w:lvlJc w:val="left"/>
      <w:lvlText w:val="(%1)"/>
      <w:numFmt w:val="lowerLetter"/>
      <w:start w:val="33"/>
    </w:lvl>
    <w:lvl w:ilvl="1">
      <w:lvlJc w:val="left"/>
      <w:lvlText w:val="%2"/>
      <w:numFmt w:val="lowerLetter"/>
      <w:start w:val="1"/>
    </w:lvl>
    <w:lvl w:ilvl="2">
      <w:lvlJc w:val="left"/>
      <w:lvlText w:val="%3"/>
      <w:numFmt w:val="upperLetter"/>
      <w:start w:val="1"/>
    </w:lvl>
  </w:abstractNum>
  <w:abstractNum w:abstractNumId="54">
    <w:nsid w:val="51D9C564"/>
    <w:multiLevelType w:val="hybridMultilevel"/>
    <w:lvl w:ilvl="0">
      <w:lvlJc w:val="left"/>
      <w:lvlText w:val="(%1)"/>
      <w:numFmt w:val="lowerLetter"/>
      <w:start w:val="36"/>
    </w:lvl>
  </w:abstractNum>
  <w:abstractNum w:abstractNumId="55">
    <w:nsid w:val="613EFDC5"/>
    <w:multiLevelType w:val="hybridMultilevel"/>
    <w:lvl w:ilvl="0">
      <w:lvlJc w:val="left"/>
      <w:lvlText w:val="(%1)"/>
      <w:numFmt w:val="lowerLetter"/>
      <w:start w:val="40"/>
    </w:lvl>
  </w:abstractNum>
  <w:abstractNum w:abstractNumId="56">
    <w:nsid w:val="BF72B14"/>
    <w:multiLevelType w:val="hybridMultilevel"/>
    <w:lvl w:ilvl="0">
      <w:lvlJc w:val="left"/>
      <w:lvlText w:val="(%1)"/>
      <w:numFmt w:val="lowerLetter"/>
      <w:start w:val="44"/>
    </w:lvl>
  </w:abstractNum>
  <w:abstractNum w:abstractNumId="57">
    <w:nsid w:val="11447B73"/>
    <w:multiLevelType w:val="hybridMultilevel"/>
    <w:lvl w:ilvl="0">
      <w:lvlJc w:val="left"/>
      <w:lvlText w:val="(%1)"/>
      <w:numFmt w:val="lowerLetter"/>
      <w:start w:val="46"/>
    </w:lvl>
  </w:abstractNum>
  <w:abstractNum w:abstractNumId="58">
    <w:nsid w:val="42963E5A"/>
    <w:multiLevelType w:val="hybridMultilevel"/>
    <w:lvl w:ilvl="0">
      <w:lvlJc w:val="left"/>
      <w:lvlText w:val="(%1)"/>
      <w:numFmt w:val="lowerLetter"/>
      <w:start w:val="48"/>
    </w:lvl>
  </w:abstractNum>
  <w:abstractNum w:abstractNumId="59">
    <w:nsid w:val="A0382C5"/>
    <w:multiLevelType w:val="hybridMultilevel"/>
    <w:lvl w:ilvl="0">
      <w:lvlJc w:val="left"/>
      <w:lvlText w:val="(%1)"/>
      <w:numFmt w:val="lowerLetter"/>
      <w:start w:val="50"/>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2"/>
    </w:lvl>
  </w:abstractNum>
  <w:abstractNum w:abstractNumId="62">
    <w:nsid w:val="3B0FD379"/>
    <w:multiLevelType w:val="hybridMultilevel"/>
    <w:lvl w:ilvl="0">
      <w:lvlJc w:val="left"/>
      <w:lvlText w:val="(%1)"/>
      <w:numFmt w:val="lowerRoman"/>
      <w:start w:val="1"/>
    </w:lvl>
  </w:abstractNum>
  <w:abstractNum w:abstractNumId="63">
    <w:nsid w:val="68EB2F63"/>
    <w:multiLevelType w:val="hybridMultilevel"/>
    <w:lvl w:ilvl="0">
      <w:lvlJc w:val="left"/>
      <w:lvlText w:val="(%1)"/>
      <w:numFmt w:val="lowerRoman"/>
      <w:start w:val="2"/>
    </w:lvl>
  </w:abstractNum>
  <w:abstractNum w:abstractNumId="64">
    <w:nsid w:val="4962813B"/>
    <w:multiLevelType w:val="hybridMultilevel"/>
    <w:lvl w:ilvl="0">
      <w:lvlJc w:val="left"/>
      <w:lvlText w:val="(%1)"/>
      <w:numFmt w:val="lowerRoman"/>
      <w:start w:val="6"/>
    </w:lvl>
  </w:abstractNum>
  <w:abstractNum w:abstractNumId="65">
    <w:nsid w:val="60B6DF70"/>
    <w:multiLevelType w:val="hybridMultilevel"/>
    <w:lvl w:ilvl="0">
      <w:lvlJc w:val="left"/>
      <w:lvlText w:val="(%1)"/>
      <w:numFmt w:val="lowerRoman"/>
      <w:start w:val="7"/>
    </w:lvl>
  </w:abstractNum>
  <w:abstractNum w:abstractNumId="66">
    <w:nsid w:val="6A5EE64"/>
    <w:multiLevelType w:val="hybridMultilevel"/>
    <w:lvl w:ilvl="0">
      <w:lvlJc w:val="left"/>
      <w:lvlText w:val="(%1)"/>
      <w:numFmt w:val="lowerLetter"/>
      <w:start w:val="3"/>
    </w:lvl>
  </w:abstractNum>
  <w:abstractNum w:abstractNumId="67">
    <w:nsid w:val="14330624"/>
    <w:multiLevelType w:val="hybridMultilevel"/>
    <w:lvl w:ilvl="0">
      <w:lvlJc w:val="left"/>
      <w:lvlText w:val="%1"/>
      <w:numFmt w:val="lowerLetter"/>
      <w:start w:val="1"/>
    </w:lvl>
    <w:lvl w:ilvl="1">
      <w:lvlJc w:val="left"/>
      <w:lvlText w:val="(%2)"/>
      <w:numFmt w:val="lowerLetter"/>
      <w:start w:val="1"/>
    </w:lvl>
  </w:abstractNum>
  <w:abstractNum w:abstractNumId="68">
    <w:nsid w:val="7FFFCA11"/>
    <w:multiLevelType w:val="hybridMultilevel"/>
    <w:lvl w:ilvl="0">
      <w:lvlJc w:val="left"/>
      <w:lvlText w:val="(%1)"/>
      <w:numFmt w:val="lowerLetter"/>
      <w:start w:val="9"/>
    </w:lvl>
    <w:lvl w:ilvl="1">
      <w:lvlJc w:val="left"/>
      <w:lvlText w:val="%2"/>
      <w:numFmt w:val="lowerLetter"/>
      <w:start w:val="1"/>
    </w:lvl>
  </w:abstractNum>
  <w:abstractNum w:abstractNumId="69">
    <w:nsid w:val="1A27709E"/>
    <w:multiLevelType w:val="hybridMultilevel"/>
    <w:lvl w:ilvl="0">
      <w:lvlJc w:val="left"/>
      <w:lvlText w:val="(%1)"/>
      <w:numFmt w:val="lowerLetter"/>
      <w:start w:val="3"/>
    </w:lvl>
  </w:abstractNum>
  <w:abstractNum w:abstractNumId="70">
    <w:nsid w:val="71EA1109"/>
    <w:multiLevelType w:val="hybridMultilevel"/>
    <w:lvl w:ilvl="0">
      <w:lvlJc w:val="left"/>
      <w:lvlText w:val="(%1)"/>
      <w:numFmt w:val="lowerLetter"/>
      <w:start w:val="6"/>
    </w:lvl>
  </w:abstractNum>
  <w:abstractNum w:abstractNumId="71">
    <w:nsid w:val="100F59DC"/>
    <w:multiLevelType w:val="hybridMultilevel"/>
    <w:lvl w:ilvl="0">
      <w:lvlJc w:val="left"/>
      <w:lvlText w:val="%1"/>
      <w:numFmt w:val="lowerLetter"/>
      <w:start w:val="1"/>
    </w:lvl>
    <w:lvl w:ilvl="1">
      <w:lvlJc w:val="left"/>
      <w:lvlText w:val="(%2)"/>
      <w:numFmt w:val="lowerLetter"/>
      <w:start w:val="9"/>
    </w:lvl>
  </w:abstractNum>
  <w:abstractNum w:abstractNumId="72">
    <w:nsid w:val="7FB7E0AA"/>
    <w:multiLevelType w:val="hybridMultilevel"/>
    <w:lvl w:ilvl="0">
      <w:lvlJc w:val="left"/>
      <w:lvlText w:val="(%1)"/>
      <w:numFmt w:val="lowerLetter"/>
      <w:start w:val="2"/>
    </w:lvl>
    <w:lvl w:ilvl="1">
      <w:lvlJc w:val="left"/>
      <w:lvlText w:val="(%2)"/>
      <w:numFmt w:val="lowerLetter"/>
      <w:start w:val="12"/>
    </w:lvl>
  </w:abstractNum>
  <w:abstractNum w:abstractNumId="73">
    <w:nsid w:val="6EB5BD4"/>
    <w:multiLevelType w:val="hybridMultilevel"/>
    <w:lvl w:ilvl="0">
      <w:lvlJc w:val="left"/>
      <w:lvlText w:val="(%1)"/>
      <w:numFmt w:val="lowerLetter"/>
      <w:start w:val="15"/>
    </w:lvl>
  </w:abstractNum>
  <w:abstractNum w:abstractNumId="74">
    <w:nsid w:val="6F6DD9AC"/>
    <w:multiLevelType w:val="hybridMultilevel"/>
    <w:lvl w:ilvl="0">
      <w:lvlJc w:val="left"/>
      <w:lvlText w:val="(%1)"/>
      <w:numFmt w:val="upperLetter"/>
      <w:start w:val="1"/>
    </w:lvl>
  </w:abstractNum>
  <w:abstractNum w:abstractNumId="75">
    <w:nsid w:val="94211F2"/>
    <w:multiLevelType w:val="hybridMultilevel"/>
    <w:lvl w:ilvl="0">
      <w:lvlJc w:val="left"/>
      <w:lvlText w:val="(%1)"/>
      <w:numFmt w:val="upperLetter"/>
      <w:start w:val="3"/>
    </w:lvl>
  </w:abstractNum>
  <w:abstractNum w:abstractNumId="76">
    <w:nsid w:val="885E1B"/>
    <w:multiLevelType w:val="hybridMultilevel"/>
    <w:lvl w:ilvl="0">
      <w:lvlJc w:val="left"/>
      <w:lvlText w:val="(%1)"/>
      <w:numFmt w:val="lowerLetter"/>
      <w:start w:val="16"/>
    </w:lvl>
  </w:abstractNum>
  <w:abstractNum w:abstractNumId="77">
    <w:nsid w:val="76272110"/>
    <w:multiLevelType w:val="hybridMultilevel"/>
    <w:lvl w:ilvl="0">
      <w:lvlJc w:val="left"/>
      <w:lvlText w:val="(%1)"/>
      <w:numFmt w:val="lowerLetter"/>
      <w:start w:val="19"/>
    </w:lvl>
  </w:abstractNum>
  <w:abstractNum w:abstractNumId="78">
    <w:nsid w:val="4C04A8AF"/>
    <w:multiLevelType w:val="hybridMultilevel"/>
    <w:lvl w:ilvl="0">
      <w:lvlJc w:val="left"/>
      <w:lvlText w:val="%1"/>
      <w:numFmt w:val="lowerRoman"/>
      <w:start w:val="1"/>
    </w:lvl>
    <w:lvl w:ilvl="1">
      <w:lvlJc w:val="left"/>
      <w:lvlText w:val="(%2)"/>
      <w:numFmt w:val="lowerLetter"/>
      <w:start w:val="1"/>
    </w:lvl>
  </w:abstractNum>
  <w:abstractNum w:abstractNumId="79">
    <w:nsid w:val="1716703B"/>
    <w:multiLevelType w:val="hybridMultilevel"/>
    <w:lvl w:ilvl="0">
      <w:lvlJc w:val="left"/>
      <w:lvlText w:val="(%1)"/>
      <w:numFmt w:val="lowerRoman"/>
      <w:start w:val="1"/>
    </w:lvl>
    <w:lvl w:ilvl="1">
      <w:lvlJc w:val="left"/>
      <w:lvlText w:val="%2"/>
      <w:numFmt w:val="lowerLetter"/>
      <w:start w:val="1"/>
    </w:lvl>
  </w:abstractNum>
  <w:abstractNum w:abstractNumId="80">
    <w:nsid w:val="14E17E33"/>
    <w:multiLevelType w:val="hybridMultilevel"/>
    <w:lvl w:ilvl="0">
      <w:lvlJc w:val="left"/>
      <w:lvlText w:val="(%1)"/>
      <w:numFmt w:val="lowerRoman"/>
      <w:start w:val="3"/>
    </w:lvl>
  </w:abstractNum>
  <w:abstractNum w:abstractNumId="81">
    <w:nsid w:val="3222E7CD"/>
    <w:multiLevelType w:val="hybridMultilevel"/>
    <w:lvl w:ilvl="0">
      <w:lvlJc w:val="left"/>
      <w:lvlText w:val="(%1)"/>
      <w:numFmt w:val="lowerRoman"/>
      <w:start w:val="4"/>
    </w:lvl>
    <w:lvl w:ilvl="1">
      <w:lvlJc w:val="left"/>
      <w:lvlText w:val="(%2)"/>
      <w:numFmt w:val="lowerLetter"/>
      <w:start w:val="2"/>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2"/>
    </w:lvl>
  </w:abstractNum>
  <w:abstractNum w:abstractNumId="84">
    <w:nsid w:val="2DF6D648"/>
    <w:multiLevelType w:val="hybridMultilevel"/>
    <w:lvl w:ilvl="0">
      <w:lvlJc w:val="left"/>
      <w:lvlText w:val="(%1)"/>
      <w:numFmt w:val="lowerLetter"/>
      <w:start w:val="3"/>
    </w:lvl>
  </w:abstractNum>
  <w:abstractNum w:abstractNumId="85">
    <w:nsid w:val="46B7D447"/>
    <w:multiLevelType w:val="hybridMultilevel"/>
    <w:lvl w:ilvl="0">
      <w:lvlJc w:val="left"/>
      <w:lvlText w:val="(%1)"/>
      <w:numFmt w:val="lowerLetter"/>
      <w:start w:val="5"/>
    </w:lvl>
  </w:abstractNum>
  <w:abstractNum w:abstractNumId="86">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7">
    <w:nsid w:val="39EE015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88">
    <w:nsid w:val="57FC4FBB"/>
    <w:multiLevelType w:val="hybridMultilevel"/>
    <w:lvl w:ilvl="0">
      <w:lvlJc w:val="left"/>
      <w:lvlText w:val="(%1)"/>
      <w:numFmt w:val="lowerLetter"/>
      <w:start w:val="1"/>
    </w:lvl>
  </w:abstractNum>
  <w:abstractNum w:abstractNumId="89">
    <w:nsid w:val="CC1016F"/>
    <w:multiLevelType w:val="hybridMultilevel"/>
    <w:lvl w:ilvl="0">
      <w:lvlJc w:val="left"/>
      <w:lvlText w:val="(%1)"/>
      <w:numFmt w:val="lowerLetter"/>
      <w:start w:val="4"/>
    </w:lvl>
  </w:abstractNum>
  <w:abstractNum w:abstractNumId="90">
    <w:nsid w:val="43F18422"/>
    <w:multiLevelType w:val="hybridMultilevel"/>
    <w:lvl w:ilvl="0">
      <w:lvlJc w:val="left"/>
      <w:lvlText w:val="(%1)"/>
      <w:numFmt w:val="lowerLetter"/>
      <w:start w:val="5"/>
    </w:lvl>
  </w:abstractNum>
  <w:abstractNum w:abstractNumId="91">
    <w:nsid w:val="60EF0119"/>
    <w:multiLevelType w:val="hybridMultilevel"/>
    <w:lvl w:ilvl="0">
      <w:lvlJc w:val="left"/>
      <w:lvlText w:val="(%1)"/>
      <w:numFmt w:val="lowerLetter"/>
      <w:start w:val="7"/>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2020-08-05T16:25:50Z</dcterms:created>
  <dcterms:modified xsi:type="dcterms:W3CDTF">2020-08-05T16:25:50Z</dcterms:modified>
</cp:coreProperties>
</file>