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Kestenberg-Messina Kaitlin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ADMA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5800 PARK OF COMMERCE BLVD.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ADMA BIOLOGICS, INC.</w:t>
              </w:r>
            </w:hyperlink>
            <w:r>
              <w:rPr/>
              <w:t xml:space="preserve"> [ </w:t>
            </w:r>
            <w:r>
              <w:rPr>
                <w:rFonts w:ascii="Times;serif" w:hAnsi="Times;serif"/>
                <w:color w:val="0000FF"/>
                <w:sz w:val="24"/>
                <w:shd w:fill="FFFFFF" w:val="clear"/>
              </w:rPr>
              <w:t>ADMA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and SVP, Compliance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443,061</w:t>
            </w:r>
            <w:r>
              <w:rPr>
                <w:rFonts w:ascii="Times;serif" w:hAnsi="Times;serif"/>
                <w:color w:val="008000"/>
                <w:position w:val="7"/>
                <w:sz w:val="16"/>
                <w:sz w:val="20"/>
                <w:shd w:fill="FFFFFF" w:val="clear"/>
              </w:rPr>
              <w:t>(2)(3)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mandatory tax withholding requirements upon the non-reportable vesting and settlement of restricted stock units ("RSUs"). This is not an open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as of the transaction date, (i) 91,631 unvested RSUs out of 91,631 RSUs granted on February 9, 2026, vesting 25% on each annual anniversary of the date of grant over four years, subject to the Reporting Person's continued service as of the applicable vesting date and that will be settled into common stock upon vesting; (ii) 58,338 unvested RSUs out of 77,784 RSUs granted on February 19, 2025, vesting 25% on each annual anniversary of the date of grant over four years, subject to the Reporting Person's continued service as of the applicable vesting date and that will be settled into common stock upon vesting; (iii) 96,160 unvested RSUs out of 192,320 RSUs granted on April 1, 2024, vesting 25% on each annual anniversary of the date of grant over four years, subject to the Reporting Person's continued service as of the applicable vesting date and that will be settled into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(iv) 7,500 unvested RSUs out of 30,000 RSUs granted on July 24, 2023, vesting 25% on each annual anniversary of the date of grant over four years, subject to the Reporting Person's continued service as of the applicable vesting date and that will be settled into common stock upon vesting; (v) 23,750 unvested RSUs out of 95,000 RSUs granted on March 6, 2023, vesting 25% on each annual anniversary of the date of grant over four years, subject to the Reporting Person's continued service as of the applicable vesting date and that will be settled into common stock upon vesting; and (vi) 165,682 shares of common stock directly owned by the Reporting Person, which reflects prior option exercises and the prior net settlement upon vesting of previously granted RSUs after the withholding of shares to cover applicable taxes. Each RSU represents a contingent right to receive one share of common stock of the Issuer.</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Kaitlin M. Kestenberg-Messina, by Michael A. Goldstein as Attorney-in-fact</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7423" TargetMode="External"/><Relationship Id="rId5" Type="http://schemas.openxmlformats.org/officeDocument/2006/relationships/hyperlink" Target="http://www.sec.gov/cgi-bin/browse-edgar?action=getcompany&amp;CIK=00013685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927</Words>
  <Characters>4905</Characters>
  <CharactersWithSpaces>5762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