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200660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286385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right="1920" w:firstLine="8"/>
        <w:spacing w:after="0" w:line="266" w:lineRule="auto"/>
        <w:tabs>
          <w:tab w:leader="none" w:pos="48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31, 2024</w:t>
      </w:r>
    </w:p>
    <w:p>
      <w:pPr>
        <w:spacing w:after="0" w:line="17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UNDER SECTION 13 OR 15(d) OF THE SECURITIES EXCHANGE ACT OF 1934</w:t>
      </w:r>
    </w:p>
    <w:p>
      <w:pPr>
        <w:spacing w:after="0" w:line="33" w:lineRule="exact"/>
        <w:rPr>
          <w:sz w:val="24"/>
          <w:szCs w:val="24"/>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Commission File Number: 001-36728</w:t>
      </w:r>
    </w:p>
    <w:p>
      <w:pPr>
        <w:spacing w:after="0" w:line="1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ADMA BIOLOGICS,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45"/>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24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56-2590442</w:t>
            </w:r>
          </w:p>
        </w:tc>
      </w:tr>
      <w:tr>
        <w:trPr>
          <w:trHeight w:val="198"/>
        </w:trPr>
        <w:tc>
          <w:tcPr>
            <w:tcW w:w="43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940" w:type="dxa"/>
            <w:vAlign w:val="bottom"/>
          </w:tcPr>
          <w:p>
            <w:pPr>
              <w:spacing w:after="0"/>
              <w:rPr>
                <w:sz w:val="17"/>
                <w:szCs w:val="17"/>
                <w:color w:val="auto"/>
              </w:rPr>
            </w:pPr>
          </w:p>
        </w:tc>
        <w:tc>
          <w:tcPr>
            <w:tcW w:w="43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9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9"/>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465 State Route 17, Ramsey, New Jersey</w:t>
            </w:r>
          </w:p>
        </w:tc>
        <w:tc>
          <w:tcPr>
            <w:tcW w:w="524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07446</w:t>
            </w:r>
          </w:p>
        </w:tc>
      </w:tr>
      <w:tr>
        <w:trPr>
          <w:trHeight w:val="234"/>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40" w:type="dxa"/>
            <w:vAlign w:val="bottom"/>
          </w:tcPr>
          <w:p>
            <w:pPr>
              <w:spacing w:after="0"/>
              <w:rPr>
                <w:sz w:val="20"/>
                <w:szCs w:val="20"/>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(201) 478-5552</w:t>
      </w:r>
    </w:p>
    <w:p>
      <w:pPr>
        <w:spacing w:after="0" w:line="3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4"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304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9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7"/>
        </w:trPr>
        <w:tc>
          <w:tcPr>
            <w:tcW w:w="410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ADMA</w:t>
            </w:r>
          </w:p>
        </w:tc>
        <w:tc>
          <w:tcPr>
            <w:tcW w:w="76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88" w:lineRule="exact"/>
        <w:rPr>
          <w:sz w:val="24"/>
          <w:szCs w:val="24"/>
          <w:color w:val="auto"/>
        </w:rPr>
      </w:pPr>
    </w:p>
    <w:p>
      <w:pPr>
        <w:ind w:right="1760"/>
        <w:spacing w:after="0" w:line="368"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4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173"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was $2,535,856,298 as of June 30, 2024 (the last business day of the registrant’s most recently completed second fiscal quarter), based on a total of 226,820,778 shares of common stock held by non-affiliates and a closing price of $11.18 as reported on the Nasdaq Global Market on June 28, 2024.</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March 10, 2025, there were 237,615,100 shares of the issuer’s common stock outstanding.</w:t>
      </w:r>
    </w:p>
    <w:p>
      <w:pPr>
        <w:sectPr>
          <w:pgSz w:w="11900" w:h="16838" w:orient="portrait"/>
          <w:cols w:equalWidth="0" w:num="1">
            <w:col w:w="11200"/>
          </w:cols>
          <w:pgMar w:left="320" w:top="698" w:right="379" w:bottom="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the ADMA Biologics, Inc. definitive proxy statement to be filed pursuant to Regulation 14A within 120 days after the end of the fiscal year are incorporated by reference into Part III of this Annual Report on Form 10-K and certain documents are incorporated by reference into 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148590</wp:posOffset>
            </wp:positionV>
            <wp:extent cx="70980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200025</wp:posOffset>
            </wp:positionV>
            <wp:extent cx="709803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4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ADMA BIOLOGICS, INC.</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III</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IV</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240" w:type="dxa"/>
            <w:vAlign w:val="bottom"/>
            <w:gridSpan w:val="2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Some of the information in this Annual Report on Form 10-K contains “forward-looking statements” within the meaning of Section 27A of the Securities Act of 1933, as amended (the “Securities Act”) and Section 21E of the Securities Exchange Act of 1934, as amended (the “Exchange Act”), and such forward-looking statements involve risks and uncertainties. These forward-looking statements include, but are not limited to, statements about our plans, objectives, representations and contentions that are not historical facts and typically are identified by use of terms such as “may,” “should,” “could,” “would,” “expect,” “plan,” “anticipate,” “believe,” “estimate,” “predict,” “potential,” “project,” “continue,” or the negative thereof, or other variations or comparable terminology, although some forward-looking statements are expressed differently. The forward-looking statements included herein represent management’s current judgment and expectations, but our actual results, events and performance could differ materially from those in the forward-looking statements. These statements include statements about:</w:t>
      </w:r>
    </w:p>
    <w:p>
      <w:pPr>
        <w:spacing w:after="0" w:line="19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commercialize ASCENIV and BIVIGAM;</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manufacture, market, launch and expand our commercial infrastructure and commercialize our current and future products and the success of such efforts;</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or expected timing, progress and results of clinical development, clinical trials and potential regulatory approvals for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our third-party customers, suppliers and vendors and their compliance with applicable regulatory requirements;</w:t>
      </w:r>
    </w:p>
    <w:p>
      <w:pPr>
        <w:spacing w:after="0" w:line="22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have addressed the delays experienced with final drug product current Good Manufacturing Practices (“cGMP”) release testing by our third-party vendors by adding additional release testing laboratories to our U.S. Food and Drug Administration (the “FDA”)-approved consortium listed in our drug approval documents;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quantities of FDA-approved plasma with proper specifications;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increase our supplies of source plasma (including source plasma containing certain levels of antibodies to Respiratory Syncytial Virus), our ability to obtain and maintain regulatory compliance and reliance on third-party supply agreements as well as any extensions to such agreements;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indications for our products and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investigational new product applications;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acceptability of any of our products, including ASCENIV, BIVIGAM and Nabi-HB, for any purpose, including FDA-approved indications, by physicians, patients or payers;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evaluate the clinical and regulatory paths to grow the ASCENIV franchise through expanded FDA-approved uses;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regulatory and business review processes and timing by such governmental and regulatory agencies of our business and regulatory submissions;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concurrence by the FDA with our conclusions concerning our products and product candidates;</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right="5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results of our hyperimmune and immune globulin (“IG”) products to other comparably run hyperimmune and immune globulin clinical trials;</w:t>
      </w:r>
    </w:p>
    <w:p>
      <w:pPr>
        <w:spacing w:after="0" w:line="161" w:lineRule="exact"/>
        <w:rPr>
          <w:rFonts w:ascii="Times New Roman" w:cs="Times New Roman" w:eastAsia="Times New Roman" w:hAnsi="Times New Roman"/>
          <w:sz w:val="18"/>
          <w:szCs w:val="18"/>
          <w:color w:val="auto"/>
        </w:rPr>
      </w:pPr>
    </w:p>
    <w:p>
      <w:pPr>
        <w:ind w:left="660" w:right="78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ASCENIV and BIVIGAM to provide meaningful clinical improvement for patients living with Primary Humoral Immunodeficiency (“PI”), also known as Primary Immunodeficiency Disease (“PIDD”) or Inborn Errors of Immunity, or other immune deficiencies or any other condition for which the products may be prescribed or evaluated;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promote Nabi-HB in a highly competitive environment with increasing competition from other antiviral therapies and to generate meaningful revenues from this product;</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defense thereof, including our expectations regarding the scope of patent protection with respect to ASCENIV, SG-001 or other future pipeline product candidates;</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receive regulatory approval and commercialize our potential pipeline of any new hyperimmune globulins, including SG-001;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third-party contractor capabilities and vertical integration strategy;</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expansion and efficiencies of our manufacturing capacity, yield improvements, supply-chain robustness, in-house fill-finish capabilities, distribution and other collaborative agreements and the success of such endeavors;</w:t>
      </w:r>
    </w:p>
    <w:p>
      <w:pPr>
        <w:spacing w:after="0" w:line="16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revenues, net income, Adjusted EBITDA, expenses, capital requirements, ASCENIV’s growth, ability to maintain profitability and positive cash flows and the potential need for and availability of additional financing;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our deferred tax assets or the need for a valuation allowance, or the effects of changes in tax laws on our deferred tax assets;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taxable income and the timing of a potential full or partial release of the valuation allowance against our net deferred tax assets, which could have a material impact on our financial condition or financial results;</w:t>
      </w:r>
    </w:p>
    <w:p>
      <w:pPr>
        <w:spacing w:after="0" w:line="16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effective tax rates and corresponding tax obligations, which could have a material impact on our financial condition or financial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or likely reimbursement levels for our currently marketed products;</w:t>
      </w:r>
    </w:p>
    <w:p>
      <w:pPr>
        <w:spacing w:after="0" w:line="225"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market size, projected growth and sales of our existing products as well as our expectations of market acceptance of ASCENIV and BIVIGAM;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a resurgence of a pandemic, may adversely affect our business, financial condition, liquidity or results of operations; and</w:t>
      </w:r>
    </w:p>
    <w:p>
      <w:pPr>
        <w:spacing w:after="0" w:line="22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domestic and global economic conditions including, but not limited to, supply chain constraints, inflationary pressures or performance or geopolitical conditions, including the continuing conflicts in Europe and in the Middle East and surrounding areas and international trade and U.S. tariff policies and any anticipated effects of such policies on the pricing and availability of imported raw materials used in the production of our products.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foregoing, you should also consider carefully the statements under the section entitled “Risk Factors” and other sections of this Annual Report on Form 10-K, which address additional factors that could cause our actual results to differ from those set forth in the forward-looking statements. We undertake no obligation to release publicly any updates or revisions to any forward-looking statements contained herein to reflect any change in our expectations or any changes in events, conditions or circumstances on which any such statement is based, except as required by law.</w:t>
      </w:r>
    </w:p>
    <w:p>
      <w:pPr>
        <w:spacing w:after="0" w:line="17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8"/>
          <w:szCs w:val="18"/>
          <w:color w:val="auto"/>
        </w:rPr>
        <w:t>This Annual Report on Form 10-K includes our trademarks, trade names and service marks, such as “ASCENIV</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“BIVIGAM®” and “Nabi-HB®”, which are protected under applicable intellectual property laws and are the property of ADMA Biologics, Inc., or its subsidiaries. Solely for convenience, trademarks, trade names and service marks referred to in this Annual Report may appear without the ® or ™ symbols, but the absence of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Business section to “ADMA,” “ADMA Biologics,” the “Company,” “we,” “us” and “our” refer to ADMA Biologics, Inc., a Delaware corporation, as well as its wholly-owned subsidiaries, ADMA BioManufacturing, LLC, a Delaware limited liability company (“ADMA BioManufacturing”), ADMA BioCenters Georgia Inc., a Delaware corporation (“ADMA BioCenters”) and ADMA Plasma Biologics, Inc., a Delaware corporation (“ADMA Plasma Biologics”).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are an end-to-end commercial biopharmaceutical company dedicated to manufacturing, marketing and developing specialty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Through our ADMA BioManufacturing business segment, we currently have three products with U.S. Food and Drug Administration (the “FDA”) approval,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in adults and adolescents, for which we received FDA approval on April 1, 2019 and commenced first commercial sales in October 2019; (ii) BIVIGAM , an IVIG product indicated for the treatment of PI, and for which we received FDA approval on May 9, 2019 and commenced commercial sales in August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Nos. 10,259,865 and 11,084,870 related to methods of treatment and prevention of </w:t>
      </w:r>
      <w:r>
        <w:rPr>
          <w:rFonts w:ascii="Times New Roman" w:cs="Times New Roman" w:eastAsia="Times New Roman" w:hAnsi="Times New Roman"/>
          <w:sz w:val="18"/>
          <w:szCs w:val="18"/>
          <w:i w:val="1"/>
          <w:iCs w:val="1"/>
          <w:color w:val="auto"/>
        </w:rPr>
        <w:t>S. pneumonia</w:t>
      </w:r>
      <w:r>
        <w:rPr>
          <w:rFonts w:ascii="Times New Roman" w:cs="Times New Roman" w:eastAsia="Times New Roman" w:hAnsi="Times New Roman"/>
          <w:sz w:val="18"/>
          <w:szCs w:val="18"/>
          <w:color w:val="auto"/>
        </w:rPr>
        <w:t xml:space="preserve"> infection for an immunoglobulin manufactured to contain standardized antibodies to numerous serotypes of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We have successfully completed production of a pilot-scale batch and are conducting animal studies for our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globulin program, SG-001. Our products and product candidates are intended to be used by physician specialists focused on caring for immune-compromised patients with or at risk for certain infectious diseases.</w:t>
      </w:r>
    </w:p>
    <w:p>
      <w:pPr>
        <w:spacing w:after="0" w:line="19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manufacture these products at our FDA-licensed, plasma fractionation and purification facility located in Boca Raton, Florida with a peak annual processing capability of up to 600,000 liters (the “Boca Facility”). Based on current production yields, our completed and ongoing supply chain enhancements and capacity expansion initiatives, we believe this facility has the potential to produce sufficient quantities of our immune globulin (“IG”) products representing projected annual revenues greater than $490 million in 2025 and $605 million in 2026. These revenue targets translate to potential fiscal year 2025 and 2026 Adjusted Net Income exceeding $175 million and $235 million, respectively, and Adjusted EBITDA exceeding $225 million and $305 million, respectively. The foregoing financial targets do not account for the potential FDA approval of our innovative yield enhancement production process described below.</w:t>
      </w:r>
    </w:p>
    <w:p>
      <w:pPr>
        <w:spacing w:after="0" w:line="18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December 2024, we successfully submitted a Prior Approval Supplement (the “PAS”) for potential approval of our innovative yield enhancement production process. Following FDA review of the submission, we anticipate receiving FDA approval by mid-2025, with potential revenue and earnings accretion expected in the second half of the year. This innovative process has demonstrated an ability to increase production yields by approximately 20% from the same starting plasma volume, potentially driving significant increases to financial targets, if approved.</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Through our ADMA BioCenters subsidiary, we currently operate ten source plasma collection facilities in the U.S., all of which hold FDA licenses. This business unit, which we refer to as our Plasma Collection Centers business segment, provides us with the blood plasma required for the manufacture of our products, and also allows us to sell certain quantities of source and hyperimmune plasma to third-party customers for further manufacturing. In addition, three of our FDA-approved plasma collection centers also have approvals from the Korean Ministry of Food and Drug Safety (“MFDS”), as well as FDA approval to operate a Hepatitis B immunization program.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provide contract manufacturing services for certain third-party clients. We also provide laboratory contracting services to certain customers and may provide contract filling, labeling and packing services utilizing our FDA-approved in-house fill-finish capabilities.</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achieved net income of $197.7 million, the first time in our history that we achieved net income on a GAAP basis, and generated positive cash flow from operations of $118.7 million. Our improved operating results are primarily the result of the substantial revenue growth and continued physician, patient and payer acceptance of ASCENIV.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ASCENIV</w:t>
      </w:r>
    </w:p>
    <w:p>
      <w:pPr>
        <w:spacing w:after="0" w:line="31"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18"/>
          <w:szCs w:val="18"/>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19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ASCENIV is approved for the treatment of PIDD or PI, a class of inherited genetic disorders that causes a deficient or absent immune system in adults and adolescents (12 to 17 years of age). Our pivotal Phase 3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patients diagnosed with PIDD better positions ADMA to potentially further evaluate ASCENIV in immune-compromised patients infected with or at-risk for RSV infection or potentially other respiratory viral pathogens at an appropriate time. Due to the COVID-19 pandemic, our plans were delayed. In the future, we may elect to work with the FDA and the immunology and infectious disease community to potentially design an appropriate clinical trial to evaluate the use of ASCENIV in this patient population. Commercial sales of ASCENIV commenced in October of 2019 and in 2023, we commenced manufacturing ASCENIV at the 4,400 Liter production scale. This expansion has improved the product’s margin profile and increased plant production capacity as fewer batches are needed to support our revenue goals. ASCENIV’s prescriber and patient base continued to expand during 2024, which drove record utilization and pull-through for this product. These elevated demand trends have sustained into 2025, and ADMA currently expects that this product’s rapid growth will continue throughout 2025 and beyond.</w:t>
      </w:r>
    </w:p>
    <w:p>
      <w:pPr>
        <w:spacing w:after="0" w:line="1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filing our supplemental Biologics License Application (“sBLA”) in mid-2025, with potential FDA approval in the first half of 2026, for the expansion of ASCENIV’s label to include the pediatric setting for patients who are two years and older.</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BIVIGAM</w:t>
      </w:r>
    </w:p>
    <w:p>
      <w:pPr>
        <w:spacing w:after="0" w:line="3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90"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On May 9, 2019, the FDA approved the PAS for the use of our IVIG manufacturing process (known as fractionation), thereby enabling us to re-launch and commercialize this product in the U.S.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April 28,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On December 12, 2023, we announced that the FDA approved the expansion of BIVIGAM’s label in the U.S. to now include the pediatric setting for those two years of age and 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Nabi-HB</w:t>
      </w:r>
    </w:p>
    <w:p>
      <w:pPr>
        <w:spacing w:after="0" w:line="3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which is a major global health problem. The Hepatitis B virus can cause chronic infection and places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ASCENIV in PIDD Patients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PIDD or PI, also known as Inborn Errors of Immunity, is a genetic disorder that causes a deficient or absent immune system, is caused by hereditary or genetic defects, and can affect anyone regardless of age or gender. PIDD patients are more vulnerable to infections and more likely to suffer complications from these infections. IVIG is a plasma-derived product that is used to prevent serious infections in patients with PIDD. It is comprised of polyclonal antibodies, which are proteins produced by B-cells that are used by the body’s immune system to neutralize foreign objects such as bacteria and viruses. It is estimated that there are about 250,000 diagnosed PIDD patients in the U.S., approximately half of whom are treated with IVIG regularly. As reported by </w:t>
      </w:r>
      <w:r>
        <w:rPr>
          <w:rFonts w:ascii="Times New Roman" w:cs="Times New Roman" w:eastAsia="Times New Roman" w:hAnsi="Times New Roman"/>
          <w:sz w:val="18"/>
          <w:szCs w:val="18"/>
          <w:i w:val="1"/>
          <w:iCs w:val="1"/>
          <w:color w:val="auto"/>
        </w:rPr>
        <w:t>The Plasma Proteins Market In The United States</w:t>
      </w:r>
      <w:r>
        <w:rPr>
          <w:rFonts w:ascii="Times New Roman" w:cs="Times New Roman" w:eastAsia="Times New Roman" w:hAnsi="Times New Roman"/>
          <w:sz w:val="18"/>
          <w:szCs w:val="18"/>
          <w:color w:val="auto"/>
        </w:rPr>
        <w:t>, the U.S. sales of immune and hyperimmune globulin products for all its uses were reported to be approximately $12 billion in 2023 and are expected to exceed $20 billion by 2030.</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ASCENIV, formerly known as RI-002, contains polyclonal antibodies against various infectious agents, such as streptococcus pneumoniae, H. influenza type B, CMV, measles and tetanus, including standardized antibodies against RSV. RSV is a common respiratory virus that often presents during the winter months. Nearly all children will have been infected with RSV by three years of age; however, the immune systems of most healthy children prevent significant morbidity and mortality. Conversely, in patients who are immune-compromised, such as those with PIDD or who have undergone a hematopoietic stem cell or solid organ transplant and may be on immunosuppressive drugs or chemotherapy, RSV infection can be associated with significant morbidity and mortality. Immune-compromised patients historically have a 5% to 15% rate of RSV infection, and, if left untreated, lower respiratory tract RSV infections in immune-compromised patients can result in a mortality rate of up to 40% of infected patients. In hematopoietic stem cell transplant (“HSCT”) patients, a subset of the immune-compromised patient population with approximately 25,000 transplants being performed annually in the U.S., it is estimated that about 25% of patients treated with the current standard of care (aerosolized Ribavirin) will progress to Lower Respiratory Tract Infection (“LRTI”) while 41% of patients untreated with the current standard of care will progress to LRTI.</w:t>
      </w:r>
    </w:p>
    <w:p>
      <w:pPr>
        <w:spacing w:after="0" w:line="19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RI-002 pivotal Phase III clinical trial was conducted as a single arm study in which patients were treated approximately once per month for a period of 12 months plus 90 days for follow up. Fifty-nine patients were enrolled in nine treatment centers in the U.S. The pivotal Phase III primary endpoint followed published FDA industry guidance, which provides for a reduction in the incidence of SBI to less than one per year in each subject receiving IVIG. The secondary outcome was safety and included other pharmacokinetic (“PK”) data collection points including antibody titers for certain agents, including RSV antibody levels at various time points after infusion.</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RI-002 demonstrated positive results in the Phase III study in patients with PIDD, meeting its primary endpoint of no SBIs reported. RI-002 was administered in a total of 793 infusions with zero serious adverse events to 59 patients in nine treatment centers throughout the U.S. These results, included in our Biologics License Application (“BLA”), exceed the requirement specified by FDA guidance of ≤ 1 serious infection per patient-year.</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February 22, 2015, at the 2015 American Academy of Allergy, Asthma &amp; Immunology Annual Meeting, scientific investigators reported on the secondary outcomes that included: a total of 93 days, or 1.66 days per patient per year lost from work or school due to infection; one hospitalization due to an infection of only five days duration in the entire study and Immune Globulin (“IgG”) trough levels above those required by the FDA for IVIG products. Additionally, there was a marked increase in all of the measured specific anti-pathogen antibodies in PK subjects (n=31). The mean of maximum fold increases in specific antibody levels after infusion of RI-002 ranged from 1.9 fold (S. pneumonia type 19A) to 5.3 fold (RSV), which were statistically significant fold increases from the pathogen’s specific measured baselines. The safety profile of ASCENIV is comparable to that of other immunoglobulins.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ASCENIV in RSV-Infected Patients</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RSV is a common virus that ordinarily leads to mild, cold-like symptoms in healthy adults and children. In high-risk groups, such as the PIDD population and other immune-compromised populations, RSV can lead to a more serious infection and may even cause death. The polyclonal antibodies that are present in ASCENIV are expected to prevent infections in immune-compromised patients.</w:t>
      </w:r>
    </w:p>
    <w:p>
      <w:pPr>
        <w:spacing w:after="0" w:line="17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In October 2019, we announced the successful treatment of ASCENIV in two children suffering with RSV through our compassionate use program. The two immunocompromised children admitted to the Mayo Clinic each were diagnosed with T-cell lymphoblastic lymphoma. Both patients were undergoing delayed intensification chemotherapy and each were diagnosed with RSV Lower Respiratory Tract Infection (“LRTI”). Both children were treated with ASCENIV under an emergency FDA Investigational New Drug (“IND”) protocol.</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previously conducted a randomized, double-blind, placebo-controlled Phase II clinical trial to evaluate RI-001, RI-002’s predecessor product candidate, in immune-compromised, RSV-infected patients. This trial was conducted with 21 patients in the U.S., Canada, Australia, and New Zealand. The Phase II dose-ranging trial demonstrated a statistically significant improvement in the change from baseline RSV titers to day 18 in the high dose and low dose treatment groups when compared with placebo (p=0.0043 and p=0.0268, respectively). The mean fold increase for high dose was 9.24 (95% CI 4.07, 21.02) and the observed mean fold increase for low dose was 4.85 (95% CI 2.22, 10.59). The mean fold change for placebo treated patients was 1.42 (95% CI 0.64, 3.17). In addition, more patients in the high dose (85.7%) and low dose (42.9%) groups experienced greater than a four-fold increase from baseline to day 18 in RSV titer levels compared to placebo (0%). There were no serious drug-related adverse events reported during the trial.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From April 2009 through February 2011, RI-001 was also administered to 15 compassionate use patients where physicians requested access to the product for treating their patients with documented lower respiratory tract RSV infections due to the fact that these patients had failed conventional therapeutic interventions. Serum samples were obtained from 13 patients. Samples showed that patients demonstrated a four-fold or greater rise in RSV antibody titers from baseline. Serum samples were not obtained from two patients that received Palivizumab. All 11 surviving patients received RI-001 within an average of 4.4 days after the onset of the diagnosis of RSV. The drug was well-tolerated in all 15 patients and there were no reports of serious adverse events attributable to RI-001.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Plasma Collection Operations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ADMA BioCenters operates a total of ten U.S.-based plasma collection facilities, all of which hold FDA licenses and are actively collecting source and high-titer RSV plasma. Currently, three facilities have also received approvals from MFDS as well as FDA approval to implement a Hepatitis B immunization program. Source plasma that is collected from our FDA-licensed facilities provides us with the blood plasma for the manufacture of our products.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are sold to third-party customers in the U.S. and other international locations where we are approved under supply agreements or in the open “spot”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goal is to be a leader in manufacturing, marketing and developing specialty biologics that are intended to extend and enhance the lives of individuals who are naturally or medically immune-compromised. The key elements of our strategy for achieving this goal are as follows:</w:t>
      </w:r>
    </w:p>
    <w:p>
      <w:pPr>
        <w:spacing w:after="0" w:line="158" w:lineRule="exact"/>
        <w:rPr>
          <w:sz w:val="20"/>
          <w:szCs w:val="20"/>
          <w:color w:val="auto"/>
        </w:rPr>
      </w:pPr>
    </w:p>
    <w:p>
      <w:pPr>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expand the commercial production of our IG products and notably drive a revenue mix shift favoring sales of ASCENIV for the treatment of patients with PI</w:t>
      </w:r>
      <w:r>
        <w:rPr>
          <w:rFonts w:ascii="Times New Roman" w:cs="Times New Roman" w:eastAsia="Times New Roman" w:hAnsi="Times New Roman"/>
          <w:sz w:val="18"/>
          <w:szCs w:val="18"/>
          <w:color w:val="auto"/>
        </w:rPr>
        <w:t>. We continue to enhance our recruiting initiatives and expand our existing specialty commercial sales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commercial-facing organization to market ASCENIV and BIVIGAM to appropriate sites of care, including home healthcare infusion facilities, hospitals, physician offices/clinics and other specialty treatment and infusion center organizations. We also anticipate staffing our Company with additional personnel for patient support, medical affairs, quality assurance, quality control, inventory management, regulatory affairs, manufacturing, scientific affairs and third-party reimbursement. We currently use and may continue to partner with a network of national distributors to fulfill orders for ASCENIV and BIVIGAM.</w:t>
      </w:r>
    </w:p>
    <w:p>
      <w:pPr>
        <w:spacing w:after="0" w:line="182" w:lineRule="exact"/>
        <w:rPr>
          <w:rFonts w:ascii="Times New Roman" w:cs="Times New Roman" w:eastAsia="Times New Roman" w:hAnsi="Times New Roman"/>
          <w:sz w:val="18"/>
          <w:szCs w:val="18"/>
          <w:color w:val="auto"/>
        </w:rPr>
      </w:pPr>
    </w:p>
    <w:p>
      <w:pPr>
        <w:ind w:left="660" w:right="20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ASCENIV’s FDA-approved uses</w:t>
      </w:r>
      <w:r>
        <w:rPr>
          <w:rFonts w:ascii="Times New Roman" w:cs="Times New Roman" w:eastAsia="Times New Roman" w:hAnsi="Times New Roman"/>
          <w:sz w:val="18"/>
          <w:szCs w:val="18"/>
          <w:color w:val="auto"/>
        </w:rPr>
        <w:t>. Having received approval by the FDA for ASCENIV as a treatment for PIDD, we may elect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 the clinical and regulatory paths to grow the ASCENIV franchise through expanded FDA-approved uses. We plan to leverage our previously conducted randomized, double-blind, placebo-controlled Phase II clinical trial evaluating RI-001, ASCENIV’s predecessor product candidate, as well as the drug’s real-world impact on patient outcomes, to drive further penetration into ASCENIV’s targeted market principally comprised of patients suffering from complex and comorbid primary immunodeficiencies.</w:t>
      </w:r>
    </w:p>
    <w:p>
      <w:pPr>
        <w:spacing w:after="0" w:line="179" w:lineRule="exact"/>
        <w:rPr>
          <w:rFonts w:ascii="Times New Roman" w:cs="Times New Roman" w:eastAsia="Times New Roman" w:hAnsi="Times New Roman"/>
          <w:sz w:val="18"/>
          <w:szCs w:val="18"/>
          <w:color w:val="auto"/>
        </w:rPr>
      </w:pPr>
    </w:p>
    <w:p>
      <w:pPr>
        <w:ind w:left="660" w:right="6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Improve the Boca Facility’s and ADMA BioCenters’ operating efficiencies, yields and gross margins. </w:t>
      </w:r>
      <w:r>
        <w:rPr>
          <w:rFonts w:ascii="Times New Roman" w:cs="Times New Roman" w:eastAsia="Times New Roman" w:hAnsi="Times New Roman"/>
          <w:sz w:val="18"/>
          <w:szCs w:val="18"/>
          <w:color w:val="auto"/>
        </w:rPr>
        <w:t>During 2025, we plan to advance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biologic production yield enhancement initiative to capture additional IG production yields from our manufacturing process with the same quantities of starting raw material. These initiatives are subject to further evaluation and requisite regulatory review. In December 2024, we successfully submitted a PAS for potential approval of our innovative yield enhancement production process. Following FDA review of the submission, we anticipate receiving FDA approval by mid-2025, with potential revenue and earnings accretion expected in the second half of the year. This innovative process has demonstrated an ability to increase production yields by approximately 20% from the same starting plasma volume, potentially driving significant increases to financial targets, if approved. During 2021, we received FDA approvals for our 4,400L expanded IVIG production scale, as well as our in-house fill-finish and related operations production line using our aseptic filling machine. In 2023, we commenced manufacturing ASCENIV at the 4,400 Liter production scale, and for the full year ended December 31, 2024, substantially all of our production batches sold were produced at the expanded 4,400 Liter scale. This expansion has improved the product’s margin profile and increased plant production capacity as fewer batches are needed to support revenue goals.</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60" w:right="140" w:hanging="328"/>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Broadly Implement Innovative AI Program, ADMAlytics, to improve efficiencies across our supply chain and production operations.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2024, we announced the successful initial use of our Artificial Intelligence (AI) program, named ADMAlytics. ADMAlytics combines AI and machine learning to improve and predict outcomes for production and operational processes. In early 2024, we successfully produced our first batch of ASCENIV utilizing our innovative ADMAlytics software to prospectively automate and realize efficiency improvements to plasma pooling during commercial manufacturing. In the third quarter of 2024, we successfully expanded implementation of ADMAlytics to our commercial division. When fully implemented, ADMAlytics is expected to further optimize our commercial growth strategy. The benefits of ADMAlytics include increased production efficiency, enhanced visibility into the 7–12-month manufacturing process, optimized commercial planning, streamlined plasma pooling, and reduced variability and personnel hours. These efficiencies are expected to further benefit our rapid earnings growth outlook.</w:t>
      </w:r>
    </w:p>
    <w:p>
      <w:pPr>
        <w:spacing w:after="0" w:line="188"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Label expansion. </w:t>
      </w:r>
      <w:r>
        <w:rPr>
          <w:rFonts w:ascii="Times New Roman" w:cs="Times New Roman" w:eastAsia="Times New Roman" w:hAnsi="Times New Roman"/>
          <w:sz w:val="18"/>
          <w:szCs w:val="18"/>
          <w:color w:val="auto"/>
        </w:rPr>
        <w:t>Upon regulatory approval, the ongoing post-marketing clinical study of ASCENIV, which has successfully completed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enrollment, may provide a label expansion opportunity to include pediatric-aged PI patients as well as additional publications supporting product safety. We anticipate filing our sBLA in mid-2025, with potential FDA approval in the first half of 2026, for the expansion of ASCENIV’s label in the U.S. to include the pediatric setting for patients who are two years and older.</w:t>
      </w:r>
    </w:p>
    <w:p>
      <w:pPr>
        <w:spacing w:after="0" w:line="176" w:lineRule="exact"/>
        <w:rPr>
          <w:rFonts w:ascii="Times New Roman" w:cs="Times New Roman" w:eastAsia="Times New Roman" w:hAnsi="Times New Roman"/>
          <w:sz w:val="18"/>
          <w:szCs w:val="18"/>
          <w:color w:val="auto"/>
        </w:rPr>
      </w:pPr>
    </w:p>
    <w:p>
      <w:pPr>
        <w:ind w:left="660" w:hanging="328"/>
        <w:spacing w:after="0" w:line="25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and develop our pipeline with additional specialty plasma and/or hyperimmune immunoglobulin products</w:t>
      </w:r>
      <w:r>
        <w:rPr>
          <w:rFonts w:ascii="Times New Roman" w:cs="Times New Roman" w:eastAsia="Times New Roman" w:hAnsi="Times New Roman"/>
          <w:sz w:val="18"/>
          <w:szCs w:val="18"/>
          <w:color w:val="auto"/>
        </w:rPr>
        <w:t>. Our core competency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development, manufacturing, testing and commercialization of plasma-derived therapeutics. We believe there are a number of under-addressed medical conditions for which plasma-derived therapeutics may be beneficial. Utilizing our intellectual property patents, which include our proprietary testing assay and other standardization methods and technologies, we have identified potential new product candidates that we may advance into preclinical activities. As part of expanding our product pipeline, we are developing an S. pneumonia hyperimmune globulin, and in 2024 we successfully produced a pilot-scale batch of this pipeline program, named SG-001. We are currently conducting animal studies for SG-001. S. pneumonia is the predominant cause of community-acquired pneumonia in the U.S., ranking as the ninth leading cause of overall mortality. We believe the strategic importance and unmet need are evident in both the prophylactic and therapeutic settings where documented anti-infective resistance is on the rise. Approximately one million U.S. adults contract pneumococcal pneumonia annually, resulting in 400,000 hospitalizations and a 5-7% mortality rate, of which approximately 7,000 deaths annually are attributable to anti-infective resistance. Despite vaccine availabilities, vaccine-naive and immune-compromised patient populations remain at risk and could potentially benefit from the immediately available neutralizing antibodies conferred with a hyperimmune globulin in both the in-patient and out-patient treatment settings. We estimate that an S. pneumonia hyperimmune globulin, if approved, has the potential to generate peak annual revenue of $300-500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Immunodeficiency Disease</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PIDD is a class of hereditary disorders characterized by defects in the immune system, due to either a lack of necessary antibodies or a failure of these antibodies to function properly. According to the World Health Organization, there are over 150 different presentations of PIDD. As patients suffering from PIDD lack a properly functioning immune system, they typically receive monthly, outpatient infusions of IVIG therapy. Without this exogenous antibody immune support, these patients would be susceptible to a wide variety of infectious diseases. PIDD has an estimated prevalence of 1:1,200 in the U.S., or approximately 250,000 people. As reported by </w:t>
      </w:r>
      <w:r>
        <w:rPr>
          <w:rFonts w:ascii="Times New Roman" w:cs="Times New Roman" w:eastAsia="Times New Roman" w:hAnsi="Times New Roman"/>
          <w:sz w:val="18"/>
          <w:szCs w:val="18"/>
          <w:i w:val="1"/>
          <w:iCs w:val="1"/>
          <w:color w:val="auto"/>
        </w:rPr>
        <w:t>The Plasma Proteins Market In The United States 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Marketing Research Bureau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October 2023</w:t>
      </w:r>
      <w:r>
        <w:rPr>
          <w:rFonts w:ascii="Times New Roman" w:cs="Times New Roman" w:eastAsia="Times New Roman" w:hAnsi="Times New Roman"/>
          <w:sz w:val="18"/>
          <w:szCs w:val="18"/>
          <w:color w:val="auto"/>
        </w:rPr>
        <w:t>, the U.S. market for IG in 2023 was approximately $12 billion and is expected to exceed $20 billion by 2030.</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most patients with PIDD present with infections, the differential diagnosis and initial investigations for an underlying immune defect are typically guided by the clinical presentation. In subjects with PIDD, individual infections are not necessarily more severe than those that occur in a normal host. Rather, the clinical features suggestive of an immune defect may be the recurring and/or chronic nature of infections with common pathogens that may result in end organ damage, such as bronchiectasis. In addition, subjects with PIDD will often respond poorly to standard antimicrobial therapy or they may have repeated infections with the same pathogen. The virulence of the infecting organism should also be considered, and a subject’s immune competence should be questioned when invasive infections are caused by low virulence or opportunistic pathogens. For example, infection with the opportunistic pathogens Pneumocystis jiroveci (previously Pneumocystis carinii) or atypical mycobacteria should prompt an investigation for underlying immunodeficiency. Typical clinical presentations for subjects with PIDD are:</w:t>
      </w:r>
    </w:p>
    <w:p>
      <w:pPr>
        <w:spacing w:after="0" w:line="19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antibody deficiency and recurrent bacterial infections;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T-lymphocyte deficiency and opportunistic infections;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lymphocyte defects causing opportunistic infections;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neutrophil defects causing immunodeficiency;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complement deficiencies.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PIDD can present at any age from birth to adulthood, posing a considerable challenge for the practicing physician to know when and how to evaluate a subject for a possible immune defect. Subjects with marked antibody deficiencies are generally dependent on IVIG therapy for survival. Benefits of adequate IVIG therapy in subjects not able to produce antibodies normally include a reduction in the severity and frequency of infections, prevention of chronic lung disease and prevention of enteroviral meningoencephalitis. Several immune globulin products have already been approved by the FDA.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Plasma – Background, Composition and Manufacturing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blood contains a number of components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 blood cells – Used to carry oxygen from the lungs to the body;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blood cells – Used by the immune system to fight infection;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Platelets – Used for blood clotting;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 – Used to carry the aforementioned components throughout the body and provide support in clotting and immunity.</w:t>
      </w:r>
    </w:p>
    <w:p>
      <w:pPr>
        <w:spacing w:after="0" w:line="22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Plasma is the most abundant blood component, representing approximately 55% of total blood volume. Plasma, which is 90% water, is rich in proteins used by the human body for blood clotting and fighting infection. These proteins account for approximately 7% of plasma’s volume. As plasma contains these valuable proteins, plasma collection and the manufacturing of human plasma-derived therapeutics provide therapeutic benefits for ill patients.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order to produce plasma-derived therapeutics that can be administered to ill patients, raw material plasma must be collected from human donors and then manufactured into specialized products. Plasma is collected from healthy donors at FDA-licensed plasma donation centers. To ensure safety of the collected plasma, all plasma donations are tested using FDA-approved methods of Nucleic Acid Testing for various infectious diseases, such as HIV or HCV.</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Plasma is collected using a process known as “plasmapheresis.” During plasmapheresis, a donor’s blood is drawn into a specialized medical device that separates the plasma component through centrifugation, and then returns the other blood components back into the donor’s bloodstream. Plasmapheresis is performed utilizing an FDA-authorized, automated device with a sterile, self-contained collection kit. The plasma that is collected is known as “normal source plasma.” There are over 1,000 plasma donation centers in the U.S. As noted in a variety of plasma industry trade reports and related conferences, approximately 55.4 million liters of source plasma were collected in the U.S. in 2023. In the U.S., a donor may donate plasma a maximum of two times during any seven-day period, with at least two days in between donations. Plasma donation centers in the U.S. typically pay donors $50 to $100 per donation and some donors with rare or high antibody levels can be paid more.</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order to isolate the desired therapeutic elements in normal source plasma, it must initially go through the fractionation process. The process of fractionation was invented in the 1940’s by E.J. Cohn and is referred to as the Cohn method or cold ethanol fractionation. First, the source plasma undergoes a process called pooling, in which the individual plasma donations are combined into a pooling tank. Second, the Cohn fractionation method, which is a combination of time, temperature, pH, alcohol concentration and centrifugation, is used to separate the desired plasma protein components, or “fractions.” After fractionation, the separated proteins are then re-suspended and are treated with a solvent detergent treatment process for viral inactivation. Next, other forms of filtration, such as nanofiltration, are performed as an additional viral removal and viral reduction step. Finally, with the various components separated and purified, the bulk product is formulated and filled into final, finished vials. During these various steps of manufacturing, each lot is reviewed and tested for potency and purity prior to being approved for release. The biologics manufacturing process is time consuming and complex. The time for collection, manufacturing and release of a batch of IG is estimated at 7 to 12 months, which is not unique to just ADMA as other fractionators report similar production timelines.</w:t>
      </w:r>
    </w:p>
    <w:p>
      <w:pPr>
        <w:spacing w:after="0" w:line="1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proteins in human plasma fall into four categories: albumin (60% of protein volume), immune globulins (15% of protein volume), coagulation factors (1% of protein volume), and other proteins (24% of protein volume) such as alpha-1 proteinase inhibitor, C1 esterase inhibitor, fibrin sealants and fibrinogen. Many of the other proteins in plasma have yet to be developed into commercial therapies. In the U.S., not only are the plasma collection centers subject to FDA licensure, but each plasma protein product that is derived and fractionated from plasma must undergo an approval process with FDA’s Center for Biologics Evaluation and Research (“CBER”).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Immune Globulins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June 2008, the FDA published the FDA Guidance for Industry outlining the regulatory pathway for the approval of IVIG for the treatment of PIDD </w:t>
      </w:r>
      <w:r>
        <w:rPr>
          <w:rFonts w:ascii="Times New Roman" w:cs="Times New Roman" w:eastAsia="Times New Roman" w:hAnsi="Times New Roman"/>
          <w:sz w:val="18"/>
          <w:szCs w:val="18"/>
          <w:i w:val="1"/>
          <w:iCs w:val="1"/>
          <w:color w:val="auto"/>
        </w:rPr>
        <w:t>(Guidance for Industry: Safety, Efficacy, and Pharmacokinetic Studies to Support Marketing of Immune Globulin Intravenous (Human)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Replacement Therapy for Primary Humoral Immunodeficiency)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Immune globulins can be administered in three ways: intramuscularly, intravenously or subcutaneously. IVIG principally contains antibodies and, as such, provides passive immunization for individuals who are immune-deficient or who have been exposed to various infectious agents. IVIG is used therapeutically in a variety of immunological diseases/deficiencies, such as PIDD, idiopathic thrombocytopenic purpura, Guillain-Barré syndrome, Kawasaki disease, bone marrow transplant, and chronic inflammatory demyelinating polyneuropathy. We are aware that other companies are also evaluating IVIG in a clinical trial for the treatment of Alzheimer’s disease. Additionally, IVIG is also used as therapy in a variety of other diseases that do not involve primary or secondary immune deficiencies, such as multiple sclerosis, skin disease, and asthma. These latter uses are referred to as “off-label” or evidence-based uses because the FDA has not approved their use in these indications and promotion of such uses is not permitted by FDA unless a BLA or BLA supplement with additional data is approved. Among the various IVIG products, there are only 14 labeled indications approved by the FDA. However, medical literature identifies at least 150 evidence-based uses for IVIG, of which approximately 60 are currently included on lists of reimbursable uses by Medicare and other healthcare plans. This provides opportunities for new product development and submissions to potentially expand the label for our existing products.</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There are two types of immune globulins; standard and hyperimmune. The difference between standard immune globulins and hyperimmune globulins is that the latter are manufactured using plasma obtained from donors who have elevated amounts (high-titers) of specific antibodies. These high-titer products can be used to treat and prevent diseases that present those specific antigens that are reactive with the high-titer antibodies. Hyperimmune products currently available include Hepatitis B, tetanus, rabies, CMV and RhoD immune globulins.</w:t>
      </w:r>
    </w:p>
    <w:p>
      <w:pPr>
        <w:spacing w:after="0" w:line="17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reported by </w:t>
      </w:r>
      <w:r>
        <w:rPr>
          <w:rFonts w:ascii="Times New Roman" w:cs="Times New Roman" w:eastAsia="Times New Roman" w:hAnsi="Times New Roman"/>
          <w:sz w:val="18"/>
          <w:szCs w:val="18"/>
          <w:i w:val="1"/>
          <w:iCs w:val="1"/>
          <w:color w:val="auto"/>
        </w:rPr>
        <w:t>The Plasma Proteins Market In The United States 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Marketing Research Bureau Inc., October 2023</w:t>
      </w:r>
      <w:r>
        <w:rPr>
          <w:rFonts w:ascii="Times New Roman" w:cs="Times New Roman" w:eastAsia="Times New Roman" w:hAnsi="Times New Roman"/>
          <w:sz w:val="18"/>
          <w:szCs w:val="18"/>
          <w:color w:val="auto"/>
        </w:rPr>
        <w:t>, the U.S. sales of immune and hyperimmune globulin products for all its uses were reported to be approximately $12 billion in 2023 and are expected to exceed $20 billion in 2030. IVIG products are used to treat primary immune deficiencies, certain autoimmune diseases, and other illnesses for immune-compromised patients and certain neuropathy indications. New research and data, secondary immune deficiencies, additional labeled indications, an aging population and emerging countries with new markets are all adding to the worldwide demand and growth of IVIG utilization.</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of Our Products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order to produce plasma-derived therapeutics that can be administered to patients, raw material plasma is collected from healthy donors at plasma collection facilities licensed by the FDA. When stored under proper conditions, this plasma may have a shelf-life of up to ten years. Source plasma is collected at any one of over 1,000 FDA-licensed donation centers located throughout the U.S., using a process known as automated plasmapheresis. This sterile, self-contained, automated process separates red blood cells and other cellular components in the blood, which are then returned to the donor. Source plasma obtained by plasmapheresis is tested and must be negative for certain diseases, such as antibodies to human immunodeficiency virus types 1 and 2 (HIV-1/2), HbsAg and HCV, using FDA-approved serological test procedures.</w:t>
      </w:r>
    </w:p>
    <w:p>
      <w:pPr>
        <w:spacing w:after="0" w:line="187" w:lineRule="exact"/>
        <w:rPr>
          <w:sz w:val="20"/>
          <w:szCs w:val="20"/>
          <w:color w:val="auto"/>
        </w:rPr>
      </w:pPr>
    </w:p>
    <w:p>
      <w:pPr>
        <w:ind w:right="160" w:firstLine="648"/>
        <w:spacing w:after="0" w:line="272" w:lineRule="auto"/>
        <w:rPr>
          <w:sz w:val="20"/>
          <w:szCs w:val="20"/>
          <w:color w:val="auto"/>
        </w:rPr>
      </w:pPr>
      <w:r>
        <w:rPr>
          <w:rFonts w:ascii="Times New Roman" w:cs="Times New Roman" w:eastAsia="Times New Roman" w:hAnsi="Times New Roman"/>
          <w:sz w:val="17"/>
          <w:szCs w:val="17"/>
          <w:color w:val="auto"/>
        </w:rPr>
        <w:t>After receipt of the source plasma, the frozen plasma is thawed and pooled and goes through the fractionation process. During cold ethanol fractionation, classes of proteins are precipitated and removed by centrifugation or filtration. The fractionation process includes the following steps; precipitation and absorption, depth filtration, centrifugation and chromatography. Because of the human origin of the raw material and the thousands of donations required in the fractionation process, a significant risk associated with plasma products is the transmission of blood-borne infectious pathogens. These purification processes have the potential to reduce the viral load. The manufacturing process also utilizes a multistep viral removal/inactivation system, which further increases the safety of the products. The following manufacturing processes have been validated for their capability to eliminate or inactivate viruses: precipitation during cold ethanol fractionation, solvent/detergent treatment and nanofiltration. We incorporate these processes into the manufacturing process, which ensures that our products comply with the requirements of the FDA and are safe and efficacious.</w:t>
      </w:r>
    </w:p>
    <w:p>
      <w:pPr>
        <w:spacing w:after="0" w:line="1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Once our drug-substance is produced in the Boca Facility, the product is further processed by certain third- party fill-finish providers or through our own in-house fill-finish process, which was approved by the FDA in the second half of 2021. Labeling and packaging operations must further comply with regulatory requirements and products must be labeled in accordance with their regulatory approval and Drug Supply Chain Security Act (“DSCSA”) serialization requirements. The end-to-end production cycle can take approximately seven to 12 months for a batch of FDA released drug product. Since 2020, we have successfully implemented several manufacturing and supply chain enhancements, including the purchase and installation of a new aseptic filling machine and the manufacturing of ASCENIV and BIVIGAM at an increased scale. These initiatives are designed to reduce operating costs, improve margins and provide for faster production cycle turnaround time, ultimately providing increased control and independence from third-party vendors and contractors.</w:t>
      </w:r>
    </w:p>
    <w:p>
      <w:pPr>
        <w:spacing w:after="0" w:line="19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ADMA BioCenters has a total of ten source plasma collection facilities in its network, all of which are FDA-licensed, and should allow the Company to be essentially self-sufficient for its raw material normal source plasma supply to produce its commercial IG product portfolio. Three of our ADMA BioCenters plasma collection facilities also have approvals from the South Korean MFDS and licensure from the FDA for the collection and sale of Hepatitis B hyperimmune plasma obtained from immunized donors. At the present time, we do not plan to build additional plasma collection facilities beyond the existing ten, but we continue to have third-party supply contracts in place to augment our vertically integrated plasma collections.</w:t>
      </w:r>
    </w:p>
    <w:p>
      <w:pPr>
        <w:spacing w:after="0" w:line="183"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terms of a Plasma Purchase Agreement dated as of November 17, 2011 (the “2011 Plasma Purchase Agreement”), we agreed to purchase from our former contract manufacturer an annual minimum volume of source plasma containing antibodies to RSV to be used in the manufacture of ASCENIV. We must purchase a to-be-determined and agreed upon annual minimum volume from the counterparty, and under the original 2011 Plasma Purchase Agreement we were permitted to also collect high-titer plasma from up to five wholly-owned ADMA plasma collection facilities. During 2015, we amended the 2011 Plasma Purchase Agreement to (i) allow us to collect our raw material high-titer plasma from any number of wholly-owned ADMA plasma collection facilities and (ii) allow us to purchase our raw material high-titer plasma from other third-party collection organizations, in each case, provided that the annual minimum volumes from our former contract manufacturer were met, thus allowing us to expand our reach for raw material supply as we execute our commercialization plans for ASCENIV. On December 10, 2018, our former contract manufacturer assigned its rights and obligations under the 2011 Plasma Purchase Agreement to Grifols Worldwide Operations Limited (“Grifols”) as its successor-in-interest, effective January 1, 2019. Effective October 1, 2024, we entered into an Amended and Restated Plasma Purchase Agreement with Grifols (the “A&amp;R Grifols Agreement”) with a term expiring in September 2039, after which it may be renewed for two additional multi-year periods if agreed to by the parties. Pursuant to the A&amp;R Grifols Agreement, Grifols supplies, on a non-exclusive basis, to ADMA BioManufacturing a minimum of 35,000 liters of RSV plasma annually to be used in the manufacture of ASCENIV, with an escalating price per liter depending on the volume supplied in a given 12-month period, with a minimum annual price increase every 12 months. Additionally, Grifols will be entitled to receive a fixed bonus payment in the event that a specified liter amount of high-titer plasma is supplied to us in any 12-month period during the term of the A&amp;R Grifols Agreement.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Effective August 6, 2024, we entered into a Plasma Purchase Agreement with KEDPlasma LLC (“KEDPlasma”) with a term expiring in July 2031, after which it may be renewed for an additional multi-year period if agreed to by the parties (the “KEDPlasma Agreement”). Pursuant to the KEDPlasma Agreement, KEDPlasma supplies, on a non-exclusive basis, to ADMA BioManufacturing a minimum of 35,000 liters of RSV plasma annually commencing with the 12-month period ending July 31, 2026, with an escalating price per liter depending on the volume supplied in a given 12-month period. The price per liter of high titer plasma supplied pursuant to the KEDPlasma Agreement is also scheduled to increase on an annual basis. Additionally, KEDPlasma will be entitled to receive a fixed bonus payment in the event that a specified liter amount of RSV plasma is supplied to us in any 12-month period during the term of the KEDPlasma Agreement.</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A&amp;R Grifols Agreement, the KEDPlasma Agreement, our other plasma agreements with third parties and ADMA’s collection centers should allow us to source high titer plasma from approximately 250 collection centers in the U.S.</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June 6, 2017, we entered into a Plasma Supply Agreement with our former contract manufacturer, pursuant to which the counterparty supplies, on an exclusive basis subject to certain exceptions, to ADMA BioManufacturing an annual minimum volume of hyperimmune plasma that contain antibodies to the Hepatitis B virus for the manufacture of Nabi-HB. The Plasma Supply Agreement has a ten-year term. On July 19, 2018, the Plasma Supply Agreement was amended to provide, among other things, that in the event the counterparty elects not to supply in excess of ADMA BioManufacturing’s specified amount of Hepatitis B plasma and ADMA BioManufacturing is unable to secure Hepatitis B plasma from a third party at a price which is within a low double digit percentage of the price which ADMA BioManufacturing pays to the counterparty, then the counterparty shall reimburse ADMA BioManufacturing for the difference in price ADMA BioManufacturing incurs. On December 10, 2018, our former contract manufacturer assigned its rights and obligations under the Plasma Supply Agreement to Grifols, effective January 1, 2019.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Commercialization of Our Products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Currently, ASCENIV, BIVIGAM and Nabi-HB are sold primarily through independent distributors, drug wholesalers acting as sales agents, specialty pharmacies servicing both acute and ambulatory infusion centers and the home health infusion setting and other alternate site providers. In the U.S., independent distributors or third-party drug wholesalers ship our products through their distribution centers. These centers are generally stocked with adequate inventories to facilitate prompt customer service. Sales and distribution methods include frequent contact by sales and customer service representatives, automated communications via various electronic purchasing systems, circulation of catalogs and merchandising bulletins, direct-mail campaigns, trade publication presence and advertising.</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market and sell our products through our specialty sales force, distribution relationships and other customary industry methods. We focus our efforts specifically on the easily identifiable treatment centers which specialize in the care and management of immune compromised individuals. We estimate that there are approximately 500 leading specialty programs in the U.S. which have significant patient populations for PIDD, suitable for treatment with ASCENIV. Our management and Board of Directors (“Board”) have substantial prior direct marketing, sales and distribution experience with plasma-derived drugs, specialty immune globulins and other biological products. As is customary in the plasma products industry, we may also use a network of national distribution organizations that have specialty divisions that focus on plasma products to fulfill orders for ASCENIV.</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Efforts to generate increased market awareness for Nabi-HB include attending and presenting scientific information at medical conferences, as well as sponsoring medical education symposiums. We have also hired a specialty sales force consisting of account managers, medical science liaisons and other customary scientific, medical and detail representatives to market BIVIGAM and ASCENIV to hospitals, physician offices/clinics, and other specialty treatment organizations as applicable. In addition, we have expanded staffing efforts with additional personnel for patient support, medical affairs, quality assurance, regulatory affairs, scientific affairs, third-party reimbursement, inventory and logistics, human resources and financial and operational management. We may also use a network of national and regional distributors to assist with order fulfillment for BIVIGAM and ASCENIV for use by healthcare professionals and hospitals.</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Pursuant to our Manufacturing, Supply and License Agreement effective as of December 31, 2012, we granted to Biotest AG (“Biotest”) an exclusive license to market and sell ASCENIV in Europe and in selected countries in North Africa and the Middle East (the “Territory”), to have access to our testing services for testing of Biotest’s plasma samples using our proprietary RSV assay, and to reference (but not access) our proprietary information for the purpose of Biotest seeking regulatory approval for ASCENIV in the Territory. As consideration for the license, Biotest provided us with certain in-kind services and also compensated us with cash payments upon the completion of certain milestones. Biotest is also obligated to pay us an adjustable royalty based on a percentage of revenues from the sale of ASCENIV in the Territory for 20 years from the date of first commercial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two customers, BioCARE, Inc. (“BioCare”) and Priority Healthcare Distribution, Inc. (“Curascript”), represented an aggregate of 72% of our consolidated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plasma products industry is highly competitive. We face, and will continue to face, intense competition from both U.S.-based and foreign producers of plasma products, some of which have lower cost structures, greater access to capital, greater resources for research and development, and more sophisticated marketing capabilities.</w:t>
      </w:r>
    </w:p>
    <w:p>
      <w:pPr>
        <w:spacing w:after="0" w:line="176" w:lineRule="exact"/>
        <w:rPr>
          <w:sz w:val="20"/>
          <w:szCs w:val="20"/>
          <w:color w:val="auto"/>
        </w:rPr>
      </w:pPr>
    </w:p>
    <w:p>
      <w:pPr>
        <w:ind w:firstLine="690"/>
        <w:spacing w:after="0" w:line="255" w:lineRule="auto"/>
        <w:rPr>
          <w:sz w:val="20"/>
          <w:szCs w:val="20"/>
          <w:color w:val="auto"/>
        </w:rPr>
      </w:pPr>
      <w:r>
        <w:rPr>
          <w:rFonts w:ascii="Times New Roman" w:cs="Times New Roman" w:eastAsia="Times New Roman" w:hAnsi="Times New Roman"/>
          <w:sz w:val="18"/>
          <w:szCs w:val="18"/>
          <w:color w:val="auto"/>
        </w:rPr>
        <w:t>These competitors may include but are not limited to: CSL Behring, Grifols, Takeda, Octapharma and BPL/Kedrion. There are four producers of plasma-derived products in the U.S. consisting of: CSL Behring, Grifols, Takeda and ADMA Biologics. In addition to competition from other large worldwide plasma product providers, we face competition in local areas from smaller entities. In Europe, where the industry is highly regulated and healthcare systems vary from country to country, local companies may have greater knowledge of local healthcare systems, more established infrastructures and existing regulatory approvals or a better understanding of the local regulatory process, allowing them to market their products more quickly. Moreover, plasma therapy generally faces competition from non-plasma products and other courses of treatments. For example, recombinant Factor VIII products compete with plasma-derived products in the treatment of Hemophilia A.</w:t>
      </w:r>
    </w:p>
    <w:p>
      <w:pPr>
        <w:spacing w:after="0" w:line="189"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New technologies are being developed by biotech and pharmaceutical companies which may impact physician prescription and patient usage of IVIG. One such therapy approved by the FDA in 2021 is an anti-FcRn inhibitor (neonatal Fc receptor, IgG receptor) which is a protein in humans responsible for maintaining IgG levels. This FDA approved anti-FcRn is for the treatment of generalized Myasthenia Gravis that may impact a subset of overall general IVIG usage. Other such FcRn potential targeted indications in development that may disrupt general IVIG usage may include but are not limited to: Chronic Inflammatory Demyelinating Polyradiculoneuropathy (“CIDP”), a rare type of autoimmune disorder, Immune Thrombocytopenic Purpura (“ITP”), a blood disorder characterized by a decrease in the number of platelets in the blood and Pemphigus Vulgaris (“PV”), a rare type of autoimmune disorder.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rely on a combination of patents, patent applications, copyrights and trademarks, as well as contracts, such as confidentiality, material data transfer, nondisclosure, non-competition, license and invention assignment agreements, to protect our intellectual property rights. We also rely upon trade secret laws to protect unpatented know-how and advancing technological innovation.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200" w:firstLine="648"/>
        <w:spacing w:after="0" w:line="282" w:lineRule="auto"/>
        <w:rPr>
          <w:sz w:val="20"/>
          <w:szCs w:val="20"/>
          <w:color w:val="auto"/>
        </w:rPr>
      </w:pPr>
      <w:r>
        <w:rPr>
          <w:rFonts w:ascii="Times New Roman" w:cs="Times New Roman" w:eastAsia="Times New Roman" w:hAnsi="Times New Roman"/>
          <w:sz w:val="18"/>
          <w:szCs w:val="18"/>
          <w:color w:val="auto"/>
        </w:rPr>
        <w:t>We have intellectual property (patents, know-how, etc.) related to our immunotherapeutic compositions, manufacturing processes, immunotherapeutic treatment, and related methods and formulations.</w:t>
      </w:r>
    </w:p>
    <w:p>
      <w:pPr>
        <w:spacing w:after="0" w:line="162"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Patents related to our immune globulin product ASCENIV include U.S. Patent No. 9,107,906, which covers compositions comprising pooled plasma, as well as immunoglobulin prepared therefrom, that contains a standardized, elevated titer of RSV neutralizing antibodies and elevated levels of antibodies specific for one or more other respiratory pathogens, as well as methods of making and using the compositions. U.S. Patent Nos. 9,714,283, 9,815,886, 9,969,793, 10,683,343, 11,339,206 and 11,780,906, encompassing immunotherapeutic compositions and immunotherapeutic methods proprietary to us, also relate to ASCENIV. Additional U.S. and numerous foreign patents and patent applications also pertain to this technology.</w:t>
      </w:r>
    </w:p>
    <w:p>
      <w:pPr>
        <w:spacing w:after="0" w:line="183"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 xml:space="preserve">We also hold intellectual property, including patents and patent applications, related to immunotherapeutic compositions and immunotherapeutic methods for the treatment and prevention of </w:t>
      </w:r>
      <w:r>
        <w:rPr>
          <w:rFonts w:ascii="Times New Roman" w:cs="Times New Roman" w:eastAsia="Times New Roman" w:hAnsi="Times New Roman"/>
          <w:sz w:val="17"/>
          <w:szCs w:val="17"/>
          <w:i w:val="1"/>
          <w:iCs w:val="1"/>
          <w:color w:val="auto"/>
        </w:rPr>
        <w:t>S. pneumonia</w:t>
      </w:r>
      <w:r>
        <w:rPr>
          <w:rFonts w:ascii="Times New Roman" w:cs="Times New Roman" w:eastAsia="Times New Roman" w:hAnsi="Times New Roman"/>
          <w:sz w:val="17"/>
          <w:szCs w:val="17"/>
          <w:color w:val="auto"/>
        </w:rPr>
        <w:t xml:space="preserve"> infection. U.S. Patent Nos. 10,259,865, 11,084,870 and 11,897,943, each with a term through 2037, pertain to various aspects of this technology. Additional U.S. and numerous foreign patent applications also relate to this technology.</w:t>
      </w:r>
    </w:p>
    <w:p>
      <w:pPr>
        <w:spacing w:after="0" w:line="158"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We continue to prepare, file, and prosecute patent applications to provide broad and strong protection of our proprietary rights, including applications focused on existing and future products.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seek to enhance and ensure our competitive position through a variety of means, including our unique and proprietary plasma donor selection criteria, our proprietary formulation methodologies and proprietary reagents, controls, testing standards, standard operating procedures and methods used in our anti-RSV microneutralization assay. While we intend to defend against threats to our intellectual property, litigation can be costly and there can be no assurance that our patents will be enforced or that our trade secret policies and practices or other agreements will adequately protect our intellectual property. We seek to preserve the integrity and confidentiality of our data and trade secrets by maintaining physical security of our premises and physical and electronic security of our information technology systems. These processes, systems, and/or security measures may be breached, and we may not have adequate remedies as a result of any such breaches. Third parties may also own or could obtain patents that may require us to negotiate licenses to conduct our business, and there can be no assurance that the required licenses would be available on reasonable terms or at all.</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our trade secrets may otherwise become known or be independently discovered by competitors. We also seek to protect our proprietary technology and processes, in part, by confidentiality agreements with our employees, consultants, scientific advisors and contractors. Although we rely, in part, on confidentiality, nondisclosure, non-competition and invention assignment agreements with employees, consultants and other parties with access to our proprietary information to protect our trade secrets, proprietary technology, processes and other proprietary rights, there can be no assurance that these agreements or any other security measures related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88"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17"/>
          <w:szCs w:val="17"/>
          <w:color w:val="auto"/>
        </w:rPr>
        <w:t>We continue to invest in growing brand awareness globally. Our brand marketing is designed to increase awareness of the ADMA Biologics trade name and our product offerings by building on our industry reputation and strength of relationships. We hold multiple trademarks, including but not limited to ADMA, ADMA Biologics (including logo), ASCENIV, BIVIGAM, CIVACIR, Nabi-HB, Designed to Deliver, Partner in Protection and Advantage Ig.</w:t>
      </w:r>
    </w:p>
    <w:p>
      <w:pPr>
        <w:spacing w:after="0" w:line="2"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We will continue to allocate and expend resources to maintain and build market and consumer awareness and will defend our brand to the fullest extent possible.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The FDA and comparable regulatory agencies in state and local jurisdictions and in foreign countries impose substantial requirements upon, among other things, the testing (preclinical and clinical), quality control, research and development, approval and post-approval monitoring and reporting, manufacturing, labeling, storage, recordkeeping, advertising, promotion, import, export, marketing, sales and distribution of our products and product candidates. If we do not comply with applicable requirements, we may be subject to civil penalties, suspension or withdrawal of regulatory approvals, product recalls, seizure of products, fines, refusal by the government to approve our marketing applications and supplemental applications or to allow us to manufacture or market our products, and criminal prosecution, and we may be debarred or excluded from participation in government healthcare programs. These requirements are continually evolving. We and our manufacturers may also be subject to regulations under other federal, state and local laws.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w:t>
      </w:r>
    </w:p>
    <w:p>
      <w:pPr>
        <w:spacing w:after="0" w:line="31"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Our current and anticipated future product candidates are considered “biologics” under the FDA regulatory framework. Most pharmaceuticals or “conventional drugs” consist of pure chemical substances and their structures are known. Most biologics, however, are complex mixtures that are not easily identified or characterized. Biological products differ from conventional drugs in that they tend to be heat-sensitive and susceptible to microbial contamination. This requires sterile processes to be applied from initial manufacturing steps. In the U.S., the FDA regulates biologic products under the Federal Food, Drug and Cosmetic Act (the “FDCA”), the Public Health Service (“PHS”) Act and related federal regulations under Title 21 of the Code of Federal Regulations (“CFR”). The FDA also issues nonbinding guidance documents on a continuous basis, which provide the agency’s interpretation of its laws and regulations, as well as the FDA’s approach to scientific issues and questions. Biologics are also regulated under other federal, state, and local statutes and regulations by other regulatory authorities. The process required by the FDA before our product candidates may be marketed in the U.S. generally involves the following (although the FDA is given wide discretion to impose different or more stringent requirements on a case-by-case basis):</w:t>
      </w:r>
    </w:p>
    <w:p>
      <w:pPr>
        <w:spacing w:after="0" w:line="193"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preclinical, nonclinical and formulation studies performed in accordance with the FDA’s Good Laboratory Practice (“GLP”) regulations and other applicable laws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clinical trials may begin;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by an Institutional Review Board (“IRB”) at each clinical site before a clinical trial may be initiated at that site;</w:t>
      </w:r>
    </w:p>
    <w:p>
      <w:pPr>
        <w:spacing w:after="0" w:line="22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meeting FDA requirements, commonly referred to as Good Clinical Practices (“GCP”), and other additional requirements for the protection of human research subjects and to establish the safety and efficacy of the product candidate for each proposed indication;</w:t>
      </w:r>
    </w:p>
    <w:p>
      <w:pPr>
        <w:spacing w:after="0" w:line="17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(through an FDA-approved facility) of product in accordance with the FDA’s current Good Manufacturing Practices (“cGMP”) to be used in the clinical trials and providing manufacturing information needed in regulatory filings;</w:t>
      </w:r>
    </w:p>
    <w:p>
      <w:pPr>
        <w:spacing w:after="0" w:line="161"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 BLA to the FDA for marketing approval that includes substantial evidence of safety, purity and potency from results of clinical trials; the results of preclinical testing; detailed information about the Chemistry, Manufacturing, and Controls (“CMC”) and proposed labeling and packaging for the product candidate;</w:t>
      </w:r>
    </w:p>
    <w:p>
      <w:pPr>
        <w:spacing w:after="0" w:line="175"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facilities at which the product candidate is produced, and potentially other involved facilities as well, to assess compliance with cGMP regulations and other applicable regulations;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FDA inspections of the preclinical study and clinical trial sites that generate the data in support of the BLA; and</w:t>
      </w:r>
    </w:p>
    <w:p>
      <w:pPr>
        <w:spacing w:after="0" w:line="16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 BLA prior to any commercial marketing, sale or shipment of the product, including agreement on post-marketing commitments, and compliance with any post approval commitments, such as Risk Evaluation and Mitigation Strategies (“REMS”) and post approval studies required by the FDA.</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testing, review and approval process requires substantial time, effort and financial resources, and we cannot be certain that any approvals for our product candidates will be granted on a timely basis, if at all. We may encounter difficulties or unanticipated costs in our efforts to secure necessary governmental approvals, which could delay or preclude us from marketing our product candidates. In addition, the FDA may limit the indications for use or place other conditions on any approvals that could restrict the commercial application of our products. FDA may also conduct inspections, including remote regulatory assessments, of our facilities or the facilities of our contractors, both during product development and following approval. Any findings from those inspections could materially impact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3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Prior to commencing the first clinical trial at a United States investigational site, we must submit manufacturing and analytical data, pre-clinical or nonclinical data from studies conducted in accordance with GLP and clinical trial plans, among other information, to the FDA as part of an IND application. Subject to certain exceptions, an IND becomes effective 30 days after receipt by the FDA, unless the FDA, within the 30-day time period, issues a clinical hold to delay a proposed clinical investigation due to concerns or questions about the product or the conduct of the clinical trial, including concerns that human research subjects will be exposed to unreasonable health risks. In such a case, the IND sponsor and the FDA must resolve any outstanding concerns before the clinical trial can begin. Clinical holds also may be imposed by the FDA at any time before or during trials due to safety concerns or non-compliance.</w:t>
      </w:r>
    </w:p>
    <w:p>
      <w:pPr>
        <w:spacing w:after="0" w:line="188"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Our submission of an IND, or those of our collaboration partners, may not result in the FDA allowing us to commence a clinical trial. A separate submission to an existing IND must also be made for each successive clinical trial conducted during product development. The FDA must also approve certain changes to an existing IND, such as certain manufacturing changes. Further, an independent IRB duly constituted to meet FDA requirements for each medical center proposing to conduct the clinical trial must review and approve the plan for any clinical trial before it commences at that center and it must monitor the safety of the study and study subjects until completed. Special clinical trial ethical considerations also must be taken into account if a study involves children. The FDA, the IRB or the sponsor may suspend a clinical trial at any time on various grounds, including a finding that the subjects or patients are being exposed to an unacceptable health risk. Clinical testing also must satisfy extensive GCP requirements and regulations for informed consent and must be conducted with product meeting cGMPs. Additionally, some clinical trials are overseen by an independent group of qualified experts organized by the clinical trial sponsor, known as a data safety monitoring board or committee, which reviews data and makes recommendations to the sponsor regarding the trial.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31"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18"/>
          <w:szCs w:val="18"/>
          <w:color w:val="auto"/>
        </w:rPr>
        <w:t>For purposes of BLA submission and approval, clinical trials are typically conducted in the following three sequential phases, which may overlap (although additional or different trials may be required by the FDA as well):</w:t>
      </w:r>
    </w:p>
    <w:p>
      <w:pPr>
        <w:spacing w:after="0" w:line="181"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 clinical trials are initially conducted in a limited population to test the product candidate for safety, dose tolerance, absorption, metabolism, distribution and excretion in healthy humans or, on occasion, in patients, such as cancer patients.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 clinical trials are generally conducted in a larger but limited patient population to identify possible adverse effects and safety risks, to determine the efficacy of the product candidate for specific targeted indications and to determine tolerance and optimal dosage. Multiple Phase II clinical trials may be conducted by the sponsor to obtain information prior to beginning larger and more expensive Phase III clinical trials.</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trials are conducted to establish the overall risk/benefit profile of the product. Certain Phase III clinical trials are referred to as pivotal trials. Phase III clinical trials aim to provide substantial evidence of reproducibility of clinical efficacy and safety results for approval and to further test for safety in an expanded and diverse patient population at multiple, geographically dispersed clinical trial sites.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a BLA or supplement for a new active ingredient, new indication, new dosage form, new dosing regimen, or new route of administration must contain data that is adequate to assess the safety and effectiveness of the drug for the claimed indications in all relevant pediatric subpopulations, and to support dosing and administration for each pediatric subpopulation for which the product is safe and effective, unless the applicant has obtained a waiver or deferral. In 2012, the Food and Drug Administration Safety and Innovation Act amended the FDCA to require that a sponsor who is planning to submit such an application submit an initial Pediatric Study Plan (“iPSP”) within 60 days of an end-of-Phase II meeting or as may be agreed between the sponsor and the FDA. The FDA may, on its own initiative or at the request of the applicant, grant deferrals for submission of data or full or partial waivers. The FDA and the sponsor must reach agreement on the iPSP. Congress also passed legislation that will require that sponsors submit to the FDA a diversity action plan for Phase III or other pivotal studies, unless such requirement is waived by the FDA.</w:t>
      </w:r>
    </w:p>
    <w:p>
      <w:pPr>
        <w:spacing w:after="0" w:line="18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some cases, the FDA may condition continued approval of a BLA on the sponsor’s agreement to conduct additional clinical trials, or other commitments. Such post-approval studies are typically referred to as Phase IV studies, which are used to gain additional experience from the treatment of patients in the intended therapeutic indication, particularly for long-term safety follow-up.</w:t>
      </w:r>
    </w:p>
    <w:p>
      <w:pPr>
        <w:spacing w:after="0" w:line="17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and other sources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I, Phase II and Phase III clinical trials might not be completed successfully within any specified period, if at all.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 Information about clinical trials, including results, must be submitted within specific timeframes for listing on the ClinicalTrials.gov website.</w:t>
      </w:r>
    </w:p>
    <w:p>
      <w:pPr>
        <w:spacing w:after="0" w:line="19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limited circumstances, the FDA also permits the administration of investigational biological products to patients under its expanded access program. Under this program, provided certain qualifying criteria are met, patients who are not able to participate in a clinical trial may be eligible for accessing investigational products, including through individual compassionate or emergency use in concert with their requesting physician. Sponsors or distributors of investigational products for the diagnosis, monitoring, or treatment of one or more serious diseases or conditions must also have a publicly available policy on evaluating and responding to requests for expanded access.</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preclinical studies, animal studies, develop additional information about the physical characteristics of the biological product candidate and finalize a process for manufacturing the product in commercial quantities in accordance with cGMP requirements. To help reduce the risk of the introduction of adventitious agents with use of biological products, the PHS Act emphasizes the importance of manufacturing controls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biologics for the conduct of human clinical trials is subject to cGMP requirements. Investigational biologics and active ingredients and therapeutic substances imported into the United States are also subject to regulation by the FDA. Further, the export of investigational products outside the United States is subject to regulatory requirements of the receiving country as well as U.S. export requirements under the FDCA.</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Biologics License Applications</w:t>
      </w:r>
    </w:p>
    <w:p>
      <w:pPr>
        <w:spacing w:after="0" w:line="3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results of product candidate development, preclinical and nonclinical testing and clinical trials, together with, among other things, detailed information on the manufacture and composition of the product and proposed labeling, and the payment of a user fee, are submitted to the FDA as part of a BLA. Under the Prescription Drug User Fee Act (“PDUFA”), the fees payable to the FDA for reviewing an original BLA, as well as annual program fees for approved products can be substantial, subject to certain limited deferrals, waivers and reductions that may be available. The FDA has agreed to specified performance goals in the review of BLAs under the PDUFA.</w:t>
      </w:r>
    </w:p>
    <w:p>
      <w:pPr>
        <w:spacing w:after="0" w:line="18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Following submission, the FDA has 60 days to review all BLAs to determine if they are substantially complete before it accepts them for filing. The FDA may refuse to file a BLA that it deems incomplete or not reviewable at the time of submission, in which case the BLA will have to be updated and resubmitted. The FDA may also request additional information to be submitted in a very short time frame before accepting a BLA for filing.</w:t>
      </w:r>
    </w:p>
    <w:p>
      <w:pPr>
        <w:spacing w:after="0" w:line="17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If the FDA accepts the application for filing, the FDA reviews the BLA to determine, among other things, whether the proposed product is safe, pure, and potent for its intended use, and whether the product is being manufactured in compliance with cGMP. During its review of a BLA, the FDA may refer the application for novel product candidates or products that present difficult questions to an advisory committee of experts for their review, evaluation and recommendation as to whether the application should be approved, which information is taken into consideration along with the FDA’s own review findings. The FDA’s PDUFA review goal is to review 90% of priority BLAs within six months of filing and 90% of standard applications within ten months of filing, but the FDA can and frequently does extend this review timeline to consider certain later-submitted information or information intended to clarify or supplement an initial submission. The FDA may not complete its review or approve a BLA within these established goal review times.</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Before approving a marketing application, the FDA typically will inspect the facility or facilities where the product is manufactured, referred to as a Pre-Approval Inspection, as well as one or more clinical trial sites. The FDA will not approve a product candidate unless cGMP compliance is satisfactory.</w:t>
      </w:r>
    </w:p>
    <w:p>
      <w:pPr>
        <w:spacing w:after="0" w:line="176"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After the FDA conducts its in-depth review of the application and after the inspection of the manufacturing facilities and clinical trial sites, the FDA issues either an approval letter or a Complete Response Letter (“CRL”). A CRL generally outlines the deficiencies in the submission and may also require additional clinical or other data, including one or more additional pivotal Phase III clinical trials. Even if such requested data are submitted, the FDA may ultimately decide that the BLA does not satisfy the criteria for approval and issue a denial of the BLA. Data from clinical trials are not always conclusive and the FDA may interpret data differently than we do. If the FDA’s evaluations of the BLA, the clinical and manufacturing procedures and facilities are favorable, the FDA may issue an approval letter. If the evaluations are not favorable the FDA will issue a CRL, which may contain the conditions that must be met in order to secure final approval of the BLA. If a CRL is issued, a company has up to 12 months to resubmit or withdraw the BLA, unless the FDA allows for an extension as requested by a sponsor. If a CRL is issued, resubmissions for original applications and supplements of different types are subject to varying agency review procedures and review timing goals. For example, upon the resubmission of an original BLA application or efficacy supplement, CBER will classify the resubmission as either Class 1 (triggering a two-month review goal for the FDA) or Class 2 (triggering a six-month review goal for the FDA) depending on the circumstances. CBER also includes specific goals for review of manufacturing and labeling supplements, though in practice, FDA reviews may take longer than the stated goals.</w:t>
      </w:r>
    </w:p>
    <w:p>
      <w:pPr>
        <w:spacing w:after="0" w:line="19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and when the items identified in a CRL have been resolved to the FDA’s satisfaction, the FDA will issue an approval letter, authorizing commercial marketing of the product for certain indications. The FDA may withdraw product approval if ongoing regulatory requirements are not met or if safety problems occur after the product reaches the market. In addition, the FDA may require testing, including Phase IV post-approval clinical trials, and surveillance programs to monitor the effect of approved products that have been commercialized, and the FDA has the power to prevent or limit further marketing of a product based on the results of these post-marketing programs.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693"/>
        <w:spacing w:after="0" w:line="260"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or populations for use of the product, require that contraindications, warnings, or precautions be included in the product labeling, including a boxed warning, require testing and surveillance programs to monitor the product after commercialization, or impose other conditions, including distribution restrictions or other risk management mechanisms under a REMS. If the FDA concludes a REMS is needed, the sponsor of the BLA must submit a proposed REMS; the FDA will not approve the BLA without a REMS, if required. A REMS could include medication guides, physician communication plans or elements to assure safe use, such as restricted distribution methods, patient registries and other risk minimization tools. Any of these limitations on approval or marketing can materially affect the potential market and profitability of the product. The FDA may also not approve label statements that are necessary for successful commercialization and marketing. Products may be marketed only for the FDA-approved indications and in accordance with the FDA-approved label. The FDA does not allow drugs to be promoted for “off-label” uses</w:t>
      </w:r>
    </w:p>
    <w:p>
      <w:pPr>
        <w:spacing w:after="0" w:line="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that is, uses that are not described in the product’s approved labeling and that differ from those that were approved by the FDA. Furthermore, the FDA generally limits approved uses to those studied in clinical trials. If there are any modifications to the product, including changes in indications, other labeling changes, or manufacturing processes or facilities, we may be required to submit for and obtain FDA approval of a new BLA or BLA supplement, which may require us to develop additional data or conduct additional preclinical studies and clinical trials, and/or require additional manufacturing data.</w:t>
      </w:r>
    </w:p>
    <w:p>
      <w:pPr>
        <w:spacing w:after="0" w:line="189"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18"/>
          <w:szCs w:val="18"/>
          <w:color w:val="auto"/>
        </w:rPr>
        <w:t>Satisfaction of the FDA regulations and approval requirements or similar requirements of foreign regulatory agencies typically takes many years, and the actual time required may vary substantially based upon the type, complexity and novelty of the product or disease. Typically, if a product candidate is intended to treat a chronic disease, as was the case with ASCENIV, safety and efficacy data must be gathered over an extended period of time.</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Government regulation may delay or prevent marketing of product candidates for a considerable period of time and impose costly procedures upon our activities. The FDA or any other regulatory agency may not grant approvals for any changes on a timely basis, or at all. Even if a product candidate receives regulatory approval, the approval may be significantly limited to specific disease states, patient populations and dosages. Further, even after regulatory approval is obtained, later discovery of previously unknown problems with a product may result in restrictions on the product or even complete withdrawal of the product from the market. Delays in obtaining, or failures to obtain, regulatory approvals for any of our product candidates would harm our business. In addition, we cannot predict what adverse governmental regulations may arise from future U.S. or foreign governmental action.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Regulatory Requirements</w:t>
      </w:r>
    </w:p>
    <w:p>
      <w:pPr>
        <w:spacing w:after="0" w:line="31"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18"/>
          <w:szCs w:val="18"/>
          <w:color w:val="auto"/>
        </w:rPr>
        <w:t>After regulatory approval is obtained, biological drug products are subject to extensive and continuing regulation by the FDA, which may impose a number of post-approval requirements as a condition of approval of an application. For example, as a condition of approval of a BLA, the FDA may require post-marketing testing and surveillance to monitor the product’s safety or efficacy. In addition, holders of an approved BLA are required to keep extensive records (including certain electronic records and signature requirements), submit annual reports, report certain adverse reactions and production problems to the FDA, provide updated safety and efficacy information and comply with requirements concerning advertising and promotional labeling for their products. After approval, most changes to the approved product, such as adding new indications or other labeling claims, are subject to prior FDA review and approval. There also are annual user fee requirements for any marketed products, as well as new application fees for supplemental applications with clinical data. The FDA may withdraw a product approval if compliance with regulatory requirements is not maintained or if problems occur after the product reaches the market. Later discovery of previously unknown problems with a product, including adverse events of unanticipated severity or frequency, problems with manufacturing processes or failure to comply with regulatory requirements, may result in restrictions on the product or even complete withdrawal of the product from the market. Failure to comply with the statutory and regulatory requirements can subject a manufacturer to possible legal or regulatory action, such as refusal to approve pending applications, license suspension or revocation, withdrawal of approval of a BLA, imposition of a clinical hold or termination of clinical trials, warning letters, untitled letters, suspension of manufacturing, sales or use, product seizures or recalls, import restrictions, injunctive action or possible fines and other penalties. We cannot be certain that we or our present or future third-party manufacturers or suppliers will be able to comply with the cGMP regulations and other ongoing FDA regulatory requirements.</w:t>
      </w:r>
    </w:p>
    <w:p>
      <w:pPr>
        <w:spacing w:after="0" w:line="19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Manufacturers must continue to comply with cGMP requirements, which are extensive and require considerable time, resources and ongoing investment to ensure compliance. In addition, changes to the manufacturing process generally require prior FDA approval before being implemented. Other types of changes to the approved product, such as adding new indications and additional labeling claims, are also subject to further FDA review and approval. Certain manufacturing deviations and unexpected manufacturing events must be investigated, corrected, and reported to the FDA.</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Manufacturers and certain other entities involved in the manufacturing and distribution of approved products are required to register their establishments with the FDA and certain state agencies, list the manufactured products to the FDA, and are subject to periodic unannounced inspections or remote regulatory assessments by the FDA and certain state agencies for compliance with cGMP and other laws. The cGMP requirements apply to all stages of the manufacturing process, including the production, processing, sterilization, packaging, labeling, storage and shipment of the product. Manufacturers must establish validated systems to ensure that products meet specifications and regulatory standards and test each product batch or lot prior to its release. The information that must be submitted to FDA regarding manufactured products was expanded through the Coronavirus Aid, Relief, and Economic Security (“CARES”) Act to include the volume of drugs produced during the prior year. For biologics products subject to lot release, for each product lot the applicant must submit materials related to that lot to the FDA prior to that lot being released for distribution.</w:t>
      </w:r>
    </w:p>
    <w:p>
      <w:pPr>
        <w:spacing w:after="0" w:line="192"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prior FDA approval before implementation.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towards production and quality control to maintain cGMP compliance.</w:t>
      </w:r>
    </w:p>
    <w:p>
      <w:pPr>
        <w:spacing w:after="0" w:line="180"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commercial distribution of prescription drugs (including biological drug products) is subject to the DSCSA, which regulates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“PDMA”). Trading partners within the drug supply chain must now ensure certain product tracing requirements are met and are required to exchange certain transaction-related information in an electronic, and, as of November 2023, an interoperable form. Further, the DSCSA limits the distribution of prescription pharmaceutical products and imposes requirements to ensure overall accountability and security in the drug supply chain, including requirements related to the detection and investigation of suspect and illegitimate products. The distribution of product samples continues to be regulated under the PDMA.</w:t>
      </w:r>
    </w:p>
    <w:p>
      <w:pPr>
        <w:spacing w:after="0" w:line="19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FDA post-approval requirements are continually evolving. For example, in March 2020, the U.S. Congress passed the CARES Act, which includes various provisions regarding FDA drug shortage and manufacturing volume reporting requirements, as well as provisions regarding supply chain security, such as risk management plan requirements, and the promotion of supply chain redundancy and domestic manufacturing. As part of the CARES Act implementation, the FDA issued a guidance on the reporting of the volume of drugs produced, which reporting will require additional administrative efforts by drug manufacturers. Executive orders have also been issued to encourage domestic manufacturing.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w:t>
      </w:r>
    </w:p>
    <w:p>
      <w:pPr>
        <w:spacing w:after="0" w:line="3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FDA closely regulates the post-approval marketing and promotion of products, including standards and regulations for direct-to-consumer advertising, off-label promotion, industry-sponsored scientific and educational activities and promotional activities involving the Internet. A product cannot be promoted before it is approved. After approval, product promotion can include only those claims related to safety and effectiveness that are consistent with the labeling approved by the FDA. Healthcare providers are permitted to prescribe drugs for “off-label” uses–- that is, uses not approved by the FDA and not described in the product’s labeling because the FDA does not regulate the practice of medicine. However, FDA regulations impose restrictions on manufacturers’ communications regarding off-label uses. Broadly speaking, a manufacturer may not promote a drug for off-label use, but under certain conditions may engage in non-promotional, balanced, scientific communication regarding off-label use. Failure to comply with applicable FDA requirements and restrictions in this area may subject a company to adverse publicity and enforcement action by the FDA, the Department of Justice, or the Office of Inspector General of the Department of Health and Human Services, as well as state authorities. This could subject a company to a range of penalties that could have a significant commercial impact, including civil penalties, criminal fines and agreements that materially restrict the manner in which a company promotes or distributes a drug.</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Companies are required to supply sufficient information that balances the risks of a product in its marketing and promotional materials. In 2023, the FDA implemented several measures in the advertising and promotional areas. These included the issuance of a final rule and a guidance on the disclosure of risks and effectiveness in direct-to-consumer advertising, as well as a guidance on the dissemination of off-label scientific data about approved products. From time to time, legislation is drafted, introduced and passed in Congress that could significantly change the statutory provisions governing the approval, manufacturing and marketing of products regulated by the FDA. In addition to new legislation, FDA and other agency regulations, guidance, and policies are often revised or reinterpreted in ways that may significantly affect our business. It is impossible to predict whether further legislative or FDA regulation or other regulatory policy changes will be enacted or implemented and what the impact of such changes, if any, may be. It is possible that certain prior regulatory requirements may be postponed or frozen.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ADMA BioCenters</w:t>
      </w:r>
    </w:p>
    <w:p>
      <w:pPr>
        <w:spacing w:after="0" w:line="3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With some limited exceptions, all blood and blood product collection and manufacturing centers which engage in interstate commerce must be licensed by and registered with the FDA. In order to achieve licensure, the organization must submit a BLA and obtain BLA approval prior to distribution of any product. The approval of the BLA requires passage of an FDA inspection. ADMA BioCenters has completed these requirements and holds an FDA license for all ten of its plasma collection facilities for source plasma. In order to maintain an FDA license, under FDA guidance each such facility operated by ADMA BioCenters will be inspected within the first year of operations and then at least every two years and must meet certain regulatory requirements. ADMA BioCenters is also required to submit annual reports to the FDA, as well as reports of fatalities related to blood and blood component collection or transfusion. Establishments must also comply with the FDA’s regulatory standards which include a variety of requirements related to, among other areas, cGMPs, deviation investigation and reporting, donor screening and product testing, as well as product labeling. Facilities must further ensure that all tests and equipment that are used are appropriate for their intended use, which may include FDA clearance and/or approval of the applicable test or equipment.</w:t>
      </w:r>
    </w:p>
    <w:p>
      <w:pPr>
        <w:spacing w:after="0" w:line="19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Blood plasma collection and manufacturing centers are also subject to the Clinical Laboratory Improvement Amendments (“CLIA”), state licensure and compliance with industry standards such as the International Quality Plasma Program. Compliance with state and industry standards is verified by means of routine inspection. State requirements may differ significantly from federal requirements, which may complicate compliance efforts. We believe that our existing ADMA BioCenters facilities are currently in compliance with state and industry standards. Delays in obtaining, or failures to maintain, regulatory approvals for any facilities operated by ADMA BioCenters would harm our business. In addition, we cannot predict what adverse federal and state regulations and industry standards may arise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3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In addition to regulations in the U.S., if we choose to pursue clinical development and commercialization in the European Union, we will be subject to a variety of foreign regulations governing clinical trials and commercial sales and distribution of any future product. Whether or not we obtain FDA approval for a product, we must obtain approval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Under European Union regulatory systems, marketing authorizations may be submitted either under a centralized, decentralized or national or mutual recognition procedure. The centralized procedure provides for the grant of a single marketing authorization that is valid for all European Union member states. The decentralized procedure provides for approval by one or more “concerned” member states based on an assessment of an application performed by one member state, known as the “reference” member state. Under the decentralized approval procedure, an applicant submits an application, or dossier, and related materials to the reference member state and concerned member states. The reference member state prepares a draft assessment report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does not recognize the marketing authorization, the disputed points are eventually referred to the European Commission, whose decision is binding on all member states. In addition to the centralized procedure and the decentralized procedure, it may also be possible to obtain a marketing authorization for one single member state through a national procedure. The mutual recognition procedure provides for mutual recognition of national approval decisions. Under this procedure, the holder of a national marketing authorization may submit an application to the remaining member states. Within 90 days of receiving the applications and assessment report, each member state must decide whether to recognize approval, refuse it or request additional information.</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Pricing and Reimbursement of Our Products</w:t>
      </w:r>
    </w:p>
    <w:p>
      <w:pPr>
        <w:spacing w:after="0" w:line="31"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additional regulation by various federal, state and local authorities in addition to the FDA, including CMS, other divisions of HHS (e.g., the Office of Inspector General), the U.S. Department of Justice (“DOJ”) and individual U.S. Attorney offices within the DOJ, and state and local governments. If a drug product is reimbursed by Medicare or Medicaid, pricing and rebate programs must comply with, as applicable, the Medicare Prescription Drug, Improvement, and Modernization Act of 2003 as well as the Medicaid rebate requirements of the Omnibus Budget Reconciliation Act of 1990 (the “OBRA”), the Veterans Health Care Act of 1992, Deficit Reduction Act of 2005, Patient Protection and Affordable Care Act (the “ACA”), and the Inflation Reduction Act of 2022, each as amended. Among other things, the OBRA requires drug manufacturers to calculate and report complex pricing metrics used to determine rebates paid on prescription drugs to state Medicaid programs. Under the Veterans Health Care Act (the “VHCA”), drug companies are required to offer “covered drugs” (including all drugs approved under an NDA) at no more than a statutory ceiling price, calculated based on a manufacturer’s required price calculations, to four federal agencies, including the U.S. Department of Veterans Affairs (“VA”), Indian Health Service, and Department of Defense (“DoD”), and the Public Health Service (“PHS”). Also, under the VHCA, manufacturers are required to offer drugs for sale at no more than a separate statutory ceiling price calculated by the manufacturer to Public Health Service designated entities in order to participate in other federal funding programs including Medicaid. Legislation subsequent to the VHCA has required that certain discounted prices under the VHCA also be offered for specified DoD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w:t>
      </w:r>
    </w:p>
    <w:p>
      <w:pPr>
        <w:spacing w:after="0" w:line="19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and regulatory exemptions, it is possible that some of our business activities could be subject to challenge under one or more of such laws. If our operations are found to be in violation of any of the federal and state laws described above or any other governmental regulations that apply to us, we may be subject to penalties, including criminal and significant civil monetary penalties, damages, fines, imprisonment, exclusion from participation in government healthcare programs, injunctions, recall or seizure of products, total or partial suspension of production, denial or withdrawal of pre-marketing product approvals, private “qui tam” actions brought by individual whistleblowers in the name of the government, suspension or debarment prohibiting us from participating in federal procurement and non-procurement transactions, including government contracts, and the curtailment or restructuring of our operations, any of which could adversely affect our ability to operate our business and our results of operations.</w:t>
      </w:r>
    </w:p>
    <w:p>
      <w:pPr>
        <w:spacing w:after="0" w:line="192"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pharmaceutical products in a state, including, in some states, manufacturers and distributors who ship products into the state even if such manufacturers or distributors have no place of business within the state. Several states have enacted legislation requiring pharmaceutical companies to, among other things,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specified physician prescribing data to pharmaceutical companies for use in sales and marketing, and to prohibit other specified sales and marketing practices. Additionally, some states have enacted laws that cap increases in prices charged for drugs in that state. All of our activities are potentially subject to federal and state consumer protection and unfair competition laws.</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All sales in the U.S. of BIVIGAM, ASCENIV and Nabi-HB depend in part upon the availability of reimbursement from third-party payers. Third-party payers include government health programs, managed care providers, private health insurers and other organizations. Our products are reimbursed or purchased under several government programs, including Medicaid, Medicare Parts B and D, the 340B Drug Pricing Program/Public Health Service program, and pursuant to an existing contract with the Department of Veterans Affairs. Medicaid is a joint state and federal government health plan that provides covered outpatient prescription drugs for low-income and disabled individuals. Under Medicaid, drug manufacturers pay rebates to the states based on utilization data provided by the states. CMS has issued a permanent, product-specific-J-code for ASCENIV. Under the HCPCS, the J-code (J1554) became effective April 1, 2021.</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Significant uncertainties exist as to the coverage and reimbursement status of our current products as well as any products for which we may obtain regulatory approval. In the U.S., sales of BIVIGAM, ASCENIV and Nabi-HB, as well as any products for which we may receive regulatory approval for commercial sale will depend in part on the availability of coverage and reimbursement from third-party payers. Third-party payers include government authorities, managed care providers, private health insurers and other organizations. No uniform policy of coverage and reimbursement for drug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 The process for determining whether a payer will provide coverage for a drug product may be separate from the process for setting the reimbursement rate that the payer will pay for the drug product. Third-party payers may limit coverage to specific drug products on an approved list, or formulary, which might not include all of the FDA-approved drugs for a particular indication. Third-party payers also may choose not to cover our products or implement measures such as prior authorizations and step-throughs to secure coverage and reimbursement. Moreover, a payer’s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87"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Third-party payers are increasingly challenging the price and examining the medical necessity and cost-effectiveness of medical products and services, in addition to their safety and efficacy. In order to obtain coverage and reimbursement for our current products and any product that might be approved for sale, we may need to conduct expensive pharmacoeconomic studies in order to demonstrate the medical necessity and cost-effectiveness of any products, in addition to the costs required to obtain regulatory approvals. Our current products may not be considered medically necessary or cost-effective. If third-party payers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U.S. government and state legislatures have shown significant interest in implementing cost containment programs to limit the growth of government-paid healthcare costs, including price controls, limitations on coverage, increased rebates, restrictions on reimbursement and requirements for substitution of generic products for branded prescription drugs. For example, the ACA and the companion Healthcare and Education Reconciliation Act (which together are referred to as the “Healthcare Reform Law”)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to federal healthcare programs. Similarly, the Inflation Reduction Act of 2022 requires manufacturers of selected drugs to negotiate discounted prices with the Secretary of the Department of Health and Human Services. Failure to reach an agreement can subject manufacturers to an excise tax or withdraw of all drug products from coverage under Medicare and Medicaid. We have addressed additional reforms related to government pricing programs that could be relevant to our products below. These and any additional healthcare reform measures could further constrain our business or limit the amounts that federal and state governments will pay for healthcare products and services, which could result in additional pricing pressures. Adoption of government controls and measures and tightening of restrictive policies in jurisdictions with existing controls and measures, could limit payments for pharmaceuticals.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marketability of our current products and any products for which we receive regulatory approval for commercial sale may suffer if the government and third-party payers fail to provide adequate coverage and reimbursement. In addition, the emphasis on cost containment measures in the U.S. has increased and we expect will continue to increase the pressure on pharmaceutical pricing. Adoption of price controls and cost-containment measures, along with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less favorable coverage policies and reimbursement rates may be implemented in the future. Any reduction in reimbursement from Medicare and/or other government programs may result in a similar reduction in payments from private payors. The implementation of cost containment measures or other healthcare reforms may prevent the generation of revenue, attainment of profitability, or commercialization of products. In addition, it is possible that there will be further legislation or regulation that could harm our business, financial condition, and results of operations.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Price Reporting</w:t>
      </w:r>
    </w:p>
    <w:p>
      <w:pPr>
        <w:spacing w:after="0" w:line="3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Manufacturers participate in, and have certain price reporting obligations under, the Medicaid Drug Rebate Program, state Medicaid supplemental rebate program(s), and other governmental pricing programs. Effective for calendar quarters beginning January 1, 2022, manufacturers are required to report the average sales price for certain drugs under the Medicare program regardless of whether the manufacturer participates in the Medicaid Drug Rebate Program. Previously, this reporting obligation extended only to manufacturers participating in the Medicaid Drug Rebate Program. Under this Program, manufacturers are required to pay a rebate to each state Medicaid program for covered outpatient drugs that are dispensed to Medicaid beneficiaries and paid for by a state Medicaid program as a condition of having federal funds being made available for their drugs under Medicaid and Part B of the Medicare program.</w:t>
      </w:r>
    </w:p>
    <w:p>
      <w:pPr>
        <w:spacing w:after="0" w:line="188"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Medicaid rebates are based on pricing data reported by manufacturers on a monthly and quarterly basis to the CMS, the federal agency that administers the Medicaid and Medicare programs. This data includes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the average manufacturer price increases more than inflation (measured by reference to the Consumer Price Index–- Urban). Previously, the rebate was capped at 100% of the average manufacturer price, but, effective January 1, 2024, this cap on the rebate was removed, and our rebate liability could increase accordingly.</w:t>
      </w:r>
    </w:p>
    <w:p>
      <w:pPr>
        <w:spacing w:after="0" w:line="173"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If a manufacturer becomes aware that its reporting for a prior quarter was incorrect or has changed as a result of recalculating the pricing data, the manufacturer is obligated to resubmit the corrected data for up to three years after it was originally due, which revisions could affect rebate liability for prior quarters. The ACA made significant changes to the Medicaid Drug Rebate Program, and CMS issued a final regulation, which became effective on April 1, 2016, to implement the changes to the Medicaid Drug Rebate Program under the ACA. On December 21, 2020, CMS issued a final rule that modified the Medicaid Drug Rebate Program regulations to permit reporting multiple best price figures with regard to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purchasing arrangements (beginning in 2022); provided definitions for “line extension”, “new formulation,” and related terms with the practical effect of expanding the scope of drugs considered to be line extensions (beginning in 2022); and revised best price and average manufacturer price exclusions of manufacturer-sponsored patient benefit programs, particularly regarding potential inapplicability of such exclusions in the context of pharmacy benefit manager “accumulator” programs (beginning in 2023).</w:t>
      </w:r>
    </w:p>
    <w:p>
      <w:pPr>
        <w:spacing w:after="0" w:line="204"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among others. Medicare Part B generally pays for such drugs under a payment methodology based on the average sales price of the drugs. Manufacturers are required to report average sales price information to CMS on a quarterly basis. The manufacturer-submitted information is used by CMS to calculate Medicare payment rates.</w:t>
      </w:r>
    </w:p>
    <w:p>
      <w:pPr>
        <w:spacing w:after="0" w:line="183"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Congress could enact additional changes that affect our overall rebate liability and the information manufacturers report to the government as part of price reporting calculations. For example, Congress is considering a Medicare Part B inflation rebate, under which manufacturers would owe additional rebates if the average sales price of a drug were to increase faster than the pace of inflation.</w:t>
      </w:r>
    </w:p>
    <w:p>
      <w:pPr>
        <w:spacing w:after="0" w:line="17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Civil monetary penalties can be applied if a manufacturer is (1) found to have knowingly submitted any false pricing or other information to the government, (2) found to have made a misrepresentation in the reporting of average sales price, or (3) fails to submit the required data on a timely basis. Such conduct also could be grounds for CMS to terminate a Medicaid Drug Rebate Program agreement, in which case federal payments may not be available under Medicaid or Medicare Part B for the manufacturer’s covered outpatient drugs.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19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final regulation issued by HRSA regarding the calculation of the 340B ceiling price and the imposition of civil monetary penalties on manufacturers that knowingly and intentionally overcharge covered entities has affected manufacturer obligations and potential liability under the 340B program. Any charge by HRSA that a manufacturer has violated the requirements of the regulation could result in civil monetary penalties. Moreover, under a final regulation effective January 13, 2021, HRSA established a new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can be appealed to a federal court. An ADR proceeding could subject a manufacturer to onerous procedural requirements and could result in additional liability. HRSA also implemented a price reporting system under which manufacturers are required to report 340B ceiling prices on a quarterly basis to HRSA, which then publishes those prices to 340B covered entities. In addition, legislation could be passed, that would further expand the 340B program to additional covered entities, or participating manufacturers could be required to agree to provide 340B discounted pricing on drugs used in an inpatient setting.</w:t>
      </w:r>
    </w:p>
    <w:p>
      <w:pPr>
        <w:spacing w:after="0" w:line="1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order to be eligible to have their products paid for with federal funds under the Medicaid and Medicare Part B programs and purchased by certain federal agencies, including the VA, DoD, Coast Guard, and PHS and grantees, manufacturers must participate in the VA Federal Supply Schedule (“FSS”) pricing program.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(“CPIU”)). In addition, in the second and subsequent year, the price also is capped at the prior year FSS contract plus CPIU. Manufacturers must also participate in the Tricare Retail Pharmacy Program, under which they pay quarterly rebates to DoD for prescriptions of innovator drugs dispensed to Tricare beneficiaries through Tricare Retail network pharmacies. The governing statute provides for civil monetary penalties for failure to provide information timely or for knowing submission of false information to the government.</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Medicare Part D generally provides coverage to enrolled Medicare patients for self-administered drugs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rebates. In addition, manufacturers are required to provide to CMS a 70% discount on brand name prescription drugs utilized by Medicare Part D beneficiaries when those beneficiaries are in the coverage gap phase of the Part D benefit design. If a manufacturer fails to provide these discounts, civil monetary penalties can be applied in the amount of 125% of the discount that was due. Congress could enact legislation that sunsets this discount program and replaces it with a new manufacturer discount program. Congress further could enact a Medicare Part D inflation rebate, under which manufacturers would owe additional rebates if the average manufacturer price of a drug were to increase faster than the pace of inflation.</w:t>
      </w:r>
    </w:p>
    <w:p>
      <w:pPr>
        <w:spacing w:after="0" w:line="19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Congress also could enact a drug price negotiation program under which the prices for certain high Medicare spend single source drugs would be capped by reference to the non-FAMP price. This or any other legislative change could impact the market conditions for our products. We expect further continued scrutiny on government price reporting from Congress, federal agencies, and other bodies.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Group health plans, health insurance issuers, health maintenance organizations, other healthcare payors,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cost-sharing. These payors may not cover or adequately reimburse for use of our products or may do so at levels that disadvantage them relative to competitive products. 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 Recently, several states also have enacted or are considering legislation intended to make drug prices more transparent and deter significant price increases that impose reporting requirements on biopharmaceutical companies. These laws may affect our future sales, marketing, and other promotional activities by imposing administrative and compliance burdens. Such laws also typically impose significant civil monetary penalties for each instance of reporting noncompliance that can quickly aggregate into millions of dollars.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3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and state governments, and the prices of drugs have been a focus in this effort. Changes in government legislation or regulation and changes in private third-party payors’ policies toward reimbursement for our products, if successfully developed and approved, may reduce reimbursement of our products’ costs to physicians, pharmacies, patients and distributors. The U.S. government, state legislatures and foreign governments have shown significant interest in implementing cost-containment programs, including price controls, payment of rebates, restrictions on reimbursement and requirements for substitution of generic products. Adoption of price controls and cost-containment measures, and adoption of more restrictive policies in jurisdictions with existing controls and measures, could limit our net revenue and results for products, if any, we commercialize in the future.</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pricing and reimbursement environment for our products may change in the future and become more challenging due to state and federal healthcare reform measures. The American Recovery and Reinvestment Act of 2009 (“ARRA”), for example, allocated new federal funding to compare the effectiveness of different treatments for the same condition. The plan for the research was published in 2012 by the Department of Health and Human Services, the Agency for Healthcare Research and Quality and the National Institutes for Health, and periodic reports on the status of the research and related expenditures are made to Congress. Although ARRA does not mandate the use of the results of comparative effectiveness studies for reimbursement purposes, it is not clear what effect, if any, the research will have on the sales of any products for which we receive marketing approval or on the reimbursement policies of public and private payors. It is possible that comparative effectiveness research demonstrating benefits in a competitor’s product could adversely affect the sales of any product for which we receive marketing approval. For example, if third-party payors find our products not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9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ACA is a sweeping measure intended to expand healthcare coverage within the U.S., primarily through the imposition of health insurance mandates on employers and individuals, the provision of subsidies to eligible individuals enrolled in plans offered on the health insurance exchanges, and the expansion of the Medicaid program. This law has substantially changed the way healthcare is financed by both governmental and private insurers and has significantly impacted the pharmaceutical industry. Changes that may affect our business include those governing enrollment in Federal healthcare programs, reimbursement changes, benefits for patients within a coverage gap in the Medicare Part D prescription drug program (commonly known as the “donut hole”), rules regarding prescription drug benefits under the health insurance exchanges, changes to the Medicaid Drug Rebate Program, expansion of the Public Health Service Act’s 340B drug pricing program, or 340B program, and fraud and abuse enforcement. These changes have impacted previously existing government healthcare programs and have resulted in the development of new programs, including Medicare payment for performance initiatives and improvements to the Medicare physician quality reporting system and feedback program.</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One of the goals of ACA was to expand coverage for the uninsured while at the same time containing overall healthcare costs. With regard to pharmaceutical products, among other things, the ACA increased minimum rebates a manufacturer must pay under the Medicaid Drug Rebate Program and extended manufacturers’ Medicaid rebate liability to drugs dispensed to individuals who are enrolled in Medicaid managed care organizations. The ACA also requires manufacturers of drugs, devices, biologics, and medical supplies for which payment is available under Medicare, Medicaid or the Children’s Health Insurance Program (with certain exceptions) to report annually to CMS information related to certain direct or indirect payments and other transfers of value to U.S.-licensed physicians, physician assistants, nurse practitioners, clinical nurse specialists, certified nurse anesthetists and certified nurse-midwives and to U.S. teaching hospitals, as well as ownership and investment interests held in the company by physicians and their immediate family members. Failure to submit required information may result in civil monetary penalties of $1,000 to $10,000 for each payment or ownership interest that is not timely, accurately, or completely reported (annual maximum of $150,000), and $10,000 to $100,000 for each knowing failure to report (annual maximum of $1 million) (for an aggregate annual maximum of $1,150,000).</w:t>
      </w:r>
    </w:p>
    <w:p>
      <w:pPr>
        <w:spacing w:after="0" w:line="19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Some states have elected not to expand their Medicaid programs by raising the income limit to 133% of the federal poverty level, as is permitted under the ACA. For each state that does not choose to expand its Medicaid program, there may be fewer insured patients overall, which could impact sales of our products that are approved and that we successfully commercialize, and our business and financial condition. Where Medicaid patients receive insurance coverage under any of the new options made available through the ACA, the possibility exists that manufacturers may be required to pay Medicaid rebates on drugs used under these circumstances, a decision that could impact manufacturer revenues.</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Certain provisions of the ACA have been subject to judicial challenges as well as efforts to modify them or to alter their interpretation or implementation. For example, Congress eliminated, starting January 1, 2019, the tax penalty for not complying with the ACA’s individual mandate to carry health insurance. Further, the Bipartisan Budget Act of 2018, among other things, amended the Medicare statute to reduce the coverage gap in most Medicare drugs plans, commonly known as the “donut hole,” by raising the required manufacturer point-of-sale discount from 50% to 70% off the negotiated price effective as of January 1, 2019. Additional legislative changes, regulatory changes, and judicial challenges related to the ACA remain possible, but the nature and extent of such potential changes or challenges are uncertain at this time. It is unclear how the ACA and its implementation, as well as efforts to modify or invalidate the ACA, or portions thereof, or its implementation, will affect our business, financial condition and results of operations. It is possible that the ACA, as currently enacted or as it may be amended in the future, and other healthcare reform measures that may be adopted in the future could have a material adverse effect on our industry generally and on our ability to maintain or increase sales of our products or product candidates for which we receive regulatory approval or to successfully commercialize our products and product candidates.</w:t>
      </w:r>
    </w:p>
    <w:p>
      <w:pPr>
        <w:spacing w:after="0" w:line="1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Other legislative changes related to reimbursement have been adopted in the U.S. since the ACA was enacted.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2031 (with the exception of a temporary suspension from May 1, 2020 through March 31, 2022, due to the COVID-19 pandemic). The law provides for 1% Medicare sequestration in the second quarter of 2022 and allows the full 2% sequestration thereafter until 2031. As long as these cuts remain in effect, they could adversely impact payment for any products we may commercialize in the future.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Additional legislative changes, regulatory changes, or guidance could be adopted, which may impact the marketing approvals and reimbursement for our product candidates. For example, there has been increasing legislative, regulatory, and enforcement interest in the United States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assistance and support programs, potentially permit government negotiation of Medicare pricing with manufacturers relative to certain international prices paid, and reform government healthcare program reimbursement methodologies for drug products. If healthcare policies or reforms intended to curb healthcare costs are adopted or if we experience negative publicity with respect to pricing of our products or the pricing of pharmaceutical drugs generally, the prices that we charge for any approved products may be limited, our commercial opportunity may be limited and/or our revenues from sales of our products may be negatively impacted.</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It is possible that the ACA, as currently enacted or may be amended in the future, as well as other healthcare reform measures that may be adopted in the future, may result in additional reductions in Medicare and other healthcare funding, more rigorous coverage criteria and new payment methodologies and in additional downward pressure on coverage and payment and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We cannot be sure whether additional legislative changes will be enacted in the U.S. or outside the U.S., or whether regulatory changes, guidance or interpretations will be changed, or what the impact of such changes on the marketing approvals of our product candidates, if any, may be.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Anti-Fraud and Abuse Laws</w:t>
      </w:r>
    </w:p>
    <w:p>
      <w:pPr>
        <w:spacing w:after="0" w:line="3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We are also subject to numerous fraud and abuse laws and regulations globally. In the U.S., there are a variety of Federal and state laws restricting certain marketing practices in the pharmaceutical industry pertaining to healthcare fraud and abuse, including anti-kickback laws and false claims laws. Our sales, marketing, patient support and medical activities may be subject to scrutiny under these laws. The U.S. Federal healthcare program Anti-Kickback Statute prohibits, among other things, knowingly and willfully offering, paying, soliciting or receiving anything of value (“remuneration”) to induce (or in return for) the referral of business, including the purchase, recommendation or prescription of a particular drug reimbursable under Medicare, Medicaid or other federally financed healthcare programs. The statute has been interpreted to apply to arrangements between pharmaceutical companies on one hand and patients, prescribers, purchasers and formulary managers on the other. The Beneficiary Inducement Civil Monetary Penalties Law imposes similar restrictions on interactions between pharmaceutical manufacturers and federal healthcare program beneficiaries. Although there are a number of statutory exemptions and regulatory safe harbors protecting certain common manufacturer business arrangements and activities from prosecution and administrative sanction, the exceptions and safe harbors are drawn narrowly and are subject to regulatory revision or changes in interpretation by the DOJ, and the Office of Inspector General of the U.S. Department of Health and Human Services (“OIG”). Recent regulations eliminate the discount safe harbor protection for manufacturer rebates paid directly, or indirectly through a Pharmacy Benefit Manager (“PBM”) to Medicare Part D or Medicare Advantage plans. Recent legislation and a final rule promulgated on December 29, 2023 delayed implementation of this portion of the 2020 final rule until January 1, 2032. Practices or arrangements that involve remuneration may be subject to scrutiny if they do not qualify for an exception or safe harbor. Failure to meet all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w:t>
      </w:r>
    </w:p>
    <w:p>
      <w:pPr>
        <w:spacing w:after="0" w:line="19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Several courts have interpreted the statute’s intent requirement to mean that if any one purpose of an arrangement involving remuneration is to induce or reward referrals of federal healthcare program business, including purchases of products paid by federal healthcare programs, the statute has been violated. Violations of the federal Anti-Kickback Statute may be established without providing specific intent to violate the statute, and may be punishable by civil, criminal, and administrative fines and penalties, damages, imprisonment, and/or exclusion from participation in federal healthcare programs.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Federal civil False Claims Act (“FCA”) prohibits, among other things, any person from knowingly presenting, or causing to be presented, a false or fraudulent claim for payment of federal funds, or knowingly making, or causing to be made, a false statement to get a false claim paid, or knowingly and improperly avoiding, decreasing or concealing an obligation to pay money to the federal government. A claim includes “any request or demand” for money or property presented to the U.S. government. The FCA has been used to assert liability on the basis of improper referrals, improperly reported government pricing metrics such as Best Price or Average Manufacturer Price, improper use of Medicare provider or supplier numbers when detailing a provider of services, improper promotion of off-label uses not expressly approved by the FDA in a product’s label, and allegations as to misrepresentations with respect to products, contractual requirements, and services rendered. In addition, private payers have been filing follow-on lawsuits alleging fraudulent misrepresentation, although establishing liability and damages in these cases is more difficult than under the FCA. Intent to deceive or actual knowledge of falsity is not required to establish liability under the FCA. Rather, a claim may be false for deliberate ignorance of the truth or falsity of the information provided or for acts in reckless disregard of the truth or falsity of that information. A claim resulting from a violation of the federal Anti-Kickback Statute constitutes a per se false or fraudulent claim. The False Claims Act also permits a private individual acting as a “whistleblower” to bring actions on behalf of themselves and the federal government alleging violations of the statute and to share in any monetary recovery. Violations of the False Claims Act may result in significant financial penalties (including mandatory penalties on a per claim or statement basis), treble damages and exclusion from participation in federal health care programs. For these reasons, since 2004, False Claims Act lawsuits against pharmaceutical companies have increased significantly in volume and breadth, leading to several substantial civil and criminal settlements, as much as $3.0 billion, regarding certain sales practices and promoting off label uses.</w:t>
      </w:r>
    </w:p>
    <w:p>
      <w:pPr>
        <w:spacing w:after="0" w:line="19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FCA, requires proof of intent to submit a false claim.</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Pharmaceutical companies are subject to other federal false claim and statements laws, some of which extend to non-government health benefit programs. For example, the healthcare fraud provisions under the Health Insurance Portability and Accountability Act of 1996 and its implementing regulations, or HIPAA, impose criminal liability for, among other things, knowingly and willfully executing, or attempting to execute, a scheme to defraud any health care benefit program, including private third party payors, or falsifying or covering up a material fact or making any materially false or fraudulent statement in connection with the delivery of or payment for health care benefits, items or services. Violations of HIPAA fraud provisions may result in criminal, civil and administrative fines, penalties and damages, including exclusion from participation in federal healthcare programs.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majority of states have adopted analogous laws and regulations, including state anti-kickback and false claims laws, that may apply to our business practices, including but not limited to, research, distribution, sales and marketing arrangements and claims involving healthcare items or services reimbursed by any third-party payer, including private insurers. Other states have adopted laws and regulations that, among other things, require pharmaceutical companies to comply with the pharmaceutical industry’s voluntary compliance guidelines with respect to interactions with healthcare professionals and the relevant compliance program guidance promulgated by the U.S. Federal government that otherwise restrict payments that may be made to healthcare professionals and other potential referral sources, and that require drug manufacturers to file reports related to pricing and marketing information, which requires tracking price increases and gifts and other remuneration and items of value provided to healthcare professionals and entities. In addition, some jurisdictions have laws requiring pharmaceutical sales representatives to be registered or licensed, and still others impose limits on co-pay assistance that pharmaceutical companies can offer to patients.</w:t>
      </w:r>
    </w:p>
    <w:p>
      <w:pPr>
        <w:spacing w:after="0" w:line="18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Federal Physician Payment Sunshine Act requires tracking of certain payments and transfers of value to U.S.-licensed physicians, physician assistants, nurse practitioners, clinical nurse specialists, certified nurse anesthetists and certified nurse-midwives and to U.S. teaching hospitals, and ownership interests held by physicians and their families, and reporting to the federal government and public disclosure by the federal government of this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Privacy</w:t>
      </w:r>
    </w:p>
    <w:p>
      <w:pPr>
        <w:spacing w:after="0" w:line="3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Throughout the clinical trial process, we may obtain the private health information of our trial subjects. There are a number of state, federal and international laws protecting the privacy and security of health information and personal data. The Healthcare Information Portability and Accountability Act of 1996 (“HIPAA”) imposes privacy, security, breach reporting obligations, and mandatory contractual terms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We could potentially be subject to civil and criminal penalties if we, our affiliates, or our agents use or disclose protected health information maintained by a HIPAA-covered entity in a manner that is not authorized or permitted by HIPAA.</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(“FTC”)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Section 5(a) of the Federal Trade Commission Act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but less prescriptive than, what is required by the HIPAA Security Rule. Enforcement by the FTC under the FTC Act can result in civil penalties or enforcement actions.</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All states have laws requiring notification of affected individuals and state regulators (breach notification laws) in the event of a breach of personal information. Some state laws impose significant data security requirements, such as encryption, to ensure ongoing protection of personal information. Additionally, in California, the California Consumer Privacy Act (“CCPA”) establishes certain requirements for data use and sharing transparency and creates new data privacy rights for California residents. The CCPA and its implementing regulations have already been amended multiple times since their enactment.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became effective on January 1, 2023. Failure to comply with the CCPA may result in, among other things, significant civil penalties and injunctive relief, or statutory or actual damages. In addition, California residents have the right to bring a private right of action in connection with certain types of security incidents. These claims may result in significant liability and damages. Virginia, Colorado, Connecticut and Utah have also enacted privacy laws that became effective in 2023 and are similar in many respects to the CCPA.</w:t>
      </w:r>
    </w:p>
    <w:p>
      <w:pPr>
        <w:spacing w:after="0" w:line="19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Activities outside of the U.S. implicate local and national data protection standards, impose additional compliance requirements and generate additional risks of enforcement for non-compliance. For example, the European Union’s General Data Protection Regulation (“GDPR”), which imposes fines of up to EUR 20 million or 4% of the annual global revenue of a noncompliant company, whichever is greater, and other data protection, privacy and similar national, state/provincial and local laws may also restrict the access, use and disclosure of patient health information abroad. We may be required to expend significant capital and other resources to ensure ongoing compliance with applicable privacy and data security laws, to protect against security breaches and hackers, or to alleviate problems caused by such breaches. Compliance with these laws is difficult, constantly evolving, time consuming, and requires a flexible privacy framework and substantial resources. Compliance efforts will likely be an increasing and substantial cost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Code of Ethics and Business Conduct states that employees should strive to conserve resources and reduce water consumption and emissions through recycling and other energy conservation measures. Employees are responsible for promptly reporting any known or suspected violations of environmental laws or any events that may result in a discharge or emissions of hazardous materials. We manufacture, market and develop specialty biologics for the prevention and treatment of infectious diseases in the immune compromised and other patients at risk for infection, and, as such, we consider our environmental impact to be low. These activities do not include either industrial production or distribution, and therefore do not use raw materials that would result in significant releases into the environment or greenhouse gas emissions from our manufacturing emissions. Further, our activities do not produce any particular noise nuisance for staff or neighboring tenants or residents as well as wildlife surrounding our facilities and offices. Annual electricity and water consumption are monitored and factored into our sustainable resource practices.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Waste Management Policy</w:t>
      </w:r>
    </w:p>
    <w:p>
      <w:pPr>
        <w:spacing w:after="0" w:line="3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objective of our waste management policy is to identify and mitigate risks and hazards with the aim of achieving zero incidents, zero injuries, and zero spills or environmental harm. We are dedicated to the safe handling and management of all non-hazardous and hazardous materials, and all employees are responsible for appropriate waste management.</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dedicated to high environmental standards and expect all employees to be familiar with and comply with the contents of this policy. We are committed to providing a safe and healthy work environment. We comply with all applicable laws, regulations, and requirements associated with our environmental obligations and impact. We strive for the continual improvement of all environmental impacts associated with our operations. We are committed to the prevention of pollution in all aspects of our business activities, as well as a sustainable approach to the development and provision of our products and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w:t>
      </w:r>
    </w:p>
    <w:p>
      <w:pPr>
        <w:spacing w:after="0" w:line="31"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actively sponsor and participate in industry-related charitable events on a local and national level and encourage our employees to actively participate and volunteer their time and participation. We actively support and fund initiatives designed to improve the communities in which we operate and where our employees and stakeholders reside.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w:t>
      </w:r>
    </w:p>
    <w:p>
      <w:pPr>
        <w:spacing w:after="0" w:line="3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ongoing development of our employees continues to be a catalyst for our growth and success as a company. Many of our employees have obtained advanced degrees in their professions. We support our employees’ further development with individualized development plans, mentoring, coaching, department-level training, and conference attendance. Pursuant to our educational assistance policy, we also provide employees interested in furthering their formal education with tuition reimbursement for pre-approved coursework. We often require employees to complete a training effectiveness evaluation for instructor-led trainings at ADMA, and we use the results of these evaluations to improve future in-house trainings.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3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We remain focused on promoting the total wellness of our employees, including resources, programs and services to support their physical, mental and financial well-being. For example, we host an internal health and wellness portal where employees can learn more about, among other things, mental health and stress management, weight management and financial wellness. The portal includes, among other things, mindfulness and meditation podcasts, flyers and newsletters dedicated to promoting mental health and gym discounts. We have recently bolstered our health insurance to cover the reimbursement of weight management therapies which were previously excluded by our insurance carrier. We have established safety policies and protocols, and we regularly update our employees with respect to any changes. We also encourage those who may be ill to stay home. To further protect our on-site employees, we have provided personal protective equipment and cleaning supplies. We have also provided general information updates and support for our employees to ensure that they have resources and information to protect their health and that of those around them, including their families and co-workers. Furthermore, we offer, at no cost, an Employee Assistance Program (“EAP”) to help employees and their dependents confidentially manage personal problems that they feel may adversely affect job performance or personal well-being. The EAP offers personal counseling services for a wide range of concerns, including alcohol abuse, drug abuse, parenting support, marital/family relationships, interpersonal problems on the job, stress, depression, and referrals for financial and/or legal challenges.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Communications and Engagement</w:t>
      </w:r>
    </w:p>
    <w:p>
      <w:pPr>
        <w:spacing w:after="0" w:line="3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employ a variety of tools to facilitate open and direct communication including open forums with executives (such as regular town hall meetings and management meetings), employee surveys and an open-door policy. We endeavor to further refine our employee programs through our employee engagement survey. We actively monitor employee engagement to foster a supportive and high-performing workplace. In 2023, our engagement survey achieved a 92% participation rate, exceeding 91% in 2020, despite a 14% workforce increase - well above industry benchmarks. Results showed a 3% rise in overall engagement and an 11% improvement in leadership communication compared to the 2020 survey. Survey results are shared across the organization to provide greater transparency into employee responses and to reinforce how employee feedback directly informs leadership decisions. By consistently tracking and acting on engagement data, we strengthen our commitment to a collaborative, communicative, and employee-focused culture.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31" w:lineRule="exact"/>
        <w:rPr>
          <w:sz w:val="20"/>
          <w:szCs w:val="20"/>
          <w:color w:val="auto"/>
        </w:rPr>
      </w:pPr>
    </w:p>
    <w:p>
      <w:pPr>
        <w:jc w:val="both"/>
        <w:ind w:right="640" w:firstLine="648"/>
        <w:spacing w:after="0" w:line="255" w:lineRule="auto"/>
        <w:rPr>
          <w:sz w:val="20"/>
          <w:szCs w:val="20"/>
          <w:color w:val="auto"/>
        </w:rPr>
      </w:pPr>
      <w:r>
        <w:rPr>
          <w:rFonts w:ascii="Times New Roman" w:cs="Times New Roman" w:eastAsia="Times New Roman" w:hAnsi="Times New Roman"/>
          <w:sz w:val="18"/>
          <w:szCs w:val="18"/>
          <w:color w:val="auto"/>
        </w:rPr>
        <w:t>We pursue fair employment practices in every aspect of our business. We strive to ensure and are extremely proud that our Board and our employee base is diverse and consists of individuals of varying gender, origin, sexual orientation and backgrounds with various and relevant career experience, relevant technical skills, education, industry knowledge and experience and possess local or community 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we had a total of 685 employees, eight of whom are part-time. Over the course of the next year, we anticipate hiring additional full-time employees devoted to compliance, production, quality assurance, quality control, plasma collection and processing, sales and marketing, medical and scientific affairs and administration, as well as hiring additional staff for our plasma collection centers as appropriate. We use Clinical Research Organizations (“CROs”), third parties and consultants to perform our post-marketing commitment clinical studies and other process and/or analytical development projects to augment our in-house capabilities and staff.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ADMA Biologics, Inc. was founded on June 24, 2004 as a New Jersey corporation and re-incorporated in Delaware on July 16, 2007. We operate through our wholly-owned subsidiaries ADMA BioManufacturing, ADMA BioCenters and ADMA Plasma Biologics. ADMA BioManufacturing was formed in January 2017 to facilitate the acquisition of certain assets held by the Company’s then-third-party contract manufacturer. ADMA BioCenters is the Company’s source plasma collection business which operates in the U.S. Each of ADMA’s ten operational plasma collection centers have a license with the FDA and may obtain additional certifications from other regulatory agencies.</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maintain our headquarters at 465 State Route 17, Ramsey, NJ 07446. Our telephone number is (201) 478-5552. Our Florida campus is located at 5800 Park of Commerce Boulevard, Northwest, Boca Raton, FL 33487. The Florida telephone number is (561) 989-5800. We maintain a website at www.admabiologics.com; however, the information on, or that can be accessed through, our website is not part of this Annual Report on Form 10-K. This Annual Report and all of our filings under the Exchange Act, including copies of Annual Reports on Form 10-K, Quarterly Reports on Form 10-Q, Current Reports on Form 8-K, and any amendments to those reports, are available free of charge through our website on the date we file those materials with, or furnish them to, the U.S. Securities and Exchange Commission (the “SEC”). Such filings are also available to the public on the SEC’s website at www.sec.gov.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82" w:lineRule="exact"/>
        <w:rPr>
          <w:sz w:val="20"/>
          <w:szCs w:val="20"/>
          <w:color w:val="auto"/>
        </w:rPr>
      </w:pPr>
    </w:p>
    <w:p>
      <w:pPr>
        <w:ind w:left="660" w:right="4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achieved net income on a GAAP basis for the year ended December 31, 2024 for the first time, we may not be able to maintain profitability and continue to generate positive cashflows in the future.</w:t>
      </w:r>
    </w:p>
    <w:p>
      <w:pPr>
        <w:spacing w:after="0" w:line="161"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filling, packaging, testing and labeling of the drug substance we manufacture, and we also obtain source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w:t>
      </w:r>
    </w:p>
    <w:p>
      <w:pPr>
        <w:spacing w:after="0" w:line="179"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warning letters or other enforcement actions.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could adversely affect our business.</w:t>
      </w:r>
    </w:p>
    <w:p>
      <w:pPr>
        <w:spacing w:after="0" w:line="225"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Biologics License Application (“BLA”) or other required submission for review.</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p>
    <w:p>
      <w:pPr>
        <w:spacing w:after="0" w:line="175" w:lineRule="exact"/>
        <w:rPr>
          <w:rFonts w:ascii="Times New Roman" w:cs="Times New Roman" w:eastAsia="Times New Roman" w:hAnsi="Times New Roman"/>
          <w:sz w:val="18"/>
          <w:szCs w:val="18"/>
          <w:color w:val="auto"/>
        </w:rPr>
      </w:pPr>
    </w:p>
    <w:p>
      <w:pPr>
        <w:ind w:left="660" w:right="380" w:hanging="328"/>
        <w:spacing w:after="0" w:line="312"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third-party researchers, developers and vendors to develop, manufacture, supply materials for or test our products and product candidates, as well as for other pre-and post-approval services, and such parties’ performance is, to some extent, outside of our control.</w:t>
      </w:r>
    </w:p>
    <w:p>
      <w:pPr>
        <w:spacing w:after="0" w:line="139" w:lineRule="exact"/>
        <w:rPr>
          <w:rFonts w:ascii="Times New Roman" w:cs="Times New Roman" w:eastAsia="Times New Roman" w:hAnsi="Times New Roman"/>
          <w:sz w:val="17"/>
          <w:szCs w:val="17"/>
          <w:color w:val="auto"/>
        </w:rPr>
      </w:pPr>
    </w:p>
    <w:p>
      <w:pPr>
        <w:ind w:left="660" w:right="14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7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payers and patients do not accept and use our current products or our future product candidates, our ability to generate revenue from these products will be materially impaired.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w:t>
      </w:r>
    </w:p>
    <w:p>
      <w:pPr>
        <w:spacing w:after="0" w:line="17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ADMA BioCenters operations collect information from donors in the United States that subjects us to consumer and health privacy laws, which could create enforcement and litigation exposure if we fail to meet their requirements.</w:t>
      </w:r>
    </w:p>
    <w:p>
      <w:pPr>
        <w:spacing w:after="0" w:line="16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secured credit facility with Ares Capital Corporation and certain of its affiliates (“Ares”) is subject to acceleration in specified circumstances, which may result in Ares taking possession and disposing of any collateral.</w:t>
      </w:r>
    </w:p>
    <w:p>
      <w:pPr>
        <w:spacing w:after="0" w:line="161"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other security breaches could compromise our proprietary and confidential information or otherwise penetrate our network, which could harm our business and reputation.</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right="4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produce safe and effective products depends on the safety of our plasma supply, testing by third parties and the timing of receiving the testing results, and the manufacturing processes we have in place to counter transmittable diseases.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supply-constrained and our financial performance would suffer if we cannot obtain adequate quantities of FDA-approved source and high-titer plasma with proper specifications or other necessary raw materials.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(“NOLs”) may be limited.</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tax obligations and effective tax rate and realization of our net deferred tax assets may result in volatility of our operating results and materially impact our financial condition or financial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may fluctuate in a way that is disproportionate to our operating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achieved net income on a GAAP basis for the year ended December 31, 2024 for the first time, we may not be able to maintain profitability andcontinue to generate positive cash flows in the future.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 history of losses through December 31, 2023, and we may not be able to maintain profitability. Although we achieved net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$197.7 million for the year ended December 31, 2024, for the years ended December 31, 2023 and 2022, we incurred net losses of $28.2 million and $65.9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respectively. From our inception in 2004 through December 31, 2024, we have incurred an accumulated deficit of $308.6 million. We may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able to maintain profitability in 2025 or beyond, and if we are unable to continue to consistently achieve positive cash flows we may need to finance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through additional equity or debt financings or corporate collaboration and licensing agreements. If, in the future, our operating or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a particular period do not meet our guidance, analyst estimates or the expectations of investors, or if we reduce our guidance for future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price may decline. Any sustained or increased profitability or financial performance may contribute to increased scrutiny from the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community and applicable federal, state and foreign regulatory authorities and government bodies. We also expect to continue to incur significant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capital expenditures and anticipate that as our business continues to grow our operating expenses will increase accordingly as we:</w:t>
      </w:r>
    </w:p>
    <w:p>
      <w:pPr>
        <w:spacing w:after="0" w:line="20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commercialization and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controls and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production capacity at the Boca Facility.</w:t>
      </w:r>
    </w:p>
    <w:p>
      <w:pPr>
        <w:spacing w:after="0" w:line="22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a result, we will need to continue to generate significant revenues in order to maintain profitability. We may not be able to generate these revenues or maintain profitability in the future.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Pandemics, or a resurgence of a pandemic, may adversely affect our business, financial condition, liquidity or results of operations.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COVID-19 pandemic negatively impacted certain aspects of our business and operations. The resurgence of the COVID-19 pandemic, or a future pandemic or health epidemic, could adversely affect our business, financial condition, liquidity or results of operations. These adverse effects include, but are not limited to, the potential adverse effects on the global economy, our manufacturing processes, including our supply chain, our submissions or applications to the FDA and our employees. The ultimate impact will depend on the severity and duration of the pandemic and actions taken by governmental authorities and other third parties in response, each of which is unforeseeable and difficult to predict.</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a portion of the filling, packaging, testing and labeling of the drug substance we manufacture, and also obtain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Third parties may not perform as agreed or in accordance with FDA requirements. Any significant problem that our third-party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services, raw materials and products meeting the necessary quality standards or at all could have a material and adverse effect on our products, business, financial condition and results from operations.</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Although we are utilizing our FDA-approved fill/finish suite that we built at the Boca Facility for a portion of our finished drug product and although we receive our raw material plasma from our ADMA BioCenters plasma collection facilities, we also intend to continue to utilize third parties to supplement our fill/finish process for final drug product and to supply raw material source and high-titer RSV plasma. Any failure by us, our contract fill/finishers, or other third parties involved in the process for producing our products or product candidates to comply with the applicable manufacturing and regulatory requirements, including quality requirements, could place us and them at risk of regulatory enforcement actions, recalls and other adverse consequences, could adversely impact our products, and could adversely impact patients receiving our products, which may negatively impact our business and our ability to produce and supply products to meet commercial and clinical needs.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anticipated reliance on a limited number of third-party contractors exposes us to the following risks:</w:t>
      </w:r>
    </w:p>
    <w:p>
      <w:pPr>
        <w:spacing w:after="0" w:line="225" w:lineRule="exact"/>
        <w:rPr>
          <w:sz w:val="20"/>
          <w:szCs w:val="20"/>
          <w:color w:val="auto"/>
        </w:rPr>
      </w:pPr>
    </w:p>
    <w:p>
      <w:pPr>
        <w:ind w:left="660" w:right="260" w:hanging="359"/>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contractors on acceptable terms or at all because the number of potential service providers is limited and the FDA must inspect and qualify any contract manufacturers for current cGMP compliance as part of our marketing application;</w:t>
      </w:r>
    </w:p>
    <w:p>
      <w:pPr>
        <w:spacing w:after="0" w:line="161" w:lineRule="exact"/>
        <w:rPr>
          <w:rFonts w:ascii="Times New Roman" w:cs="Times New Roman" w:eastAsia="Times New Roman" w:hAnsi="Times New Roman"/>
          <w:sz w:val="18"/>
          <w:szCs w:val="18"/>
          <w:color w:val="auto"/>
        </w:rPr>
      </w:pPr>
    </w:p>
    <w:p>
      <w:pPr>
        <w:ind w:left="660" w:right="400" w:hanging="359"/>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fill/finisher would have to be educated in, or develop substantially equivalent processes for, the production of our products and product candidates;</w:t>
      </w:r>
    </w:p>
    <w:p>
      <w:pPr>
        <w:spacing w:after="0" w:line="161" w:lineRule="exact"/>
        <w:rPr>
          <w:rFonts w:ascii="Times New Roman" w:cs="Times New Roman" w:eastAsia="Times New Roman" w:hAnsi="Times New Roman"/>
          <w:sz w:val="18"/>
          <w:szCs w:val="18"/>
          <w:color w:val="auto"/>
        </w:rPr>
      </w:pPr>
    </w:p>
    <w:p>
      <w:pPr>
        <w:ind w:left="660" w:right="680" w:hanging="359"/>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or the resurgence of a pandemic such as the COVID-19 pandemic, or a cyberattack or data breach, could adversely affect our contractors’ operations, supply chain or workforce;</w:t>
      </w:r>
    </w:p>
    <w:p>
      <w:pPr>
        <w:spacing w:after="0" w:line="161" w:lineRule="exact"/>
        <w:rPr>
          <w:rFonts w:ascii="Times New Roman" w:cs="Times New Roman" w:eastAsia="Times New Roman" w:hAnsi="Times New Roman"/>
          <w:sz w:val="18"/>
          <w:szCs w:val="18"/>
          <w:color w:val="auto"/>
        </w:rPr>
      </w:pPr>
    </w:p>
    <w:p>
      <w:pPr>
        <w:ind w:left="660" w:right="300" w:hanging="359"/>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contracted fill/finishers’ resources and level of expertise with plasma-derived biologics may be limited, therefore they may require a significant amount of support from us in order to implement and maintain the infrastructure and processes required to deliver our finished drug product;</w:t>
      </w:r>
    </w:p>
    <w:p>
      <w:pPr>
        <w:spacing w:after="0" w:line="175" w:lineRule="exact"/>
        <w:rPr>
          <w:rFonts w:ascii="Times New Roman" w:cs="Times New Roman" w:eastAsia="Times New Roman" w:hAnsi="Times New Roman"/>
          <w:sz w:val="18"/>
          <w:szCs w:val="18"/>
          <w:color w:val="auto"/>
        </w:rPr>
      </w:pPr>
    </w:p>
    <w:p>
      <w:pPr>
        <w:ind w:left="660" w:right="120" w:hanging="359"/>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might be unable to timely provide finished drug product or raw material plasma in sufficient quantity or in accordance with our specifications to meet our commercial needs;</w:t>
      </w:r>
    </w:p>
    <w:p>
      <w:pPr>
        <w:spacing w:after="0" w:line="161" w:lineRule="exact"/>
        <w:rPr>
          <w:rFonts w:ascii="Times New Roman" w:cs="Times New Roman" w:eastAsia="Times New Roman" w:hAnsi="Times New Roman"/>
          <w:sz w:val="18"/>
          <w:szCs w:val="18"/>
          <w:color w:val="auto"/>
        </w:rPr>
      </w:pPr>
    </w:p>
    <w:p>
      <w:pPr>
        <w:ind w:left="660" w:hanging="359"/>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may not be able to execute our inspection procedures and required tests appropriately;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right="20" w:hanging="359"/>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61" w:lineRule="exact"/>
        <w:rPr>
          <w:rFonts w:ascii="Times New Roman" w:cs="Times New Roman" w:eastAsia="Times New Roman" w:hAnsi="Times New Roman"/>
          <w:sz w:val="18"/>
          <w:szCs w:val="18"/>
          <w:color w:val="auto"/>
        </w:rPr>
      </w:pPr>
    </w:p>
    <w:p>
      <w:pPr>
        <w:jc w:val="both"/>
        <w:ind w:left="660" w:right="20" w:hanging="359"/>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may fail to comply with applicable regulatory requirements, placing them and us at risk of regulatory enforcement actions, recalls and other adverse consequences, and which place our patients at risk, which may negatively impact our business and their ability to supply products to meet our development, clinical and commercial needs;</w:t>
      </w:r>
    </w:p>
    <w:p>
      <w:pPr>
        <w:spacing w:after="0" w:line="175" w:lineRule="exact"/>
        <w:rPr>
          <w:rFonts w:ascii="Times New Roman" w:cs="Times New Roman" w:eastAsia="Times New Roman" w:hAnsi="Times New Roman"/>
          <w:sz w:val="18"/>
          <w:szCs w:val="18"/>
          <w:color w:val="auto"/>
        </w:rPr>
      </w:pPr>
    </w:p>
    <w:p>
      <w:pPr>
        <w:ind w:left="660" w:hanging="359"/>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 parties could breach or terminate their agreements with us; and</w:t>
      </w:r>
    </w:p>
    <w:p>
      <w:pPr>
        <w:spacing w:after="0" w:line="225" w:lineRule="exact"/>
        <w:rPr>
          <w:rFonts w:ascii="Times New Roman" w:cs="Times New Roman" w:eastAsia="Times New Roman" w:hAnsi="Times New Roman"/>
          <w:sz w:val="18"/>
          <w:szCs w:val="18"/>
          <w:color w:val="auto"/>
        </w:rPr>
      </w:pPr>
    </w:p>
    <w:p>
      <w:pPr>
        <w:ind w:left="660" w:right="80" w:hanging="359"/>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of these risks could delay or prevent production,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strikes, embargoes, trade and sanction requirements and limits, other acts of God or force majeure events or global health occurrences and emergencies.</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Market opportunity estimates and growth forecasts are subject to significant uncertainty and are based on assumptions and estimates that may not prove to be accurate. In particular, the size and growth of the overall U.S. IVIG and source plasma markets and the potential market opportunity for an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pneumoniae </w:t>
      </w:r>
      <w:r>
        <w:rPr>
          <w:rFonts w:ascii="Times New Roman" w:cs="Times New Roman" w:eastAsia="Times New Roman" w:hAnsi="Times New Roman"/>
          <w:sz w:val="18"/>
          <w:szCs w:val="18"/>
          <w:color w:val="auto"/>
        </w:rPr>
        <w:t>hyperimmune globulin are subject to significant variables that can be difficult to measure, estimate or quantify. Additionally, we anticipate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receiving FDA approval by mid-2025 for the PAS for our innovative yield enhancement production process, which has demonstrated an ability to increase production yields by approximately 20% from the same starting plasma volume, potentially driving significant increases to financial targets beginning in the second half of 2025, if approved. Although our financial targets for 2025 and 2026 described in Part 1, Item 1. Business- Overview do not account for the potential FDA approval of our innovative yield enhancement production process, in the event that the FDA does not approve the PAS, or in the event that such approval occurs after mid-2025, our growth rate may be materially impacted.</w:t>
      </w:r>
    </w:p>
    <w:p>
      <w:pPr>
        <w:spacing w:after="0" w:line="19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collection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and economic conditions, war, terrorism or other military actions may have a material adverse effect on our business.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Geopolitical conflicts, war or other military action or international acts of terrorism may cause significant disruption to commerce throughout the world. To the extent that such disruptions result in disruptions to our supply chain, delays or cancellations of customer orders, a general decrease in consumer spending, our inability to effectively market and distribute our products and/or our inability to access the capital markets, our business and results of operations could be materially and adversely affected. For example, in response to the ongoing conflict between Russia and Ukraine, the United States has imposed and may further impose, and other countries may additionally impose, broad sanctions or other restrictive actions against governmental and other entities in Russia. Additionally, further escalation of geopolitical tensions, such as ongoing conflicts in the Middle East and the surrounding areas could have a broader impact that extends into other markets where we do business. Additionally, rapid changes in U.S. trade policy, such as the imposition of additional tariffs and trade barriers, as well as potential retaliatory measures taken by other governments, could increase the price of and/or affect the availability of imported raw materials used in the production of our products. We are unable to predict whether geopolitical or economic conditions, acts of international terrorism or the involvement in a war or other military actions will result in any long-term commercial disruptions or if such involvement or responses will have any long-term material adverse effect on our business, results of operations, or financial condition.</w:t>
      </w:r>
    </w:p>
    <w:p>
      <w:pPr>
        <w:spacing w:after="0" w:line="188"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warning letters or other enforcement actions.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and our suppliers and contractors may be unable to comply with our specifications, cGMP requirements and with other FDA, state, and foreign regulatory requirements for commercial and clinical supply. The FDA and other regulatory authorities are authorized to perform inspections and remote regulatory assessments of our and our suppliers’ facilities, including the Boca Facility. The FDA and other regulatory authorities also may inspect and approve our and our third-parties’ facilities before they may be used for commercial production. If we or our suppliers are not able to comply with the applicable regulatory requirements, we or they may be subject to regulatory enforcement actions, which can materially impact our business. For instance,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spacing w:after="0" w:line="19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the event of any enforcement actions, we and our third-party contractors would need to implement remedial actions which may be time-intensive or costly. We may not be able to timely resolve concerns raised by the applicable regulator as a result of an inspection or without expending significant resources. We are unable to control the timing of inspections, communications and actions, and will be required to respond to the regulator and make certain submissions within certain timeframes. We also do not know whether or not the regulator will change its requirements, guidance or expectations. If the regulator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business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and breakdown, cyberattacks on our operations and information technology systems as well as the systems of our customers, suppliers and related entities, human error, employee issues, global health occurrences such as a pandemic, global and economic uncertainty, war, terrorism,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 applications or BLAs, or to repeat clinical trials. The commencement and completion of clinical trials or ultimate product approval for any current or future development product candidate may be delayed by several factors, including:</w:t>
      </w:r>
    </w:p>
    <w:p>
      <w:pPr>
        <w:spacing w:after="0" w:line="18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dosing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safety or effectiveness, or other adverse study results during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or noncompliance with clinical trial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products would be prevented or delayed and our business could be adversely affected.</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8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5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clinical trial process may fail to demonstrate that our product candidates are safe for humans and effective for indicated uses. This failure would cause us to abandon a product candidate and may delay the development of other product candidates. Any delay in, or termination of, our clinical trials will delay our ability to commercialize our product candidates and generate product revenues.</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Other issues that may impact our clinical trials and that could delay or prevent our ability to receive marketing approval or commercialize our product candidates, include:</w:t>
      </w:r>
    </w:p>
    <w:p>
      <w:pPr>
        <w:spacing w:after="0" w:line="162"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our contract research organizations (“CROs”);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requiring us to perform additional or unanticipated clinical trials to obtain approval or becoming subject to additional post-marketing testing, surveillance, or Risk Evaluation and Mitigation Strategies requirements to maintain regulatory approval;</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third-party contractors to comply with regulatory requirements or the clinical trial protocol, or meet their contractual obligations to us in a timely manner, or at all, or our being required to engage in additional clinical trial site monitoring;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inadequate quality of our product candidates or other materials necessary to conduct clinical trials;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sufficient study enrollment, subjects dropping out or withdrawing from our studies, delays in adding new investigators or clinical trial sites or a withdrawal of clinical trial sites;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Flaws in our clinical trial design that are not discoverable until the clinical trial has progressed;</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p>
      <w:pPr>
        <w:spacing w:after="0" w:line="1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make changes to our product candidates that require additional testing or that cause our product candidates to perform differently than expected;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policies that may impact our ability to obtain raw materials and/or finished product for commercialization;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comparable regulatory authorities taking longer than we anticipate to make decisions on our products or product candidates; and</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demonstrate that a product or product candidate provides an advantage over current standards of care or current or future competitive therapies in development.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United States, and therefore, may not be performed in accordance with standards normally required by the FDA and other regulatory agencies.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If we are not able to generate revenue from our products and product candidates, our sources of revenue may continue to be from a product mix consisting only of plasma collection and sales revenues, revenues generated from sales of our FDA-approved commercial products and revenues generated from new contract manufacturing arrangements with third parties. We cannot assure you that we will receive the approvals necessary to commercialize any product candidate we may acquire or develop in the future or that we will be able to maintain our current approvals.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9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revenues from,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procedures on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we may otherwise enjoy.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for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United States.</w:t>
      </w:r>
    </w:p>
    <w:p>
      <w:pPr>
        <w:spacing w:after="0" w:line="18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7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While physicians in the United States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spacing w:after="0" w:line="190"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high-titer antibodies to RSV. This high-titer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spacing w:after="0" w:line="19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significant additional research and clinical trials, and we will need to overcome significant regulatory burdens prior to commercialization in the United States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7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depend on third-party researchers, developers and vendors to develop, manufacture, supply materials for or test our products and product candidates, as well as for other pre and post-approval services, and such parties’ performance is, to some extent, outside of our control.</w:t>
      </w:r>
    </w:p>
    <w:p>
      <w:pPr>
        <w:spacing w:after="0" w:line="13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depend on independent investigators and collaborators, such as universities and medical institutions, contract laboratories, CROs, contract manufacturers, contract fill/finishers, third-party plasma centers and consultants to conduct our preclinical activities, clinical trials, CMC testing and other activities under agreements with us. We also depend on third-party suppliers for materials used in our operations.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Additionally, certain of our third-party suppliers may be single-sourced or may not be able to supply sufficient materials for our operations, and it may be time-consuming, expensive or otherwise not feasible to locate an alternative supplier. If outside collaborators fail to devote sufficient time and resources to our products and/or 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and we may not be able to maintain existing approvals or meet our regulatory requirements or we may not be able to produce forecasted amounts of product. We or they may also be subject to regulatory enforcement actions, may need to take corrective actions, including initiating recalls,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and maintain approval for our product candidates.</w:t>
      </w:r>
    </w:p>
    <w:p>
      <w:pPr>
        <w:spacing w:after="0" w:line="1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5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currently anticipate expanding the manufacturing capacity and product output capability of our Boca Facility. Following the expansion of any of our manufacturing processes or the addition of new equipment, such as our fill-finish machine, we will need to validate the expanded facility and equipment, make the necessary submissions to FDA, obtain any FDA-required approvals and have it inspected by the FDA. Given the significant delays that may result during the validation process, we may experience a supply shortage of our products or our production capabilities may be limited until completion of and validation of our facility expansion and new manufacturing equipment.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application supplement to allow for the commercial relaunch of BIVIGAM, as well as the FDA’s approval of our BLA for ASCENIV, required us to conduct specified post-marketing studies, including pediatric and safety studies. If, during the post-marketing period (after marketing approval) previously unknown adverse events emerge, there is the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or manufacturing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25" w:lineRule="exact"/>
        <w:rPr>
          <w:rFonts w:ascii="Times New Roman" w:cs="Times New Roman" w:eastAsia="Times New Roman" w:hAnsi="Times New Roman"/>
          <w:sz w:val="18"/>
          <w:szCs w:val="18"/>
          <w:color w:val="auto"/>
        </w:rPr>
      </w:pPr>
    </w:p>
    <w:p>
      <w:pPr>
        <w:ind w:left="1620" w:hanging="964"/>
        <w:spacing w:after="0" w:line="282" w:lineRule="auto"/>
        <w:tabs>
          <w:tab w:leader="none" w:pos="9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further post-marketing studies or clinical trials, implement risk mitigation strategies, or to issue corrective information;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225" w:lineRule="exact"/>
        <w:rPr>
          <w:rFonts w:ascii="Times New Roman" w:cs="Times New Roman" w:eastAsia="Times New Roman" w:hAnsi="Times New Roman"/>
          <w:sz w:val="18"/>
          <w:szCs w:val="18"/>
          <w:color w:val="auto"/>
        </w:rPr>
      </w:pPr>
    </w:p>
    <w:p>
      <w:pPr>
        <w:ind w:left="980" w:right="40" w:hanging="324"/>
        <w:spacing w:after="0" w:line="312" w:lineRule="auto"/>
        <w:tabs>
          <w:tab w:leader="none" w:pos="9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debarment, suspension and debarment from government programs, refusal of orders under existing government contracts, exclusion from participation in federal healthcare programs, consent decrees, deferred or non-prosecution agreements or corporate integrity agreements;</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penalties or criminal fines.</w:t>
      </w:r>
    </w:p>
    <w:p>
      <w:pPr>
        <w:spacing w:after="0" w:line="22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5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two customers, BioCARE, Inc. (“BioCare”) and Priority Healthcare Distribution, Inc. d/b/a CuraScript SD Specialty Distribution (“Curascript”), represented an aggregate of approximately 72% of our consolidated revenues.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three customers, BioCare, Healix Infusion Therapy, LLC (“Healix”) and Cencora, Inc. (f/k/a AmerisourceBergen Corporation), represented an aggregate of approximately 91% of our consolidated accounts receivable. As of December 31, 2023, five customers, BioCare, Healix, Curascript, Cencora, Inc. and Reliance Life Sciences Pvt. Limited (“Reliance”), represented an aggregate of approximately 98% of our consolidated accounts receivable.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loss of any key customers or a material change in the revenue generated by any of these customers, other than Reliance,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76"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at competitive prices;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features and quality standards for our products sufficient to meet the expectations of our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and deliver a sufficient quantity of our products in a timely manner to meet our customers’ requirements;</w:t>
      </w:r>
    </w:p>
    <w:p>
      <w:pPr>
        <w:spacing w:after="0" w:line="225" w:lineRule="exact"/>
        <w:rPr>
          <w:rFonts w:ascii="Times New Roman" w:cs="Times New Roman" w:eastAsia="Times New Roman" w:hAnsi="Times New Roman"/>
          <w:sz w:val="18"/>
          <w:szCs w:val="18"/>
          <w:color w:val="auto"/>
        </w:rPr>
      </w:pPr>
    </w:p>
    <w:p>
      <w:pPr>
        <w:ind w:left="980" w:right="70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or the resurgence of a pandemic, and government responses thereto on our customers and their businesses, operations and financial condition;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cyberattack or data breach on our customers or related entities; and</w:t>
      </w:r>
    </w:p>
    <w:p>
      <w:pPr>
        <w:spacing w:after="0" w:line="225" w:lineRule="exact"/>
        <w:rPr>
          <w:rFonts w:ascii="Times New Roman" w:cs="Times New Roman" w:eastAsia="Times New Roman" w:hAnsi="Times New Roman"/>
          <w:sz w:val="18"/>
          <w:szCs w:val="18"/>
          <w:color w:val="auto"/>
        </w:rPr>
      </w:pPr>
    </w:p>
    <w:p>
      <w:pPr>
        <w:ind w:left="980" w:right="86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economic conditions or geopolitical conditions, including the exacerbated conflicts in Europe, the Middle East and the surrounding areas.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patient injury,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spacing w:after="0" w:line="19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and state and local regulations, or due to testing results not meeting specifications. As a result, our operating results are subject to potentially significant variability from one reporting period to the next should such losses or write-downs occur in any given period. Additionally, because our products and product candidates are plasma-based products, not only are we subject to the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5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members of the healthcare community, including physicians, about the safety and effectiveness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of our products relative to competing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 for our products from government or other healthcare payers;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58"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 Significant estimates include, among other things, accruals for U.S. Medicaid rebates related to the sale of our immunoglobulin products. We accrue these rebates at the time of sale based on our estimates of the sales mix of our products and the portion of the products we sell that will be prescribed to Medicaid beneficiaries. These estimates are based on historical experience and certain other assumptions, and while we believe that such estimates are reasonable, they are subject to change based on future experience, Medicaid utilization trends and other factors. If any of our ratios, factors, assessments, experiences or judgments are not indicative or accurate estimates of our future experience, our results could be materially affected. Estimates that are most at risk for material adjustment include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payer and channel mixes or the ultimate settlement or resolution of payor claims. For example, during 2024 we engaged a third-party specialist to assist in the evaluation of our accrual for U.S. Medicaid rebates related to the sale of our immunoglobulin products. As a result of this evaluation, we recognized a reduction in this accrual and a corresponding increase to net revenues of $12.6 million for the year ended December 31, 2024. We considered several qualitative factors when evaluating our rebate accrual, such as the absence of a statutory limitation on the rebate amounts drug manufacturers pay to state Medicaid programs and general uncertainty that pharmaceutical manufacturers have historically seen with government payors often submitting lagged claims many periods after the initial dispensing of a product to an end patient. There was additional new information that arose during June 2024 that suggested our liabilities for certain payor claims were successfully resolved, which resulted in the $12.6 million adjustment to the accrual for U.S. Medicaid rebates in June 2024.</w:t>
      </w:r>
    </w:p>
    <w:p>
      <w:pPr>
        <w:spacing w:after="0" w:line="19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the Patient Protection and Affordable Care Act (“ACA”) included a significant expansion of state Medicaid programs. As more individuals become eligible for coverage under these programs, Medicaid utilization of our products could increase, resulting in a corresponding increase in our rebate payments. Such rebate payments may exceed what we have accrued for during the applicable period. Increases in Medicaid rebate payments could decrease our net revenues from product sales, which in turn could adversely affect our business, financial position, and operating results.</w:t>
      </w:r>
    </w:p>
    <w:p>
      <w:pPr>
        <w:spacing w:after="0" w:line="17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w:t>
      </w:r>
    </w:p>
    <w:p>
      <w:pPr>
        <w:spacing w:after="0" w:line="175"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current product development portfolio consists primarily of label expansion activities for ASCENIV, as well as expanding our IP estate with patents issued for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IG. We have initiated small-scale preclinical activities to potentially expand our current portfolio through new product development efforts. If we are not successful in developing or acquiring additional products and product candidates, we will have to depend on our ability to continue to generate revenues from ASCENIV, BIVIGAM, Nabi-HB, contract manufacturing and plasma attributable to the operations of ADMA BioCenters to support our operations.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ADMA BioCenters operations collect information from donors in the United States that subjects us to consumer and health privacy laws, which could create enforcement and litigation exposure if we fail to meet their requirements.</w:t>
      </w:r>
    </w:p>
    <w:p>
      <w:pPr>
        <w:spacing w:after="0" w:line="15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requirements with respect to safeguarding the privacy, security and transmission of protected health information (“PHI”) held by covered entities and business associates. HIPAA “covered entities” include health plans/insurers, healthcare providers engaging in HIPAA standard electronic transactions and healthcare clearinghouses.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with the service provider that receives PHI on behalf of the entity.</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While we are not a covered entity or business associate subject to HIPAA, personal information that we obtain pursuant to a clinical trial may be subject to U.S. Federal Trade Commission (the “FTC”) privacy regulation. Failing to take appropriate steps to keep consumers’ personal information secure may constitute an unfair act or practice violating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less prescriptive than,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numbers, driver’s license numbers, government identifiers, credit card and financial account numbers. For example, the CCPA was amended by the CPRA,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We could be subject to enforcement action and litigation exposure if we fail to adhere to these data privacy and security laws. Virginia, Colorado, Connecticut and Utah have also enacted privacy laws that became effective in 2023 and are similar in many respects to the CCPA. Several other states have also enacted privacy laws similar to the CCPA that will become effective in the coming years, adding to potential privacy compliance obligations.</w:t>
      </w:r>
    </w:p>
    <w:p>
      <w:pPr>
        <w:spacing w:after="0" w:line="19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Ares Credit Facility is subject to acceleration in specified circumstances, which may result in Ares taking possession and disposing of any collateral.</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December 18, 2023 (the “Ares Closing Date”), we entered into a credit agreement with Ares (the “Ares Credit Agreement”) (see “Liquidity and Capital Resources”). The Ares Credit Agreement provided for a total of $135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On August 14, 2024, we repaid $30.0 million against the revolving credit facility and on December 19, 2024 we repaid $30.0 million against the term loan. As of December 31, 2024, we had $42.5 million and $32.5 million of borrowings outstanding under the revolving credit facility and the term loan, respectively. The Ares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would incur an increase in the rate of interest on the Ares Loans of 2% per annum. The occurrence of an event of default could result in, among other things, the termination of commitments under the Ares Credit Facility, the declaration that all outstanding loans are immediately due and payable in whole or in part, and Ares taking immediate possession of, and selling, any collateral securing the Ares Loans.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may render our products or technologies obsolete or non-competitive.</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United States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we move forward in clinical development, we continue to discover novel technologies related to our products and we may draft patent applications directed to these technologies. We rely on a combination of patent rights, trade secrets, intellectual property assignment agreements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invention assignment,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lose market exclusivity of a product earlier than expected.</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realized during its market exclusivity period. In the United States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8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outcome.There is no assurance that ASCENIV, or any other of our products for which we are issued a patent, will enjoy market exclusivity for the full time period of the respective patent.</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United States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manage our growth, our business may be harmed.</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on the expansion of our commercial and manufacturing activities, supply of raw material plasma and overall operations and the effective management of our growth, which will place a significant strain on our management and on our administrative, operational and financial resources. To manage this growth, we must expand our operational, financial and management systems and hire and train additional qualified personnel. If we are unable to manage our growth effectively, our business could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our management team could adversely affect our business.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other security breaches could compromise our proprietary and confidential information or otherwise penetrate our network, which could harm our business and reputation.</w:t>
      </w:r>
    </w:p>
    <w:p>
      <w:pPr>
        <w:spacing w:after="0" w:line="159"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Cybersecurity vulnerabilities can also arise from human error, fraud or malice on the part of our employees, other insiders or third parties, or from technology or product enhancements or the migration of information and data to new technology platforms, systems or applications. Hackers may impersonate our vendors, suppliers or other third parties with whom we do business, which may result in financial harm to our business. Further, while many of our employees and certain suppliers with whom we do business operate in a remote working environment, the risk of cybersecurity attacks and data breaches, particularly through phishing attempts, may be increased as we and third parties with whom we interact leverage our IT infrastructure in unanticipated ways.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such as the IT disruption described elsewhere in this report,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and retain a substantial number of qualified personnel, our ability to sustain and grow our business may be harmed.</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expect to hire several new employees devoted to our plasma collection centers, commercialization, sales, marketing, medical and scientific affairs, regulatory affairs, quality control, information technology,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188"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collect human blood plasma at our ADMA BioCenters facilities, and if we cannot maintain FDA licensure for these facilities or obtain FDA licensure for additional facilities that we may construct or acquire rights to, we may be adversely affected and may not be able to sell or use this human blood plasma for future commercial purposes.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intend to maintain FDA licensure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licensure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7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There are no assurances we will be able to maintain compliance with all FDA or other regulations. There is also no guarantee that we will be able to fulfill our contractual requirements to our customers.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7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laws governing our conduct in the United States are enforceable on the federal, state and local levels by criminal, civil and administrative sanctions. Violations of laws such as the FDCA,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jail sentences, fines or exclusion from participation in or debarment from federal and state healthcare or government procurement programs, pursuant to enforcement actions by DOJ, Medicare, Medicaid,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participation in applicable state healthcare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point-of-sale reductions in price and (b) PBM service fees paid by a manufacturer to a PBM.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Recent legislation and a final rule promulgated on December 29, 2023 delayed implementation of this portion of the rule until January 1, 2032.</w:t>
      </w:r>
    </w:p>
    <w:p>
      <w:pPr>
        <w:spacing w:after="0" w:line="19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w:t>
      </w:r>
    </w:p>
    <w:p>
      <w:pPr>
        <w:spacing w:after="0" w:line="18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Failure to satisfy requirements under the FDCA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United States, Canada and the European Union cannot promote approved products for other indications that are not specifically approved by the competent regulatory authorities such as the FDA in the United States,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FDCA and subjects us to civil and criminal sanctions. Furthermore, sanctions under the federal False Claims Act have been brought against companies accused of promoting off-label uses of drugs, because such promotion induces unapproved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w:t>
      </w:r>
    </w:p>
    <w:p>
      <w:pPr>
        <w:spacing w:after="0" w:line="19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United States, we must obtain and maintain regulatory approvals and comply with regulatory requirements in such jurisdictions. The approval procedures vary among countries in complexity and timing. We may not obtain approvals from regulatory authorities outside the United States on a timely basis, if at all, which would preclude us from commercializing products in those markets.</w:t>
      </w:r>
    </w:p>
    <w:p>
      <w:pPr>
        <w:spacing w:after="0" w:line="187"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Also, under the U.S. Foreign Corrupt Practices Act, the United States has increasingly focused on regulating the conduct by U.S. businesses occurring outside of the United States,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Most U.S.-based pharmaceutical companies have such programs. We will need to adopt healthcare compliance and ethics programs that would incorporate the OIG’s recommendations and voluntary industry guidelines and train our employees. Such a program may be expensive and may not provide assurance that we will avoid compliance issues.</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w:t>
      </w:r>
    </w:p>
    <w:p>
      <w:pPr>
        <w:spacing w:after="0" w:line="18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and rigorous governmental regulation, including the requirement of FDA and other federal, state and local business regulatory approvals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Both before and after the approval of our products, our products, operations, facilities, suppliers and CROs are subject to extensive regulation by federal, state and local governmental authorities in the United States and other countries, with regulations differing from country to country. In the United States,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United States without FDA and other federal, state and local business regulatory approvals. Any failure to receive the marketing approvals necessary to commercialize our products or product candidates could harm our business.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few years, including in December 2018 and January 2019, the U.S. government has shut down several times and certain regulatory agencies, such as the FDA and the SEC, have had to furlough critical employees and stop critical activities. Separately, in response to the COVID-19 pandemic, the FDA postponed most inspections at domestic and foreign manufacturing facilities from March 2020 until July 2021. If a prolonged government shutdown or regulatory agency disruption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capital that may be necessary in order to properly capitalize and continue our operations.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certain amounts of raw materials and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elsewhere in this Annual Report on Form 10-K.</w:t>
      </w:r>
    </w:p>
    <w:p>
      <w:pPr>
        <w:spacing w:after="0" w:line="19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we have in place to counter transmittable diseases.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1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supply-constrained and our financial performance would suffer if we cannot obtain adequate quantities of FDA-approved source and high-titer plasma with proper specifications or other necessary raw materials.</w:t>
      </w:r>
    </w:p>
    <w:p>
      <w:pPr>
        <w:spacing w:after="0" w:line="15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Additionally, although we achieved normal source plasma supply self-sufficiency with the approval of our tenth plasma collection center in November 2023, we remain reliant on the purchase of RSV plasma from third parties and the collection of RSV and normal source plasma from our FDA-licensed plasma collection centers to manufacture our products. We can give no assurances that appropriate plasma will be available to us through our own plasma collection facilities or on commercially reasonable terms, or at all, to manufacture our products, or that third parties will be able to supply plasma to us in accordance with plasma purchase agreements.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United States,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biosimilar pathway established as part of healthcare reform may make it easier for competitors to market biosimilar products.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ACA and the companion Healthcare and Education Reconciliation Act (which together are referred to as 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United States, we expect in the future to face greater competition from biosimilar products, including a possible increase in patent challenges.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the Healthcare Reform Law in the United States may adversely affect our business.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Through the March 2010 adoption of the Healthcare Reform Law in the United States, substantial changes are being made to the current system for paying for healthcare in the United States,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17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Corporate responsibility, specifically related to Environmental, Social and Governance (“ESG”) matters, may impose additional costs and expose us to new risks.</w:t>
      </w:r>
    </w:p>
    <w:p>
      <w:pPr>
        <w:spacing w:after="0" w:line="15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Finances, Capital Requirements and Other Financial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to us in amounts sufficient to enable us to make interest or principal payments on our indebtedness when due.</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Ares Credit Facility provided for total senior secured loans in an aggregate principal amount of $135.0 million, of which $75.0 million is currently outstanding. Borrowings under the Ares Credit Facility currently bear interest at a weighted-average rate of approximately 9.4% per annum, which reflects the three-month term SOFR rate; provided, however, that upon, and during the continuance of, an event of default, the interest rate will automatically increase by an additional 200 basis points. We are currently required to make quarterly payments of interest during the remaining term of the Ares Credit Facility of approximately $1.8 million, with all principal and unpaid interest due at maturity. In addition, our monthly interest rate obligation is subject to rising interest rates. The Ares Credit Facility has a maturity date of December 20, 2027, subject to acceleration pursuant to the Ares Credit Agreement, including upon an event of default. All of our obligations under the Ares Credit Facility are secured by a first-priority lien and security interest in substantially all of our and our subsidiaries’ tangible and intangible assets, including intellectual property, and all of the equity interests in our subsidiaries.</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current and projected cash, cash equivalents and accounts receivable may not be sufficient to repay all of our current outstanding debt obligations as they mature. If we are unable to maintain sufficient positive cash flow to repay our outstanding debt obligations as they mature, we would need to obtain additional financing in the amounts necessary to repay our outstanding debt obligations when due. If we are unable to repay our outstanding debt obligations when they mature, our creditors would be able to accelerate all of the amounts due and, in the case of the Ares Credit Facility, seek to enforce their security interests, which could lead to our creditors taking immediate possession of and selling substantially all of our assets with no return provided to our stockholders.</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5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in the future, our ability to produce accurate and timely financial statements could be impaired, which could result in investors losing confidence in the accuracy and completeness of our financial statements, harm our operating results and negatively affect the market price of our common stock.</w:t>
      </w:r>
    </w:p>
    <w:p>
      <w:pPr>
        <w:spacing w:after="0" w:line="17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Pursuant to Section 404 of the Sarbanes-Oxley Act of 2002 and related rules (the “Sarbanes-Oxley Act”), we are required to maintain internal control over financial reporting and our management is required to report on the effectiveness of our internal control over financial reporting, including any material weaknesses in such internal controls.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will need to implement further upgrades, to our financial, information and operating systems, implement additional financial and management controls, reporting systems and procedures and hire additional accounting and finance staff.</w:t>
      </w:r>
    </w:p>
    <w:p>
      <w:pPr>
        <w:spacing w:after="0" w:line="18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Because we became a large accelerated filer effective December 31, 2023, the Sarbanes-Oxley Act requires our independent registered public accounting firm to attest to the effectiveness of our internal control over financial reporting. Our transition to large accelerated filer status and becoming subject to additional requirements of the Sarbanes-Oxley Act has been and will continue to be time-consuming, and there is a risk of noncompliance. Further, the costs associated with the compliance with and implementation of procedures under these and future laws and related rules could have a material impact on our results of operations.</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related to the Sarbanes-Oxley Act. Moreover, if we have a material weakness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In addition, we could become subject to investigations by any stock exchange on which our securities are listed, the SEC or other regulatory authorities, which could require additional financial and management resources, which could have an adverse impact on our business.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(“NOLs”) may be limited.</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As of December 31, 2024, we had federal and state NOLs of $265.6 million and $203.4 million, respectively. Federal and state NOLs of approximately $33.4 million and $62.0 million, respectively, will begin to expire at various dates beginning in 2028,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acquisition transaction that we completed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Although we did not experience any ownership changes for the years ended December 31, 2024 and 2023, we may experience ownership changes in the future as a result of subsequent changes in our stock ownership that we cannot predict or control that could result in further limitations being placed on our ability to utilize our federal NOLs.</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and realization of our net deferred tax assets may result in volatility of our operating results and materially impact our financial condition or financial results.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taxes by the U.S. federal, state, and local tax authorities. We record income tax expense based on our estimates of future payments, which may include the recording of, or adjustments to, liabilities for uncertain tax positions, and changes in the valuation allowance related to our net deferred tax assets. In addition, at any one time multiple tax years may be subject to audit by various tax authorities. The results of these audits and negotiations with taxing authorities may affect the ultimate settlement of these issues and impact our results of operations. We expect that during fiscal year 2025 and beyond there could be ongoing variability in our effective tax rate as events occur and exposures are evaluated. The volatility of our future effective tax rate could be materially impacted by a number of factors, including:</w:t>
      </w:r>
    </w:p>
    <w:p>
      <w:pPr>
        <w:spacing w:after="0" w:line="18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valuation allowance on our deferred tax assets;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federal, state and local tax rates, tax laws, regulations, or interpretations thereof.</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effective tax rate in a given financial statement period may be materially impacted by a variety of factors including, but not limited to, changes in the mix and level of earnings, deductible expenses and availability of NOLs in the different states in which we operate, fluctuations in the valuation allowance on our deferred tax assets, or by changes to existing accounting rules or regulations. Further, tax legislation may be enacted or amended, as applicable, in the future which could materially impact our current or future tax structure and effective tax rates. We may be subject to audits of our income, sales, and other transaction taxes by U.S. federal, state, and local taxing authorities. Outcomes from these audits could have a material effect on our financial condition or financial results.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may fluctuate in a way that is disproportionate to our operating performance.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potential sales of substantial amounts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or completing preclinical or clinical trials or unsatisfactory results of these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a decision by federal, state or local business regulatory authority;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acceptance, third-party reimbursement and sales of BIVIGAM and ASCENIV;</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us or about our competitors, including clinical trial results, regulatory approvals or new product introductions;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licensors or third-party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developments relating to our patents or other proprietary rights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pharmaceutical or biotechnology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and legislation;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volatility;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economic uncertainty;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anticipated or actual operating results;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securities analysts’ estimates of our performance, or our failure to meet analysts’ expectations.</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of March 10, 2025, most of our 237,615,100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179"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affiliates control a substantial amount of our shares of common stock. Provisions in our Second Amended and Restated Certificate of Incorporation, as amended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BlackRock Inc., The Vanguard Group, Inc., State Street Corporation, Invesco Ltd. and our directors and executive officers and their affiliates owned approximately 37%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Ares Credit Agreement prohibits us from paying dividends. As a result, capital appreciation, if any, of our common stock will be your sole source of gain for the foreseeable future.</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5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December 31, 2024, there were 36,093,118 shares remaining available for issuance, after giving effect to 11,854,060 shares of our common stock that were subject to outstanding stock options, RSUs and warrants as of December 31, 2024 that may be issued by us without stockholder approval, as well as an additional 15,432,277 shares reserved for the future issuance of awards under our equity compensation plans.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and Strategy</w:t>
      </w:r>
    </w:p>
    <w:p>
      <w:pPr>
        <w:spacing w:after="0" w:line="3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recognize the importance of managing the material risks of cybersecurity threats, and we have implemented processes for identifying and assessing cybersecurity risks and incidents. We have also integrated these processes into our overall risk management system, including senior management’s periodic reviews of cybersecurity risks or threats. Senior management oversees and works closely with our IT department to continuously review and evaluate cybersecurity risks in alignment with our business goals and needs.</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With respect to cybersecurity risks and threats, we utilize various third-party consultants and advisors to assist us with regular reviews, internal audits and best practices, including threat prevention and detection, security reviews and enhancements, penetration testing and full scope IT audits. ADMA also has strict processes in place for the review of third-party service providers engaged, including thorough security assessments before engagement and annual monitoring of their IT environments and controls.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as initially disclosed in our Quarterly Report on Form 10-Q for the period ending June 30, 2023 and updated elsewhere in our subsequent filings with the SEC, we experienced an IT systems disruption, which did result in a non-recurring charge to our results of operations. There was no original financial systems data loss or any evidence of data exfiltrated due to this disruption. Normal course operations quickly resumed across the Company’s business units.</w:t>
      </w:r>
    </w:p>
    <w:p>
      <w:pPr>
        <w:spacing w:after="0" w:line="3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6"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w:t>
      </w:r>
    </w:p>
    <w:p>
      <w:pPr>
        <w:spacing w:after="0" w:line="31" w:lineRule="exact"/>
        <w:rPr>
          <w:sz w:val="20"/>
          <w:szCs w:val="20"/>
          <w:color w:val="auto"/>
        </w:rPr>
      </w:pPr>
    </w:p>
    <w:p>
      <w:pPr>
        <w:ind w:right="660" w:firstLine="648"/>
        <w:spacing w:after="0" w:line="260" w:lineRule="auto"/>
        <w:rPr>
          <w:sz w:val="20"/>
          <w:szCs w:val="20"/>
          <w:color w:val="auto"/>
        </w:rPr>
      </w:pPr>
      <w:r>
        <w:rPr>
          <w:rFonts w:ascii="Times New Roman" w:cs="Times New Roman" w:eastAsia="Times New Roman" w:hAnsi="Times New Roman"/>
          <w:sz w:val="18"/>
          <w:szCs w:val="18"/>
          <w:color w:val="auto"/>
        </w:rPr>
        <w:t>Our President and Chief Executive Officer and Chief Operating Officer are primarily responsible for timely updating the Board and Audit Committee about any material cybersecurity incidents or threats or any cybersecurity related issues worthy of their attention.</w:t>
      </w:r>
    </w:p>
    <w:p>
      <w:pPr>
        <w:spacing w:after="0" w:line="1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Board has designated the Audit Committee as the primary committee responsible for reviewing and managing cybersecurity risks and threats at ADMA. The Audit Committee is comprised of Board members with diverse experience in healthcare, finance and information technology, enabling them to effectively oversee cybersecurity risks and threats. Our management team, with assistance from third-party consultants or advisors as appropriate, provides quarterly updates regarding cybersecurity risks and threats to the Audit Committee and ad hoc updates or communications are provided to the entire Board as needed.</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Data Integrity and IT Operations team are primarily responsible for the timely identification, review, severity assessment and management of cybersecurity incidents. In the event of a cybersecurity incident, the IT Department leadership follows the procedures outlined in our Cybersecurity Incident Response Policy and works closely with management to form a Security Incident Response Team comprised of members from the appropriate functional teams. In accordance with this policy, senior management will also communicate the occurrence of any significant cybersecurity incidents to our Board, Audit Committee and auditors on a timely basis and will keep them informed of the remediation plans and progress.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   Properties</w:t>
            </w:r>
          </w:p>
        </w:tc>
        <w:tc>
          <w:tcPr>
            <w:tcW w:w="4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2"/>
        </w:trPr>
        <w:tc>
          <w:tcPr>
            <w:tcW w:w="6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table below describes our principal facilities as of December 31, 2024:</w:t>
            </w:r>
          </w:p>
        </w:tc>
        <w:tc>
          <w:tcPr>
            <w:tcW w:w="21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10"/>
        </w:trPr>
        <w:tc>
          <w:tcPr>
            <w:tcW w:w="20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1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or expiration</w:t>
            </w:r>
          </w:p>
        </w:tc>
      </w:tr>
      <w:tr>
        <w:trPr>
          <w:trHeight w:val="238"/>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Principal Business Activity</w:t>
            </w:r>
          </w:p>
        </w:tc>
        <w:tc>
          <w:tcPr>
            <w:tcW w:w="21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Square Feet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lease</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Ramsey, NJ</w:t>
            </w:r>
          </w:p>
        </w:tc>
        <w:tc>
          <w:tcPr>
            <w:tcW w:w="4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Headquarters</w:t>
            </w:r>
          </w:p>
        </w:tc>
        <w:tc>
          <w:tcPr>
            <w:tcW w:w="210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4,200</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2026 *</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Boca Raton, FL</w:t>
            </w:r>
          </w:p>
        </w:tc>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Manufacturing and Administration</w:t>
            </w:r>
          </w:p>
        </w:tc>
        <w:tc>
          <w:tcPr>
            <w:tcW w:w="21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84,462</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Boca Raton, FL</w:t>
            </w:r>
          </w:p>
        </w:tc>
        <w:tc>
          <w:tcPr>
            <w:tcW w:w="4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Laboratory and Administration</w:t>
            </w:r>
          </w:p>
        </w:tc>
        <w:tc>
          <w:tcPr>
            <w:tcW w:w="21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44,495</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bl>
    <w:p>
      <w:pPr>
        <w:spacing w:after="0" w:line="198" w:lineRule="exact"/>
        <w:rPr>
          <w:sz w:val="20"/>
          <w:szCs w:val="20"/>
          <w:color w:val="auto"/>
        </w:rPr>
      </w:pPr>
    </w:p>
    <w:p>
      <w:pPr>
        <w:ind w:right="140" w:firstLine="656"/>
        <w:spacing w:after="0" w:line="266" w:lineRule="auto"/>
        <w:tabs>
          <w:tab w:leader="none" w:pos="7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shared services agreement, as amended, with Areth, LLC ("Areth") for office, warehouse space and related services pursuant to which the Company pays Areth monthly lease payments of $10,000. Areth is a company controlled by Dr. Jerrold B. Grossman, our Vice Chairman of the Board of Directors, and Adam S. Grossman, our President and Chief Executive Officer.</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also have ten plasma collection centers in leased facilities mainly in the southeastern part of the U.S., which require lease payments through the respective lease terms that expire at various dates through 2033 (see Note 12 to the consolidated financial statements appearing elsewhere in this report).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our leased and owned properties are adequate to meet our current and future needs.</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right="140" w:firstLine="648"/>
        <w:spacing w:after="0" w:line="312" w:lineRule="auto"/>
        <w:rPr>
          <w:sz w:val="20"/>
          <w:szCs w:val="20"/>
          <w:color w:val="auto"/>
        </w:rPr>
      </w:pPr>
      <w:r>
        <w:rPr>
          <w:rFonts w:ascii="Times New Roman" w:cs="Times New Roman" w:eastAsia="Times New Roman" w:hAnsi="Times New Roman"/>
          <w:sz w:val="17"/>
          <w:szCs w:val="17"/>
          <w:color w:val="auto"/>
        </w:rPr>
        <w:t>We are and may become subject to certain legal proceedings and claims arising in connection with the normal course of our business. Neither the Company nor any of its subsidiaries are a party to any material pending legal proceedings, other than ordinary routine litigation incidental to our business.</w:t>
      </w:r>
    </w:p>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had been listed on the Nasdaq Capital Market (“Nasdaq”) under the symbol “ADMA” since November 10, 2014. Since October 22, 2019, our Common Stock has been listed on the Nasdaq Global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five record holders of our Common Stock, based upon information received from our transfer agent. However, this number does not include beneficial owners whose shares were held of record by nominees or broker dealers. As of February 1, 2025, we estimate that there are more than 30,000 beneficial owners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paid any cash dividends on our capital stock. We anticipate that we will retain earnings, if any, to support operations and to finance the growth and development of our business. In addition, the terms of our Credit Agreement with Ares preclude us from paying cash dividends without their consent. Therefore, we do not expect to pay any cash dividends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 assumes a $100 investment on December 31, 2019 in each of the Company’s Common Stock, the XBI Biotech Index of biotechnology companies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114300</wp:posOffset>
            </wp:positionV>
            <wp:extent cx="5443220" cy="26314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4322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Pr>
          <w:p>
            <w:pPr>
              <w:spacing w:after="0"/>
              <w:rPr>
                <w:sz w:val="18"/>
                <w:szCs w:val="18"/>
                <w:color w:val="auto"/>
              </w:rPr>
            </w:pPr>
          </w:p>
        </w:tc>
        <w:tc>
          <w:tcPr>
            <w:tcW w:w="10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9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480" w:type="dxa"/>
            <w:vAlign w:val="bottom"/>
          </w:tcPr>
          <w:p>
            <w:pPr>
              <w:spacing w:after="0"/>
              <w:rPr>
                <w:sz w:val="18"/>
                <w:szCs w:val="18"/>
                <w:color w:val="auto"/>
              </w:rPr>
            </w:pPr>
          </w:p>
        </w:tc>
      </w:tr>
      <w:tr>
        <w:trPr>
          <w:trHeight w:val="20"/>
        </w:trPr>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ADMA</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48.75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35.25</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97.00</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113.00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428.75</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XBI</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148.02</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117.72</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87.27</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93.88</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94.69</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118.34</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134.27</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105.25</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121.15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133.37</w:t>
            </w:r>
          </w:p>
        </w:tc>
      </w:tr>
      <w:tr>
        <w:trPr>
          <w:trHeight w:val="570"/>
        </w:trPr>
        <w:tc>
          <w:tcPr>
            <w:tcW w:w="2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66</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4"/>
        </w:trPr>
        <w:tc>
          <w:tcPr>
            <w:tcW w:w="2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had no sales of unregistered securities that have not been previously disclosed in a Current Report on Form 8-K or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repurchase any of our securities during the three months ended December 31, 2024.</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6"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consolidated financial statements and notes thereto included elsewhere in this Annual Report on Form 10-K. The various sections of this discussion contain a number of forward-looking statements, all of which are based on our current expectations and could be materially affected by the uncertainties and risk factors described throughout this Annual Report. See “Special Note Regarding Forward-Looking Statements.” Our actual results may differ materially.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ADMA Biologics, Inc. (the “Company,” “ADMA,” “we,” “us” or “our”) is an end-to-end commercial biopharmaceutical company dedicated to manufacturing, marketing and developing specialty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Through our ADMA BioManufacturing business segment, we currently have three products with U.S. Food and Drug Administration (the “FDA”) approval,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in adults and adolescents, for which we received FDA approval on April 1, 2019 and commenced first commercial sales in October 2019; (ii) BIVIGAM (Immune Globulin Intravenous, Human), an IVIG product indicated for the treatment of PI, and for which we received FDA approval on May 9, 2019 and commenced commercial sales in August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Nos. 10,259,865 and 11,084,870 related to methods of treatment and prevention of </w:t>
      </w:r>
      <w:r>
        <w:rPr>
          <w:rFonts w:ascii="Times New Roman" w:cs="Times New Roman" w:eastAsia="Times New Roman" w:hAnsi="Times New Roman"/>
          <w:sz w:val="18"/>
          <w:szCs w:val="18"/>
          <w:i w:val="1"/>
          <w:iCs w:val="1"/>
          <w:color w:val="auto"/>
        </w:rPr>
        <w:t>S. pneumonia</w:t>
      </w:r>
      <w:r>
        <w:rPr>
          <w:rFonts w:ascii="Times New Roman" w:cs="Times New Roman" w:eastAsia="Times New Roman" w:hAnsi="Times New Roman"/>
          <w:sz w:val="18"/>
          <w:szCs w:val="18"/>
          <w:color w:val="auto"/>
        </w:rPr>
        <w:t xml:space="preserve"> infection for an immunoglobulin manufactured to contain standardized antibodies to numerous serotypes of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We have successfully completed production of a pilot-scale batch and are conducting animal studies for our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globulin program, SG-001. Our products and product candidates are intended to be used by physician specialists focused on caring for immune-compromised patients with or at risk for certain infectious diseases.</w:t>
      </w:r>
    </w:p>
    <w:p>
      <w:pPr>
        <w:spacing w:after="0" w:line="19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manufacture these products at our FDA-licensed, plasma fractionation and purification facility located in Boca Raton, Florida with a peak annual processing capability of up to 600,000 liters (the “Boca Facility”). Based on current production yields, our completed and ongoing supply chain enhancements and capacity expansion initiatives, we believe this facility has the potential to produce sufficient quantities of our immune globulin (“IG”) products representing projected annual revenues greater than $490 million in 2025 and $605 million in 2026. These revenue targets translate to potential fiscal year 2025 and 2026 Adjusted Net Income exceeding $175 million and $235 million, respectively, and Adjusted EBITDA exceeding $225 million and $305 million, respectively. The foregoing financial targets do not account for the potential FDA approval of our innovative yield enhancement production process described below.</w:t>
      </w:r>
    </w:p>
    <w:p>
      <w:pPr>
        <w:spacing w:after="0" w:line="18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In December 2024, we successfully submitted a Prior Approval Supplement (the “PAS”) for potential approval of our innovative yield enhancement production process. Following FDA review of the submission, we anticipate receiving FDA approval by mid-2025, with potential revenue and earnings accretion expected in the second half of the year. This innovative process has demonstrated an ability to increase production yields by approximately 20% from the same starting plasma volume, potentially driving significant increases to financial targets, if approved.</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Through our ADMA BioCenters subsidiary, we currently operate ten source plasma collection facilities in the U.S., all of which hold FDA licenses. This business unit, which we refer to as our Plasma Collection Centers business segment, provides us with the blood plasma required for the manufacture of our products, and also allows us to sell certain quantities of source and hyperimmune plasma to third-party customers for further manufacturing. In addition, three of our FDA-approved plasma collection centers also have approvals from the Korean Ministry of Food and Drug Safety (“MFDS”), as well as FDA approval to operate a Hepatitis B immunization program.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spacing w:after="0" w:line="18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provide contract manufacturing services for certain third-party clients. We also provide laboratory contracting services to certain customers and may provide contract filling, labeling and packing services utilizing our FDA-approved in-house fill-finish capabilities.</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achieved net income of $197.7 million, the first time in our history that we achieved net income on a GAAP basis, and generated positive cash flow from operations of $118.7 million. Our improved operating results are primarily the result of the substantial revenue growth and continued physician, patient and payer acceptance of ASCENIV.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ASCENIV</w:t>
      </w:r>
    </w:p>
    <w:p>
      <w:pPr>
        <w:spacing w:after="0" w:line="31"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With our patented testing methods and assay, we are able to identify the high-titer or “hyperimmune” plasma that meets our internal and required specifications for ASCENIV. This type of high-titer plasma is typically found in less than 10% of the total donor collection samples we test.</w:t>
      </w:r>
    </w:p>
    <w:p>
      <w:pPr>
        <w:spacing w:after="0" w:line="19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ASCENIV is approved for the treatment of PIDD or PI, a class of inherited genetic disorders that causes a deficient or absent immune system in adults and adolescents (12 to 17 years of age). Our pivotal Phase 3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 school and 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Due to the COVID-19 pandemic, our plans have been delayed. In the future however, we may elect to work with the FDA and the immunology and infectious disease community to design an appropriate clinical trial to evaluate the use of ASCENIV in this patient population. Following FDA approval in April 2019, commercial sales of ASCENIV commenced in October of 2019 and in 2023 we commenced manufacturing ASCENIV at the 4,400 Liter production scale. This expansion has improved the product’s margin profile and increased plant production capacity as fewer batches are needed to support our revenue goals. ASCENIV’s prescriber and patient base continued to expand during 2024, which drove record utilization and pull-through for this product. These elevated demand trends have sustained into 2025, and ADMA currently expects that this product’s rapid growth will continue throughout 2025 and beyond.</w:t>
      </w:r>
    </w:p>
    <w:p>
      <w:pPr>
        <w:spacing w:after="0" w:line="17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anticipate filing our supplemental Biologics License Application (“sBLA”) in mid-2025, with potential FDA approval in the first half of 2026 for the expansion of ASCENIV’s label to include the pediatric setting for patients who are two years and older.</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BIVIGAM</w:t>
      </w:r>
    </w:p>
    <w:p>
      <w:pPr>
        <w:spacing w:after="0" w:line="3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9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May 9, 2019, the FDA approved the Prior Approval Supplement (the “PAS”) for the use of our IVIG manufacturing process, thereby enabling us to re-launch and commercialize this product in the U.S.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April 28,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On December 12, 2023, we announced that the FDA approved the expansion of BIVIGAM’s label in the U.S. to now include the pediatric setting for those two years of age and 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Nabi-HB</w:t>
      </w:r>
    </w:p>
    <w:p>
      <w:pPr>
        <w:spacing w:after="0" w:line="3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which is a major global health problem. The Hepatitis B virus can cause chronic infection and places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Some of the estimates and assumptions we have to make under U.S. GAAP require very difficult, subjective and/or complex judgments about matters that are inherently uncertain and, as a result, we have identified those as critical accounting estimates, which are considered critical to an understanding of our historical financial condition and results of operations and are reasonably likely to have a material impact on our future results of operations and financial condition. Critical accounting estimates include rebates and potentially certain other deductions from gross revenues, assumptions used in the fair value of awards granted under our equity incentive plans and estimates related to the valuation allowance for our deferred tax assets. For a description of our significant accounting policies, see Note 2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Deductions for Rebates and Chargebacks</w:t>
      </w:r>
    </w:p>
    <w:p>
      <w:pPr>
        <w:spacing w:after="0" w:line="3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spacing w:after="0" w:line="18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Prior to 2024, adjustments to these estimates to reflect actual results or updated expectations have not been material to our overall business. While we have some historical sales and rebate experience from our two primary immunoglobulin products, ASCENIV and BIVIGAM, since their FDA approvals in 2019, our historical experience is not extensive. If any of our ratios, factors, assessments, experiences or judgments are not indicative or accurate estimates of our future experience, our results could be materially affected. Estimates that are most at risk for material adjustment are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payer and channel mixes. During 2024, we engaged a third-party specialist to assist in the evaluation of our accrual for U.S. Medicaid rebates related to the sale of our immunoglobulin products. As a result of this evaluation, we recognized a reduction in this accrual and a corresponding increase to net revenues of $12.6 million during the year ended December 31, 2024 (see Note 2 to the Consolidated Financial Statements). We considered several qualitative factors when evaluating our rebate accrual, such as the absence of a statutory limitation on the rebate amounts drug manufacturers pay to state Medicaid programs and general uncertainty that pharmaceutical manufacturers have historically seen with government payors often submitting lagged claims many periods after the initial dispensing of a product to an end patient. There was additional new information that arose during June 2024 that suggested our liabilities for certain payor claims were successfully resolved, which resulted in the $12.6 million adjustment to the accrual for U.S. Medicaid rebates in June 2024. Additional changes in estimate assumptions surrounding U.S. Medicaid and other rebate obligations could materially impact our revenues and our results of operations in the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3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All equity-based payments, including grants of stock options and restricted stock units (“RSUs”), are recognized at their estimated fair value at the date of grant, and compensation expense is recognized on a straight-line basis over the grantee’s requisite vesting period. For the purpose of valuing stock options granted to our employees, directors and executive officers, we use the Black-Scholes option pricing model. We also use the Black-Scholes model when determining additional compensation cost resulting from the modification to previously issued option grants. The Black-Scholes option pricing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we utilize the U.S. Treasury yield curve in effect at the time of the grant with a term consistent with the term of our awards. The expected term of the options granted is in accordance with U.S. Securities and Exchange Commission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We will continue to analyze the expected stock price volatility and expected term assumptions and will adjust our Black-Scholes option pricing assumptions as appropriate. Any changes in the foregoing Black-Scholes assumptions, or our election to utilize an alternative method for valuing stock options granted to employees, directors and executive officers, could potentially impact our stock-based compensation expense and our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w:t>
      </w:r>
    </w:p>
    <w:p>
      <w:pPr>
        <w:spacing w:after="0" w:line="31"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Prior to December 31, 2024, we maintained a full valuation allowance against all of our net deferred tax assets, and as a result we have historically not recorded an income tax benefit in the accompanying consolidated financial statements despite continued losses through December 31, 2023. This valuation allowance reflected our assessment of whether it is more likely than not that we would generate sufficient taxable income in the future to be able to utilize our deferred tax assets.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our deferred tax assets, and we considered cumulative losses in recent years to be a significant type of negative evidence. As of December 31, 2024, we determined that it is more-likely-than-not that our federal and state deferred tax assets will be realized. As a result, we recorded a release of the valuation allowance associated with these deferred tax assets, which was due in part to achieving three years of cumulative taxable income and projected taxable income that is more than sufficient to realize our federal and state deferred tax assets, and we recorded a deferred income tax benefit in the amount of $84.3 million for the year ended December 31, 2024 (see Note 11 to the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our results of operations for the year ended December 31, 2024 compared to the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8"/>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194"/>
        </w:trPr>
        <w:tc>
          <w:tcPr>
            <w:tcW w:w="7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r>
      <w:tr>
        <w:trPr>
          <w:trHeight w:val="245"/>
        </w:trPr>
        <w:tc>
          <w:tcPr>
            <w:tcW w:w="7320" w:type="dxa"/>
            <w:vAlign w:val="bottom"/>
          </w:tcPr>
          <w:p>
            <w:pPr>
              <w:ind w:left="32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426,454</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258,215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168,239</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169,273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37,628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219,553</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15,104</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138,983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117,351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(25,027)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(26,174)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24,931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before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153,953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(71,959)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(71,959)</w:t>
            </w: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197,673</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225,912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164,612</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124,361</w:t>
            </w:r>
          </w:p>
        </w:tc>
      </w:tr>
      <w:tr>
        <w:trPr>
          <w:trHeight w:val="210"/>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119,218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118,513</w:t>
            </w:r>
          </w:p>
        </w:tc>
      </w:tr>
      <w:tr>
        <w:trPr>
          <w:trHeight w:val="426"/>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 - See Non-GAAP Financial Measures appearing at the end of this discussion</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570"/>
        </w:trPr>
        <w:tc>
          <w:tcPr>
            <w:tcW w:w="7320" w:type="dxa"/>
            <w:vAlign w:val="bottom"/>
          </w:tcPr>
          <w:p>
            <w:pPr>
              <w:ind w:left="5560"/>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7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recorded total revenues of $426.5 million for the year ended December 31, 2024, as compared to $258.2 million for the year ended December 31, 2023, an increase of $168.2 million, or 65%. Excluding the $12.6 million adjustment we recorded in the second quarter of 2024 to decrease our accrual for estimated U.S. Medicaid rebates (which had the effect of increasing net revenues by $12.6 million), revenue increased by approximately $155.6 million, or 60%. This increase is primarily related to increased sales of ASCENIV, as we continue to experience increased physician, payer and patient acceptance and utilization of this product, as well as sales increases for some of our other IG products. The revenue increase also includes an increase in sales of normal source plasma (“NSP”) and hyperimmune Hepatitis B plasma by our Plasma Collection Centers business segment in the amount of $2.2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 and Gross Profit</w:t>
      </w:r>
    </w:p>
    <w:p>
      <w:pPr>
        <w:spacing w:after="0" w:line="31"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18"/>
          <w:szCs w:val="18"/>
          <w:color w:val="auto"/>
        </w:rPr>
        <w:t>Cost of product revenue was $206.9 million for the year ended December 31, 2024, as compared to $169.3 million for the year ended December 31, 2023. This increase is primarily attributable to volume-driven increases in product revenue costs related to our increased sales of IG products and plasma of $39.5 million and $3.1 million, respectively, partially offset by a reduction in other manufacturing costs, mainly unabsorbed manufacturing expenses, of $5.1 million.</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we had gross profit of $219.6 million, as compared to $88.9 million for the prior year, which represents a gross margin for fiscal 2024 of 51.5%, as compared to 34.4% for fiscal 2023. Excluding the $12.6 million adjustment we recorded in the second quarter of 2024 to reduce our accrual for estimated U.S. Medicaid rebates, our gross profit for the year ended December 31, 2024 was approximately $207.0 million, representing a gross margin of approximately 50.0%. The improvement in gross margin is mainly driven by a significantly more favorable mix of higher margin IG sales in 2024 as compared to 2023, along with the reduction in other manufacturing costs. We expect to see further shifts in our revenue mix toward higher margin IVIG products in fiscal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31"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(“R&amp;D”) expenses totaled $1.8 million for the year ended December 31, 2024, as compared to $3.3 million for the year ended December 31, 2023. The decrease is primarily due to the absence of expenditures in 2024 related to the BIVIGAM post-marketing commitments, for which we incurred $1.7 million of expenses in 2023, partially offset by an increase in expenses associated with our ASCENIV pediatric study in the amount of $0.3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Plasma Center Operating Expenses</w:t>
      </w:r>
    </w:p>
    <w:p>
      <w:pPr>
        <w:spacing w:after="0" w:line="3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Plasma center operating expenses, which primarily consists of compensation, benefits and travel for plasma center management and administrative staff, along with certain initial opening, marketing and start-up costs, were essentially unchanged at $4.2 million for the year ended December 31, 2024 as compared to approximately $4.3 million for the year ended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31" w:lineRule="exact"/>
        <w:rPr>
          <w:sz w:val="20"/>
          <w:szCs w:val="20"/>
          <w:color w:val="auto"/>
        </w:rPr>
      </w:pPr>
    </w:p>
    <w:p>
      <w:pPr>
        <w:ind w:right="20" w:firstLine="648"/>
        <w:spacing w:after="0" w:line="290" w:lineRule="auto"/>
        <w:rPr>
          <w:sz w:val="20"/>
          <w:szCs w:val="20"/>
          <w:color w:val="auto"/>
        </w:rPr>
      </w:pPr>
      <w:r>
        <w:rPr>
          <w:rFonts w:ascii="Times New Roman" w:cs="Times New Roman" w:eastAsia="Times New Roman" w:hAnsi="Times New Roman"/>
          <w:sz w:val="17"/>
          <w:szCs w:val="17"/>
          <w:color w:val="auto"/>
        </w:rPr>
        <w:t>Amortization expense mainly pertains to the amortization of intangible assets acquired in a 2017 acquisition transaction and was $0.4 million and $0.7 million for the years ended December 31, 2024 and 2023, respectively. The intangible assets acquired in 2017 became fully amortized in June of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31"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Selling, general and administrative (“SG&amp;A”) expenses were $74.1 million for the year ended December 31, 2024, an increase of $15.1 million from the year ended December 31, 2023, and reflects an increase in stock-based compensation expense of $6.4 million in 2024, largely due to the higher valuation of grants awarded in 2024 and to additional compensation expense recognized for the modification of certain outstanding equity awards. The increase in SG&amp;A also reflects increases in employee-related costs, including salaries and wages, benefits, relocation and recruiting, in the aggregate amount of $4.8 million, software maintenance expense of $1.2 million, consulting and professional fees of $0.9 million, audit and tax fees of $0.6 million, insurance expense of $0.6 million and temporary labor expense of $0.7 million. SG&amp;A expenses as a percentage of net revenues decreased from 22.9% in fiscal 2023 to 17.4% in fiscal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3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operating income was $139.0 million for the year ended December 31, 2024, as compared to $21.6 million for the year ended December 31, 2023. The $117.4 million increase in operating income was mainly due to the improved gross profit, driven by both the year-over-year revenue growth and the shift in revenue mix toward significantly higher margin IVIG products, partially offset by $13.3 million of higher total operating expenses. The higher gross profit also reflects the foregoing adjustment to our accrual for estimated U.S. Medicaid rebates which increased our revenues for the year ended December 31, 2024 by $12.6 million.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Interest expense for the year ended December 31, 2024 was $13.9 million, as compared to $25.0 million for the year ended December 31, 2023. Prior to the refinancing of our senior debt on December 18, 2023 (see “Liquidity and Capital Resources”), our outstanding debt principal balance throughout 2023 ranged between $155.1 million and $158.6 million. The refinancing transaction reduced our debt principal to $135.0 million as of December 31, 2023, and we made additional principal payments on this indebtedness of $30.0 million on each of August 14, 2024 and December 19, 2024, reducing our debt principal balance to $75.0 million as of December 31, 2024. In addition, the stated interest rate on our debt during 2024 was approximately 10.1%, as compared to approximately 13.9% during 2023. We also incurred lower expense related to the amortization of debt discount in 2024 in the amount of $1.6 million. We expect our interest expense to continue to decline in 2025 due to the reduced debt principal balance and potential further repayments on our outstanding debt.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3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As a result of the prepayment we made on our senior debt on December 19, 2024, we incurred a prepayment penalty in the amount of $0.45 million and recorded a partial write-down of unamortized debt discount of approximately $0.8 million, for a loss on this partial extinguishment of debt in the amount of $1.2 million. In connection with the foregoing refinancing of our senior debt in December of 2023, we incurred a loss on extinguishment of debt in the amount of $26.2 million, which is comprised of a prepayment penalty paid to our previous lender in the amount of $11.1 million, and the write-off of unamortized discount related to the retired indebtedness in the approximate amount of $15.1 million (see Note 7 to the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for the year ended December 31, 2024 was $1.9 million, as compared to $1.3 million for the year ended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mainly due to an increase in interest income of $0.5 million in 2024 resulting from higher average cash balances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31" w:lineRule="exact"/>
        <w:rPr>
          <w:sz w:val="20"/>
          <w:szCs w:val="20"/>
          <w:color w:val="auto"/>
        </w:rPr>
      </w:pPr>
    </w:p>
    <w:p>
      <w:pPr>
        <w:ind w:right="220" w:firstLine="648"/>
        <w:spacing w:after="0" w:line="252" w:lineRule="auto"/>
        <w:rPr>
          <w:sz w:val="20"/>
          <w:szCs w:val="20"/>
          <w:color w:val="auto"/>
        </w:rPr>
      </w:pPr>
      <w:r>
        <w:rPr>
          <w:rFonts w:ascii="Times New Roman" w:cs="Times New Roman" w:eastAsia="Times New Roman" w:hAnsi="Times New Roman"/>
          <w:sz w:val="18"/>
          <w:szCs w:val="18"/>
          <w:color w:val="auto"/>
        </w:rPr>
        <w:t>We recorded a total income tax benefit of $72.0 million for the year ended December 31, 2024, with no comparable amount for the year ended December 31, 2023. The provision for income taxes for fiscal 2024 includes a deferred tax benefit of $84.3 million related to the release of the valuation allowance against our net deferred tax assets, partially offset by current income tax expense of $12.3 million, which reflects federal and state income tax liabilities that are not fully sheltered by NOLs due to limitations from prior ownership changes and other limitations on net operating loss carryforwards under the Internal Revenue Code of 1986, as amended (see “Risk Factors - Our ability to use our net operating loss carryforwards (“NOLs”) may be limited.” appearing elsewhere in this report and Note 11 to the Consolidated Financial Statements). We expect that we will record income tax expense in 2025 and beyond as we expect to continue to generate additional taxable income for the foreseeable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31"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18"/>
          <w:szCs w:val="18"/>
          <w:color w:val="auto"/>
        </w:rPr>
        <w:t>Our net income was $197.7 million for the year ended December 31, 2024, as compared to a net loss of $28.2 million for the year ended December 31, 2023, an improvement of $225.9 million. The increase was primarily due to the increase in operating income of $117.4 million, lower interest expense of $11.1 million discussed above, a reduced loss on the extinguishment of debt as compared to fiscal 2023 and the income tax benefit of $72.0 million. The foregoing change in estimate in our accrual for Medicaid rebates favorably impacted our net after-tax income for the year ended December 31, 2024 by approximately $11.4 million.</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our results of operations for the year ended December 31, 2023, compared to the year ended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8"/>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194"/>
        </w:trPr>
        <w:tc>
          <w:tcPr>
            <w:tcW w:w="7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r>
      <w:tr>
        <w:trPr>
          <w:trHeight w:val="245"/>
        </w:trPr>
        <w:tc>
          <w:tcPr>
            <w:tcW w:w="7320" w:type="dxa"/>
            <w:vAlign w:val="bottom"/>
          </w:tcPr>
          <w:p>
            <w:pPr>
              <w:ind w:left="30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258,215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104,135</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169,273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118,815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50,458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17,843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(13,577)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6,562</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60,997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(19,279)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(26,174)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(19,504)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37,665</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67,878</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 *</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See Non-GAAP Financial Measures appearing at the end of this discussion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recorded total revenues of $258.2 million for the year ended December 31, 2023, as compared to $154.1 million for the year ended December 31, 2022, an increase of $104.1 million, or approximately 68%. The increase is primarily related to increased sales of our immunoglobulin products, mainly ASCENIV and BIVIGAM, generated by our Boca Facility manufacturing operations in 2023 of $105.8 million, as we continue to experience increased physician, payer and patient acceptance and utilization of ASCENIV and expand our customer base for BIVIGAM, partially offset by a decrease in sales of plasma in our Plasma Collection Centers business segment of $1.5 million. During 2023, we began utilizing a substantial majority of the plasma collected at our plasma collection facilities for our IVIG production, with significantly less emphasis on plasma sales to third-party customers.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 and Gross Profit</w:t>
      </w:r>
    </w:p>
    <w:p>
      <w:pPr>
        <w:spacing w:after="0" w:line="3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Cost of product revenue was $169.3 million for the year ended December 31, 2023, as compared to $118.8 million for the year ended December 31, 2022. This increase is primarily attributable to volume-driven increases in product revenue costs related to the increased sales of our immunoglobulin products of $54.9 million. Cost of product revenue was also impacted by the inventory losses of $2.1 million related to the June 2023 IT disruption, partially offset by a decrease in other manufacturing expenses of approximately $6.2 million in 2023, mainly due to a shorter planned shutdown of the Boca Facility in 2023 as compared to 2022.</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we had gross profit of $88.9 million, as compared to $35.3 million for the same period of a year ago. This gross profit increase of $53.7 million was primarily due to the revenue increases and the supply chain and manufacturing enhancements at the Boca Facility which include producing at the increased 4,400 liter scale, along with the reduction in other manufacturing costs discussed above as we elected to extend our otherwise-routine plant shutdown in the first quarter of 2022 in order to complete certain projects. We also experienced a more favorable sales mix in 2023 toward our higher margin products and benefitted from price increases for ASCENIV and BIVIGAM that were implemented late in 2022. As a result, we achieved a gross margin of 34.4% for the year ended December 31, 2023 as compared to 22.9% for the year ended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3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R&amp;D expenses totaled $3.3 million for the year ended December 31, 2023, as compared to $3.6 million for the year ended December 31, 2022. The decrease is primarily due to lower expenditures attributable to a third-party service provider in connection with an R&amp;D project that was completed in early 2023.</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Plasma Center Operating Expenses</w:t>
      </w:r>
    </w:p>
    <w:p>
      <w:pPr>
        <w:spacing w:after="0" w:line="31"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18"/>
          <w:szCs w:val="18"/>
          <w:color w:val="auto"/>
        </w:rPr>
        <w:t>Plasma Center Operating Expenses decreased from $17.8 million in the year ended December 31, 2022 to $4.3 million in the year ended December 31, 2023. As a result of our now having ten plasma centers in operation, we were able to more than double the number of liters of plasma collected, with a corresponding reduction in the cost per liter, in 2023 as compared to 2022, coupled with the changes in the market price of normal source plasma and its impact on the net realizable value of our plasma inventory, the amount of plasma center costs we capitalized into inventory increased by approximately $43.2 million in 2023. This amount was largely offset by increases in donor fees of $12.8 million, compensation, benefits and temporary labor of $3.9 million, softgoods and supplies of $5.0 million, donor testing expenses of $4.8 million, depreciation of $0.8 million, software maintenance expense of $0.9 million, janitorial, security and utilities expense of $0.5 million, travel expenses of $0.1 million, advertising expense of $0.2 million, repairs and maintenance expense of $0.2 million and rent of $0.2 million. In addition, our plasma center collections and operating costs were unfavorably impacted by approximately $0.7 million due to the temporary closing of our plasma collection centers attributable to an IT disruption occurring in June 2023, of which all systems have since been fully restored.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31" w:lineRule="exact"/>
        <w:rPr>
          <w:sz w:val="20"/>
          <w:szCs w:val="20"/>
          <w:color w:val="auto"/>
        </w:rPr>
      </w:pPr>
    </w:p>
    <w:p>
      <w:pPr>
        <w:ind w:right="160" w:firstLine="648"/>
        <w:spacing w:after="0" w:line="260" w:lineRule="auto"/>
        <w:rPr>
          <w:sz w:val="20"/>
          <w:szCs w:val="20"/>
          <w:color w:val="auto"/>
        </w:rPr>
      </w:pPr>
      <w:r>
        <w:rPr>
          <w:rFonts w:ascii="Times New Roman" w:cs="Times New Roman" w:eastAsia="Times New Roman" w:hAnsi="Times New Roman"/>
          <w:sz w:val="18"/>
          <w:szCs w:val="18"/>
          <w:color w:val="auto"/>
        </w:rPr>
        <w:t>Amortization expense mainly pertains to the amortization of intangible assets acquired in a 2017 acquisition transaction and was $0.7 million for the years ended December 31, 2023 and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3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(“SG&amp;A”) expenses were $59.0 million for the year ended December 31, 2023, an increase of $6.6 million from the year ended December 31, 2022. The increase reflects higher expenses for employee-related costs including salaries, benefits, stock-based compensation, travel, relocation and recruiting of $2.4 million, data services and market intelligence fees in support of the continued ASCENIV and BIVIGAM commercialization efforts in the amount of $1.8 million, marketing and advertising expenses of $1.0 million, insurance expense of $0.6 million, software maintenance expense of $0.6 million and state and local taxes of $0.2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Income/Loss from Operations</w:t>
      </w:r>
    </w:p>
    <w:p>
      <w:pPr>
        <w:spacing w:after="0" w:line="3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we had operating income of $21.6 million, as compared to an operating loss of $39.4 million for the year ended December 31, 2022. The $61.0 million improvement in operating results was mainly due to the improved gross profit of $53.7 million, largely driven by the year-over-year revenue growth and shift in revenue mix toward higher margin IVIG products, and the lower total operating expenses of $7.3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Interest expense for the year ended December 31, 2023 was $25.0 million, as compared to $19.3 million for the year ended December 31, 2022. The increase is mainly due to approximately $51.8 million of additional debt principal resulting from the refinancing of our senior credit facility on March 23, 2022, additional debt principal resulting from interest payments made “in kind” in the form of additional indebtedness of approximately $6.8 million, as well as an increase in the stated interest rate on our senior debt from 10.75% in 2022 to as high as 14.4% at certain points in fiscal 2023 as a result of increases in the Secured Overnight Financing Rate (“SOFR”). We expect our interest expense to decrease in 2024 as a result of the refinancing transaction we completed in December of 2023 (see “Liquidity and Capital Resources”), which resulted in a lower debt principal balance and a reduction in the interest 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31" w:lineRule="exact"/>
        <w:rPr>
          <w:sz w:val="20"/>
          <w:szCs w:val="20"/>
          <w:color w:val="auto"/>
        </w:rPr>
      </w:pPr>
    </w:p>
    <w:p>
      <w:pPr>
        <w:jc w:val="both"/>
        <w:ind w:right="12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foregoing refinancing of our senior debt in December of 2023, we incurred a loss on extinguishment of debt in the amount of $26.2 million, which is comprised of a prepayment penalty paid to our previous lender in the amount of $11.1 million, and the write-off of unamortized discount related to the retired indebtedness in the approximate amount of $15.1 million (see “Liquidity and Capital Resources”).</w:t>
      </w:r>
    </w:p>
    <w:p>
      <w:pPr>
        <w:spacing w:after="0" w:line="18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refinancing of our senior credit facility on March 23, 2022, we incurred a loss on the extinguishment of debt in the amount of $6.7 million as a result of the redemption premium we paid to retire our previously existing credit facility in the amount of $2.0 million, and the write-off of unamortized debt discount of $4.7 million related to that facility (see Note 7 to the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3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Other income, net, for the year ended December 31, 2023 was $1.3 million, as compared to other expense, net, of $0.6 million for the year ended December 31, 2022. The increase is mainly due to an increase in interest income of approximately $1.6 million in 2023 due to higher interest earned on our cash balances in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31"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Our net loss was $28.2 million for the year ended December 31, 2023, as compared to $65.9 million for the year ended December 31, 2022. The $37.7 million decrease in net loss was mainly due to the improvement in operating income/loss of $61.0 million and the $1.9 million increase in other income/expense, partially offset by a higher loss on extinguishment of debt of $19.5 million and higher interest expense of $5.7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 (“EBITDA”), Adjusted EBITDA and Adjusted Net Income (Loss)</w:t>
      </w:r>
    </w:p>
    <w:p>
      <w:pPr>
        <w:spacing w:after="0" w:line="31"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18"/>
          <w:szCs w:val="18"/>
          <w:color w:val="auto"/>
        </w:rPr>
        <w:t>EBITDA, Adjusted EBITDA and Adjusted net income (loss) are important non-GAAP financial measures used by our management and Board of Directors to assess our operating performance. We use EBITDA, Adjusted EBITDA and Adjusted net income (loss) as key performance measures because we believe that they facilitate operating performance comparisons from period to period that exclude, in the case of Adjusted net income (loss), items that are expected to be non-recurring, and in the case of EBITDA and Adjusted EBITDA, potential differences driven by the impact of variations of non-cash items such as depreciation and amortization, as well as, in the case of Adjusted EBITDA, stock-based compensation or certain one-time and non-recurring items. In addition, we believe that EBITDA, Adjusted EBITDA and Adjusted net loss and similar measures are widely used by investors, securities analysts, ratings agencies and other parties in evaluating companies in our industry as a measure of financial performance and debt-service capabilities. See below for a reconciliation of our EBITDA, Adjusted EBITDA and Adjusted net income (loss) to net loss, the most directly comparable financial measure calculated and presented in accordance with U.S. GAAP.</w:t>
      </w:r>
    </w:p>
    <w:p>
      <w:pPr>
        <w:spacing w:after="0" w:line="19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Because EBITDA, Adjusted EBITDA and Adjusted net income (loss) are measures not deemed to be in accordance with U.S. GAAP and are susceptible to varying calculations, our EBITDA, Adjusted EBITDA and Adjusted net income (loss) may not be comparable to similarly titled measures of other companies, including companies in our industry, because other companies may calculate EBITDA, Adjusted EBITDA and Adjusted net income (loss) in a different manner than we calculate these measurements. Although the Company uses Adjusted EBITDA as one of several financial measures to assess its operating performance, its use is limited as it excludes certain significant operating expenses. EBITDA, Adjusted EBITDA and Adjusted net income (loss) are not intended to represent cash flows for the periods presented, nor have they been presented as an alternative to operating income/loss, net income/loss or as an indicator of operating performance and should not be considered in isolation or as a substitute for measures of performance prepared in accordance with U.S. GAAP. The following table presents the reconciliation of net loss to EBITDA and Adjusted EBITDA for the years ended December 31, 2024, 2023 and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9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(28,239)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(65,904)</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6,398</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(71,959)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25,027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19,279</w:t>
            </w:r>
          </w:p>
        </w:tc>
      </w:tr>
      <w:tr>
        <w:trPr>
          <w:trHeight w:val="27"/>
        </w:trPr>
        <w:tc>
          <w:tcPr>
            <w:tcW w:w="39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(39,512)</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5,215</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26,174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6,670</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 enhancement</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IT systems disruption</w:t>
            </w:r>
          </w:p>
        </w:tc>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164,612</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3920" w:type="dxa"/>
            <w:vAlign w:val="bottom"/>
          </w:tcPr>
          <w:p>
            <w:pPr>
              <w:spacing w:after="0"/>
              <w:rPr>
                <w:sz w:val="24"/>
                <w:szCs w:val="24"/>
                <w:color w:val="auto"/>
              </w:rPr>
            </w:pPr>
          </w:p>
        </w:tc>
        <w:tc>
          <w:tcPr>
            <w:tcW w:w="3400" w:type="dxa"/>
            <w:vAlign w:val="bottom"/>
          </w:tcPr>
          <w:p>
            <w:pPr>
              <w:jc w:val="right"/>
              <w:ind w:right="1539"/>
              <w:spacing w:after="0"/>
              <w:rPr>
                <w:sz w:val="20"/>
                <w:szCs w:val="20"/>
                <w:color w:val="auto"/>
              </w:rPr>
            </w:pPr>
            <w:r>
              <w:rPr>
                <w:rFonts w:ascii="Times New Roman" w:cs="Times New Roman" w:eastAsia="Times New Roman" w:hAnsi="Times New Roman"/>
                <w:sz w:val="14"/>
                <w:szCs w:val="14"/>
                <w:color w:val="auto"/>
              </w:rPr>
              <w:t>77</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92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Adjusted EBITDA improved by $122.3 million for the year ended December 31, 2024 as compared to the year ended December 31, 2023, mainly due to the substantial increase in operating income in 2024 of $117.4 million. Adjusted EBITDA increased by $67.9 million for the year ended December 31, 2023 as compared to the same period of a year ago. The improvement is driven primarily by an increase in operating income in 2023 of $61.0 million.</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Net income (loss) to Adjusted net income (loss) for the years ended December 31, 2024,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ind w:left="30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26,174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(84,280)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Yield enhancement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compenstion modifications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IT systems disruption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119,218</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At December 31, 2024, we had working capital of $275.9 million, primarily consisting of $170.2 million of inventory, cash and cash equivalents of $103.1 million and $50.0 million of accounts receivable, partially offset by current liabilities of $55.5 million, as compared to working capital at December 31, 2023 of $207.2 million, primarily consisting of $172.9 million of inventory, cash and cash equivalents of $51.4 million and accounts receivable of $27.4 million, partially offset by current liabilities of $49.8 million. Although we have incurred an accumulated deficit of $308.6 million since inception, we had positive cash flow from operations for the years ended December 31, 2024 and 2023 of $118.7 million and $8.8 million for the years ended December 31, 2024 and 2023, respectively. Prior to fiscal 2024, we funded our operations over the previous few years primarily from the sale of our equity securities and debt financings. Our material cash requirements are primarily comprised of:</w:t>
      </w:r>
    </w:p>
    <w:p>
      <w:pPr>
        <w:spacing w:after="0" w:line="189" w:lineRule="exact"/>
        <w:rPr>
          <w:sz w:val="20"/>
          <w:szCs w:val="20"/>
          <w:color w:val="auto"/>
        </w:rPr>
      </w:pPr>
    </w:p>
    <w:p>
      <w:pPr>
        <w:ind w:left="660" w:right="50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procurement of raw material source plasma, which includes plasma donor fees and plasma center supplies, and other raw materials necessary to maintain and scale up our manufacturing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and benefits;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equipment upgrades and capacity expansion at the Boca Facility and to maintain our plasma collection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our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programs, medical education and continued commercialization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Boca Facility maintenance, improvements, repairs and supplies;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required post-marketing clinical trials for ASCENIV;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improvements and updates to our IT infrastructure, laboratory equipment and assays, and facilities and engineering equipment.</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we continue to onboard new staff and expand production at the Boca Facility, we may also decide to use cash on hand, in whole or in part, to purchase additional real estate to add redundancies, expand operations and prepare for future growth opportunities. In addition, our end-to-end production cycle time from procurement of raw materials to commercial release of finished product can take between seven and 12 months or potentially longer, requiring substantial inventories of raw material plasma and other manufacturing and laboratory testing materials and single use disposables.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2024, we had pre-tax income and GAAP net income of $125.7 million and $197.7 million, respectively. We currently anticipate, based upon our projected revenue and expenditures, that our current cash, cash equivalents and accounts receivable, along with our projected future operating cash flow, will be sufficient to fund our operations, as currently conducted, through the end of the first quarter of fiscal 2026. However, our current outlook with respect to cash flows and profitability may change based upon several factors, including the continued success of our commercial efforts with respect to the sale of our products and the continued acceptability of our immune globulin products by physicians, patients or payers, and whether or not the assumptions underlying our projected revenues and expenses are correct. If we are unable to maintain positive cash flow throughout fiscal 2025, we may choose to raise additional capital. If we are unable to generate sufficient revenue to maintain positive cash flow throughout fiscal 2025 and elect to raise additional capital, we may decide to do so through public or private equity offerings or debt financings, or we may enter into a corporate collaboration or licensing arrangement. The sale of additional equity securities or debt financings, if convertible, could result in dilution to our stockholders and, in such event, the value and potential future market price of our common stock may decline.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ADMA continues to evaluate a variety of strategic alternatives, and the exploration of value-creating opportunities remains a top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December 18, 2023 (the “Ares Closing Date”), we and all of our subsidiaries entered into a senior secured credit facility (the “Ares Credit Agreement”) with Ares Capital Corporation and certain credit funds affiliated with Ares Capital Corporation (collectively, “Ares”). The Ares Credit Agreement provided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On the Ares Closing Date, we used the proceeds from the Ares Loans, along with a portion of our existing cash on hand, to terminate and pay in full all of the outstanding obligations under our previous senior credit facility (the “Hayfin Credit Facility”) with Hayfin Services LLP (“Hayfin”) including the outstanding principal in the amount of $158.6 million, a prepayment penalty in the amount $11.1 million, an exit fee of $1.6 million, all accrued and unpaid interest outstanding on the Hayfin Credit Facility as of the Ares Closing date, as well as certain fees and expenses related thereto. In connection with the payoff and termination of the Hayfin Credit Facility, we also wrote off $15.0 million of unamortized debt discount related to the Hayfin Credit Facility. As a result of this transaction, we recorded a loss on the extinguishment of the Hayfin Credit Facility in the amount of $26.2 million in the year ended December 31, 2023, which is mainly comprised of the write-off of unamortized debt discount and the prepayment penalty.</w:t>
      </w:r>
    </w:p>
    <w:p>
      <w:pPr>
        <w:spacing w:after="0" w:line="19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August 14, 2024, we repaid $30.0 million against the revolving credit facility and the outstanding balance on the revolving credit facility as of December 31, 2024 was $42.5 million. On December 19, 2024 we repaid $30.0 million against the term loan and the outstanding balance on the term loan as of December 31, 2024 was $32.5 million. In connection with the repayment against the term loan, we recognized a loss on extinguishment of debt in the approximate amount of $1.2 million, which is comprised of a prepayment penalty in the amount of $0.45 million and a partial write-off of unamortized discount attributable to the term loan in the amount of $0.8 million.</w:t>
      </w:r>
    </w:p>
    <w:p>
      <w:pPr>
        <w:spacing w:after="0" w:line="143" w:lineRule="exact"/>
        <w:rPr>
          <w:sz w:val="20"/>
          <w:szCs w:val="20"/>
          <w:color w:val="auto"/>
        </w:rPr>
      </w:pPr>
    </w:p>
    <w:p>
      <w:pPr>
        <w:ind w:firstLine="648"/>
        <w:spacing w:after="0" w:line="225" w:lineRule="exact"/>
        <w:rPr>
          <w:sz w:val="20"/>
          <w:szCs w:val="20"/>
          <w:color w:val="auto"/>
        </w:rPr>
      </w:pPr>
      <w:r>
        <w:rPr>
          <w:rFonts w:ascii="Times New Roman" w:cs="Times New Roman" w:eastAsia="Times New Roman" w:hAnsi="Times New Roman"/>
          <w:sz w:val="18"/>
          <w:szCs w:val="18"/>
          <w:color w:val="auto"/>
        </w:rPr>
        <w:t>Borrowings under the term loan bear interest at the adjusted Term SOFR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tenor in effect on the day that is two business days prior to the first day of the applicable calendar quarter plus 6.50% (the “Initial SOFR Term Loan Applicable Margin”). Borrowings under the revolving facility bear interest at the adjusted Term SOFR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tenor in effect on the day that is two business days prior to the first day of the applicable calendar quarter plus 3.75% (the “SOFR Revolving Facility Applicable Margin”). On the Ares Closing Date, the interest rate on the term loan was approximately 11.9% and the interest rate on the revolving facility was approximately 9.1%, representing a weighted-average interest rate of approximately 10.4%. As of December 31, 2024, the interest rate on the term loan was approximately 10.9% and the interest rate on the revolving facility was approximately 8.3%, representing a weighted-average interest rate of approximately 9.4%.</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the Ares Maturity Date, we are required to pay Ares the entire outstanding principal amount underlying the Ares Loans and any accrued and unpaid interest thereon. Prior to the Ares Maturity Date, there are no scheduled principal payments on the Ares Credit Facility, and we are required to make quarterly interest payments during the term of Ares Credit Facility of approximately $1.8 million. We may prepay the outstanding principal under the revolving facility, together with any accrued but unpaid interest on the prepaid principal amount, at any time and from time to time upon three business days’ prior written notice with no prepayment premium. However, in the event that we pay down an aggregate amount under the revolving facility that is greater than 50% of revolving facility commitment of $72.5 million, we will still be required to pay interest on 50% of this amount, or $36.3 million, through the term of Ares Credit Facility. We may prepay the outstanding principal on the term loan, together with any accrued but unpaid interest on the prepaid principal amount, at any time and from time to time upon three business days’ prior written notice, subject to the payment to Ares of a prepayment premium equal to (i) the present value as of such date of all remaining required interest payments on the principal amount being repaid plus 1.5% of the prepaid principal amount, if prepaid on or prior to the first anniversary of the Ares Closing Date, (ii) 1.5% of the prepaid principal amount, if prepaid after the first anniversary of the Ares Closing Date and on or prior to the second anniversary of the Ares Closing Date, or (iii) 1.0% of the prepaid principal amount, if prepaid on or prior to the third anniversary of the Ares Closing Date.</w:t>
      </w:r>
    </w:p>
    <w:p>
      <w:pPr>
        <w:spacing w:after="0" w:line="19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Ares Credit Facility, we incurred fees and expenses related to the transaction of approximately $2.7 million, including a $1.7 million original issue discount payable to Ares, all of which was deducted from the Ares loan proceeds. In addition, we are also required to pay Ares an exit fee of $1.7 million upon the earlier of any prepayment date or the Ares Maturity Date, and this obligation has been accrued as a separate liability in our consolidated balance sheet as of December 31, 2024 and 2023 in the amount of $1.3 million and $1.7 million, respectively. As a result, we recognized an aggregate debt discount of $4.4 million as of the Ares Closing Date, and the weighted-average effective interest rate on the Ares Loans as of December 31, 2024 and 2023 was 10.81% and 11.39%, respectively. In connection with the prepayment of the term loan on December 19, 2024, we also paid a pro rata portion of the exit fee in the amount of $0.4 million.</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All of our obligations under the Ares Credit Agreement are secured by a first-priority lien and security interest in substantially all of our tangible and intangible assets, including intellectual property and all of the equity interests in our subsidiaries. The Ares Credit Agreement contains certain representations and warranties, affirmative covenants, negative covenants and conditions that are customarily required for similar financings. The negative covenants include certain financial covenants, including maximum total leverage ratios and a $15.0 million liquidity covenant, and also restrict or limit our ability and the ability of our subsidiaries to, among other things and subject to certain exceptions contained in the Ares Credit Agreement, incur new indebtedness; create liens on assets; engage in certain fundamental corporate changes, such as mergers or acquisitions, or changes to our or our subsidiaries’ business activities; make certain Investments or Restricted Payments (each as defined in the Ares Credit Agreement); engage in certain affiliate transactions; or enter into, amend or terminate any other agreements that have the impact of restricting our ability to make loan repayments under the Ares Credit Agreement. As of December 31, 2024, we were in compliance with all of the covenants contained in the Ares Credit Agreement.</w:t>
      </w:r>
    </w:p>
    <w:p>
      <w:pPr>
        <w:spacing w:after="0" w:line="18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Events of default on the Ares Loans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will incur an increase in the rate of interest on the Ares Loans of 2% per annum.</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March 23, 2022 (the “Hayfin Closing Date”), we and all of our subsidiaries entered into the Hayfin Credit Agreement with Hayfin. The Hayfin Credit Agreement, as amended, provided for a senior secured term loan facility in a principal amount of up to $175.0 million,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The Hayfin Delayed Draw Loan was not drawn prior to our termination of the Hayfin Credit Agreement. The Hayfin Credit Facility had a maturity date of March 23, 2027 (the “Hayfin Maturity Date”), subject to acceleration pursuant to the Hayfin Credit Agreement, including upon an Event of Default (as defined in the Hayfin Credit Agreement).</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the Hayfin Closing Date, we used $100.0 million of the Hayfin Closing Date Loan to terminate and pay in full all of the outstanding obligations under our previous senior credit facility with Perceptive (see Note 7 to the Consolidated Financial Statements). We also used $2.0 million of the Hayfin Closing Date Loan proceeds to pay a redemption premium to Perceptive and used approximately $1.0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Borrowings under the Hayfin Credit Agreement bore interest at the adjusted Term SOFR for either a one-month or three-month tenor, as elected by us, and subject to a floor of 1.25%, plus an applicable margin of 9.5% (the “Applicable Margin”); provided, however, that upon, and during the continuance of, an Event of Default, the Applicable Margin would increase by an additional 3% per annum. On May 1, 2023 the Hayfin Credit Agreement was amended to reduce the Applicable Margin from 9.5% to 8.5%. On the last day of each calendar month prior to the Ares Closing Date we paid accrued interest to Hayfin. On the Hayfin Closing Date, December 31, 2022 and the Ares Closing Date, the stated interest rate on the Hayfin Loans was 10.75%, approximately 13.7% and approximately 13.9%, respectively. We were also permitted to pay “in kind” a portion of the interest on the Hayfin Loans for each monthly interest period in an amount equal to 2.5% per annum, which was added to the principal amount of the outstanding debt under the Hayfin Credit Facility. From the Hayfin Closing Date through December 31, 2022, $3.0 million of interest was paid in kind and added to the balance of the outstanding Hayfin Loans. For the year ended December 31, 2023, $3.8 million of interest was paid in kind and added to the balance of the outstanding Hayfin Loans.</w:t>
      </w:r>
    </w:p>
    <w:p>
      <w:pPr>
        <w:spacing w:after="0" w:line="194"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On the Ares Closing Date, we paid Hayfin the entire outstanding principal amount underlying the Hayfin Loans and any accrued and unpaid interest thereon, as well as an exit fee of 1.0% of the outstanding principal amount being paid. In accordance with the terms of the Hayfin Credit Agreement, we also paid Hayfin the early prepayment fee in the amount equal 7.0% of the prepaid principal amount, or $11.1 million.</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All of our obligations under the Hayfin Credit Agreement were secured by a first-priority lien and security interest in substantially all of our tangible and intangible assets, including intellectual property and all of the equity interests in our subsidiaries. The Hayfin Credit Agreement contained certain representations and warranties, affirmative covenants, negative covenants and conditions that are customarily required for similar financings. The negative covenants restricted or limited our ability and the ability of our subsidiaries to, among other things and subject to certain exceptions contained in the Hayfin Credit Agreement, incur new indebtedness; create liens on assets; engage in certain fundamental corporate changes, such as mergers or acquisitions, or changes to our or our subsidiaries’ business activities; make certain Investments or Restricted Payments (each as defined in the Hayfin Credit Agreement); change our fiscal year; pay dividends; repay other certain indebtedness; engage in certain affiliate transactions; or enter into, amend or terminate any other agreements that have the impact of restricting our ability to make loan repayments under the Hayfin Credit Agreement. In addition, we were required (i) at all times prior to the Hayfin Maturity Date to maintain a minimum cash balance of $6.0 million; and (ii) as of the last day of each fiscal quarter, report IVIG product and related revenues for the trailing 12-month period that exceed the amounts set forth in the Hayfin Credit Agreement, which ranged from $75.0 million for the fiscal quarter ending June 30, 2022 to $110.0 million for the fiscal quarter ending September 30, 2023. As of the Ares Closing Date and December 31, 2022, we were in compliance with all of the financial covenants contained in the Hayfin Credit Agreement.</w:t>
      </w:r>
    </w:p>
    <w:p>
      <w:pPr>
        <w:spacing w:after="0" w:line="190" w:lineRule="exact"/>
        <w:rPr>
          <w:sz w:val="20"/>
          <w:szCs w:val="20"/>
          <w:color w:val="auto"/>
        </w:rPr>
      </w:pPr>
    </w:p>
    <w:p>
      <w:pPr>
        <w:ind w:right="160" w:firstLine="648"/>
        <w:spacing w:after="0" w:line="220" w:lineRule="exact"/>
        <w:rPr>
          <w:sz w:val="20"/>
          <w:szCs w:val="20"/>
          <w:color w:val="auto"/>
        </w:rPr>
      </w:pPr>
      <w:r>
        <w:rPr>
          <w:rFonts w:ascii="Times New Roman" w:cs="Times New Roman" w:eastAsia="Times New Roman" w:hAnsi="Times New Roman"/>
          <w:sz w:val="18"/>
          <w:szCs w:val="18"/>
          <w:color w:val="auto"/>
        </w:rPr>
        <w:t>On December 9, 2022, we completed an underwritten public offering whereby we issued 24,125,873 shares of our common stock. Net proceeds after underwriting discounts and expenses associated with the offering were approximately $64.6 million and were used to accelerate commercialization and production activities, complete plasma center buildouts and obtain FDA approvals, to conclude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FDA marketing approval research and development projects, and for working capital, capital expenditures and general corporate purposes.</w:t>
      </w: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tc>
        <w:tc>
          <w:tcPr>
            <w:tcW w:w="240" w:type="dxa"/>
            <w:vAlign w:val="bottom"/>
          </w:tcPr>
          <w:p>
            <w:pPr>
              <w:spacing w:after="0"/>
              <w:rPr>
                <w:sz w:val="24"/>
                <w:szCs w:val="24"/>
                <w:color w:val="auto"/>
              </w:rPr>
            </w:pPr>
          </w:p>
        </w:tc>
        <w:tc>
          <w:tcPr>
            <w:tcW w:w="2760" w:type="dxa"/>
            <w:vAlign w:val="bottom"/>
            <w:gridSpan w:val="6"/>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ind w:left="20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(8,575)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(4,981)</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(13,911)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(58,302)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(38,989)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108,852</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(35,170)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35,433</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51,352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86,522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51,089</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year</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103,147</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Cash provided by operations for the year ended December 31, 2024 was $118.7 million, as compared to $8.8 million for the year ended December 31, 2023. The increase is mainly due to substantially higher net income. The improvement in cash flow from operations in 2023 as compared to the year ended December 31, 2022 was mainly due to the improvement in our operating results, driven by higher revenues and gross margins, and a lower increase in inventories. The following table illustrates the primary components of our cash flows from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ind w:left="30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Non-cash expenses, gains and losses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(60,462)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24,682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(11,916)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inventories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(9,626)</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(38,556)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payable and accrued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8,334</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(3,824)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(1,136)</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operations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118,672</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31"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2024 was $8.6 million and is mainly comprised of equipment purchases and other capital expenditures at the Boca Facility. Cash used in investing activities for the year ended December 31, 2023 was $5.0 million, which was primarily comprised of capital expenditures of $3.0 million for equipment purchases and facilities upgrades at the Boca Facility, and $1.8 million to complete the buildout of our plasma collection facilities. Net cash used in investing activities for the year ended December 31, 2022 was $13.9 million, which consisted of $8.7 million for the construction and buildout of several new plasma collection facilities and $5.2 million for equipment purchases and upgrades to the Boca Facility. While we do not have any firm commitments for material capital expenditures in 2025, we expect our total capital expenditures will be between $12.0 million and $18.0 million for fiscal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Financing Activities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 for the year ended December 31, 2024 was $58.3 million and was primarily composed of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million of debt principal payments during the year. Net cash used in financing activities for the year ended December 31, 2023 was $39.0 million,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reduced our outstanding debt principal by $23.6 million with the refinancing of our senior debt on December 18, 2023 and paid approximately $12.7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to exit the Hayfin Credit Facility. Net cash provided by financing activities for the year ended December 31, 2022 was $108.9 million, as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approximately $47.0 in net proceeds from the refinancing of our senior credit facility in March of 2022 and $64.6 million in net proceeds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 public offering of our common stock.</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Inflation impacted a number of facets of our business during the years ended December 31, 2024, 2023 and 2022 at each of our business segments. Disruptions in the global economy have impeded global supply chains, resulted in longer lead times and delays in procuring certain raw materials, and resulted in inflationary cost increases in certain raw materials, labor and transportation. We also experienced price increases for, among other items, consumable supplies, services for repairs and maintenance of our facilities, utilities, shipping and freight charges, fuel surcharges and labor costs, among other expenses. Based upon the macroeconomic environment, publicly available information and reports from the U.S. government, we expect this trend to subside somewhat in 2025, however we cannot predict the extent to which future domestic and global economic conditions including, but not limited to, supply chain constraints or geopolitical conditions, including the continuing conflicts in Europe and in the Middle East and surrounding areas, could have a significant impact on our future results of operations. In addition, some of our third-party inventory purchase agreements provide for scheduled price increases that are tied to various consumer price indices, which have resulted in higher than historical percentage price increases and could result in higher source plasma and other raw material and supplies costs in 2025 and beyond. Also, in a higher inflationary environment, we may not be able to raise the prices of our products to keep up with the rate of inflation.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 as the result of changes in interest rates. Our senior credit facility with Ares requires quarterly payments of interest based on the adjusted Term SOFR plus the Applicable Margin. We currently do not utilize any derivative financial instruments, such as interest rate swaps or caps, to mitigate this risk. As of December 31, 2024, we had $75.0 million outstanding under our senior credit facility that is subject to a variable interest rate. As a result, the effect of a hypothetical, instantaneous and unfavorable change of 100 basis points in the interest rate would have an approximate $0.8 million annualized negative impact on our earnings and cash flows.</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financial statements required to be filed pursuant to this Item 8 appear in a separate section of this Annual Report on Form 10-K, beginning on page F-1.</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set of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Management’s annual report on internal control over financial reporting (as defined in Rule 13a- 15(f) under the Exchange Act) is included with the financial statements reflected in Item 8 of this Annual Report on Form 10-K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KPMG. KPMG is an independent registered public accounting firm, as stated in their reports which appear in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ending December 31, 2024 that has materially affected, or is reasonably likely to materially affect, our internal control over financial reporting.</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may from time to time enter into plans or other arrangements for the purchase or sale of our common stock that are intended to satisfy the affirmative defense conditions of Rule 10b5-1(c) or may constitute a non-Rule 10b5-1 trading arrangement under the Exchange Act.</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During the quarter ended December 31, 2024, none of our directors or executive officers adopted or terminated any such contract, instruction or written plans except for Adam Grossman, our President and CEO, who entered into a Rule 105b-1 trading plan with Fidelity Brokerage Services LLC on December 5, 2024 (the “Grossman Plan”). The Grossman Plan provides that Mr. Grossman may sell up to an aggregate of (i) 60,000 shares of our common stock and (ii) 150,000 shares of our common stock to be received upon the exercise of vested options granted to Mr. Grossman. The Grossman Plan is scheduled to terminate on December 31, 2025, subject to earlier termination upon the sale of all shares subject to the plan, upon termination by Mr. Grossman or the broker, or as otherwise provided in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Information required to be disclosed by this Item with respect to our executive officers is incorporated into this Annual Report on Form 10-K by reference from the section entitled “Executive Officers and Director and Officer Compensation: Executive Officers” contained in our definitive proxy statement for our 2025 annual meeting of stockholders, which we intend to file within 120 days of the end of our fiscal year ended December 31, 2024.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required to be disclosed by this Item about our Board of Directors (the “Board”) is incorporated into this Annual Report on Form 10-K by reference from the section entitled “Proposal No. 1: Election of Directors” contained in our definitive proxy statement for our 2025 annual meeting of stockholders, which we intend to file within 120 days of the end of our fiscal year ended December 31,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necessary, information required to be disclosed by this Item about the Section 16(a) compliance of our directors and executive officers is incorporated into this Annual Report on Form 10-K, as applicable, by reference from the section entitled “Delinquent Section 16(a) Reports” contained in our definitive proxy statement for our 2025 annual meeting of stockholders, which we intend to file within 120 days of the end of our fiscal year ended December 31, 2024.</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Information required to be disclosed by this Item about our Board, the Audit Committee of our Board, our audit committee financial expert, our Code of Ethics and Business Conduct, and other corporate governance matters is incorporated into this Annual Report on Form 10-K by reference from the section entitled “Corporate Governance” contained in our definitive proxy statement for our 2025 annual meeting of stockholders, which we intend to file within 120 days of the end of our fiscal year ended December 31, 2024.</w:t>
      </w:r>
    </w:p>
    <w:p>
      <w:pPr>
        <w:spacing w:after="0" w:line="180"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text of our Code of Ethics and Business Conduct, which applies to our directors and employees (including our principal executive officer, principal financial officer, principal accounting officer or controller and persons performing similar functions), is posted in the “Corporate Governance” section of the Investors section of our website, www.admabiologics.com. A copy of the Code of Ethics and Business Conduct can be obtained free of charge on our website. We intend to disclose on our website any amendments to, or waivers from, our Code of Ethics and Business Conduct that are required to be disclosed pursuant to the rules of the SEC and The Nasdaq Stock Market.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presented on our website is not a part of this Annual Report on Form 10-K and the reference to our website is intended to be an inactive textual reference only.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Insider Trading Policy governs transactions in our securities by our directors, officers and employees and is designed to promote compliance with applicable insider trading laws, rules and regulations. A copy of our Insider Trading Policy is filed with this Annual Report on Form 10-K as Exhibit 19.</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Information required to be disclosed by this Item is incorporated into this Annual Report on Form 10-K by reference from the section entitled “Executive Officers and Director and Officer Compensation” contained in our definitive proxy statement for our 2025 annual meeting of stockholders, which we intend to file within 120 days of the end of our fiscal year ended December 31, 2024.</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Information required to be disclosed by this Item is incorporated into this Annual Report on Form 10-K by reference from the sections entitled “Security Ownership of Certain Beneficial Owners and Management and Related Stockholder Matters” contained in our definitive proxy statement for our 2025 annual meeting of stockholders, which we intend to file within 120 days of the end of our fiscal year ended December 31, 2024.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to be disclosed by this Item is incorporated in this Annual Report on Form 10-K by reference from the section entitled “Certain Relationships and Related Transactions, and Director Independence” contained in our definitive proxy statement for our 2025 annual meeting of stockholders, which we intend to file within 120 days of the end of our fiscal year ended December 31, 2024.</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to be disclosed by this Item is incorporated into this Annual Report on Form 10-K by reference from the section entitled “Audit and Other Fees” contained in our definitive proxy statement for our 2025 annual meeting of stockholders, which we intend to file within 120 days of the end of our fiscal year ended December 31, 2024.</w:t>
      </w: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86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16"/>
        </w:trPr>
        <w:tc>
          <w:tcPr>
            <w:tcW w:w="10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Management’s Annual Report on Internal Control Over Financial Reporting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(PCAOB ID 185)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596)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F-7</w:t>
            </w:r>
          </w:p>
        </w:tc>
      </w:tr>
      <w:tr>
        <w:trPr>
          <w:trHeight w:val="216"/>
        </w:trPr>
        <w:tc>
          <w:tcPr>
            <w:tcW w:w="10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F-8</w:t>
            </w:r>
          </w:p>
        </w:tc>
      </w:tr>
      <w:tr>
        <w:trPr>
          <w:trHeight w:val="216"/>
        </w:trPr>
        <w:tc>
          <w:tcPr>
            <w:tcW w:w="10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2024, 2023 and 2022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F-9</w:t>
            </w:r>
          </w:p>
        </w:tc>
      </w:tr>
      <w:tr>
        <w:trPr>
          <w:trHeight w:val="216"/>
        </w:trPr>
        <w:tc>
          <w:tcPr>
            <w:tcW w:w="10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years ended December 31, 2024, 2023 and 2022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F-10</w:t>
            </w:r>
          </w:p>
        </w:tc>
      </w:tr>
      <w:tr>
        <w:trPr>
          <w:trHeight w:val="216"/>
        </w:trPr>
        <w:tc>
          <w:tcPr>
            <w:tcW w:w="10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F-11</w:t>
            </w:r>
          </w:p>
        </w:tc>
      </w:tr>
      <w:tr>
        <w:trPr>
          <w:trHeight w:val="234"/>
        </w:trPr>
        <w:tc>
          <w:tcPr>
            <w:tcW w:w="10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F-12</w:t>
            </w:r>
          </w:p>
        </w:tc>
      </w:tr>
      <w:tr>
        <w:trPr>
          <w:trHeight w:val="395"/>
        </w:trPr>
        <w:tc>
          <w:tcPr>
            <w:tcW w:w="9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(2)</w:t>
            </w:r>
          </w:p>
        </w:tc>
        <w:tc>
          <w:tcPr>
            <w:tcW w:w="9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900" w:type="dxa"/>
            <w:vAlign w:val="bottom"/>
          </w:tcPr>
          <w:p>
            <w:pPr>
              <w:spacing w:after="0"/>
              <w:rPr>
                <w:sz w:val="24"/>
                <w:szCs w:val="24"/>
                <w:color w:val="auto"/>
              </w:rPr>
            </w:pPr>
          </w:p>
        </w:tc>
      </w:tr>
      <w:tr>
        <w:trPr>
          <w:trHeight w:val="234"/>
        </w:trPr>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Required information is included in the footnotes to the financial statements.</w:t>
            </w:r>
          </w:p>
        </w:tc>
        <w:tc>
          <w:tcPr>
            <w:tcW w:w="900" w:type="dxa"/>
            <w:vAlign w:val="bottom"/>
          </w:tcPr>
          <w:p>
            <w:pPr>
              <w:spacing w:after="0"/>
              <w:rPr>
                <w:sz w:val="20"/>
                <w:szCs w:val="20"/>
                <w:color w:val="auto"/>
              </w:rPr>
            </w:pPr>
          </w:p>
        </w:tc>
      </w:tr>
      <w:tr>
        <w:trPr>
          <w:trHeight w:val="432"/>
        </w:trPr>
        <w:tc>
          <w:tcPr>
            <w:tcW w:w="9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(3)</w:t>
            </w:r>
          </w:p>
        </w:tc>
        <w:tc>
          <w:tcPr>
            <w:tcW w:w="9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Index to Exhibits.</w:t>
            </w:r>
          </w:p>
        </w:tc>
        <w:tc>
          <w:tcPr>
            <w:tcW w:w="90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4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900" w:type="dxa"/>
            <w:vAlign w:val="bottom"/>
          </w:tcPr>
          <w:p>
            <w:pPr>
              <w:spacing w:after="0"/>
              <w:rPr>
                <w:sz w:val="24"/>
                <w:szCs w:val="24"/>
                <w:color w:val="auto"/>
              </w:rPr>
            </w:pPr>
          </w:p>
        </w:tc>
      </w:tr>
      <w:tr>
        <w:trPr>
          <w:trHeight w:val="41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92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00" w:type="dxa"/>
            <w:vAlign w:val="bottom"/>
          </w:tcPr>
          <w:p>
            <w:pPr>
              <w:spacing w:after="0"/>
              <w:rPr>
                <w:sz w:val="24"/>
                <w:szCs w:val="24"/>
                <w:color w:val="auto"/>
              </w:rPr>
            </w:pPr>
          </w:p>
        </w:tc>
      </w:tr>
      <w:tr>
        <w:trPr>
          <w:trHeight w:val="245"/>
        </w:trPr>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86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175"/>
        </w:trPr>
        <w:tc>
          <w:tcPr>
            <w:tcW w:w="3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5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Second Amended and Restated Certificate of Incorporation of the Company (incorporated herein by reference to Exhibit 3.1 to the</w:t>
            </w:r>
          </w:p>
        </w:tc>
      </w:tr>
      <w:tr>
        <w:trPr>
          <w:trHeight w:val="257"/>
        </w:trPr>
        <w:tc>
          <w:tcPr>
            <w:tcW w:w="240" w:type="dxa"/>
            <w:vAlign w:val="bottom"/>
            <w:tcBorders>
              <w:top w:val="single" w:sz="8" w:color="0000EE"/>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9200" w:type="dxa"/>
            <w:vAlign w:val="bottom"/>
            <w:tcBorders>
              <w:top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Company’s Current Report on Form 8-K, filed with the SEC on August 23, 2019).</w:t>
            </w:r>
          </w:p>
        </w:tc>
        <w:tc>
          <w:tcPr>
            <w:tcW w:w="900" w:type="dxa"/>
            <w:vAlign w:val="bottom"/>
            <w:tcBorders>
              <w:top w:val="single" w:sz="8" w:color="CCEEFF"/>
            </w:tcBorders>
            <w:shd w:val="clear" w:color="auto" w:fill="CCEEFF"/>
          </w:tcPr>
          <w:p>
            <w:pPr>
              <w:spacing w:after="0"/>
              <w:rPr>
                <w:sz w:val="22"/>
                <w:szCs w:val="22"/>
                <w:color w:val="auto"/>
              </w:rPr>
            </w:pPr>
          </w:p>
        </w:tc>
      </w:tr>
      <w:tr>
        <w:trPr>
          <w:trHeight w:val="163"/>
        </w:trPr>
        <w:tc>
          <w:tcPr>
            <w:tcW w:w="360" w:type="dxa"/>
            <w:vAlign w:val="bottom"/>
            <w:tcBorders>
              <w:top w:val="single" w:sz="8" w:color="auto"/>
              <w:bottom w:val="single" w:sz="8" w:color="0000EE"/>
            </w:tcBorders>
            <w:gridSpan w:val="2"/>
          </w:tcPr>
          <w:p>
            <w:pPr>
              <w:spacing w:after="0" w:line="163" w:lineRule="exact"/>
              <w:rPr>
                <w:rFonts w:ascii="Times New Roman" w:cs="Times New Roman" w:eastAsia="Times New Roman" w:hAnsi="Times New Roman"/>
                <w:sz w:val="18"/>
                <w:szCs w:val="18"/>
                <w:color w:val="0000EE"/>
                <w:w w:val="94"/>
              </w:rPr>
            </w:pPr>
            <w:hyperlink r:id="rId99">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1.1</w:t>
              </w:r>
            </w:hyperlink>
          </w:p>
        </w:tc>
        <w:tc>
          <w:tcPr>
            <w:tcW w:w="5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9540" w:type="dxa"/>
            <w:vAlign w:val="bottom"/>
            <w:tcBorders>
              <w:top w:val="single" w:sz="8" w:color="auto"/>
            </w:tcBorders>
            <w:gridSpan w:val="2"/>
          </w:tcPr>
          <w:p>
            <w:pPr>
              <w:spacing w:after="0" w:line="163" w:lineRule="exact"/>
              <w:rPr>
                <w:sz w:val="20"/>
                <w:szCs w:val="20"/>
                <w:color w:val="auto"/>
              </w:rPr>
            </w:pPr>
            <w:r>
              <w:rPr>
                <w:rFonts w:ascii="Times New Roman" w:cs="Times New Roman" w:eastAsia="Times New Roman" w:hAnsi="Times New Roman"/>
                <w:sz w:val="18"/>
                <w:szCs w:val="18"/>
                <w:color w:val="auto"/>
              </w:rPr>
              <w:t>Certificate of Amendment of the Second Amended and Restated Certificate of Incorporation of ADMA Biologics, Inc., dated as of</w:t>
            </w:r>
          </w:p>
        </w:tc>
      </w:tr>
      <w:tr>
        <w:trPr>
          <w:trHeight w:val="218"/>
        </w:trPr>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May 27, 2021 (incorporated herein by reference to Exhibit 3.1 to the Company’s Current Report on Form 8-K filed on May 28,</w:t>
            </w:r>
          </w:p>
        </w:tc>
      </w:tr>
      <w:tr>
        <w:trPr>
          <w:trHeight w:val="234"/>
        </w:trPr>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08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3.2</w:t>
        </w:r>
      </w:hyperlink>
    </w:p>
    <w:p>
      <w:pPr>
        <w:spacing w:after="0" w:line="25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3.3</w:t>
        </w:r>
      </w:hyperlink>
    </w:p>
    <w:p>
      <w:pPr>
        <w:spacing w:after="0" w:line="200" w:lineRule="exact"/>
        <w:rPr>
          <w:sz w:val="20"/>
          <w:szCs w:val="20"/>
          <w:color w:val="auto"/>
        </w:rPr>
      </w:pPr>
    </w:p>
    <w:p>
      <w:pPr>
        <w:spacing w:after="0" w:line="26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4.1</w:t>
        </w:r>
      </w:hyperlink>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Second Amended and Restated Bylaws (incorporated herein by reference to Exhibit 3.1 to the Company’s Current Report on Form 8-K, filed with the SEC on June 28, 2024).</w:t>
      </w:r>
    </w:p>
    <w:p>
      <w:pPr>
        <w:ind w:right="20"/>
        <w:spacing w:after="0" w:line="260" w:lineRule="auto"/>
        <w:rPr>
          <w:sz w:val="20"/>
          <w:szCs w:val="20"/>
          <w:color w:val="auto"/>
        </w:rPr>
      </w:pPr>
      <w:r>
        <w:rPr>
          <w:rFonts w:ascii="Times New Roman" w:cs="Times New Roman" w:eastAsia="Times New Roman" w:hAnsi="Times New Roman"/>
          <w:sz w:val="18"/>
          <w:szCs w:val="18"/>
          <w:color w:val="auto"/>
        </w:rPr>
        <w:t>Amended and Restated Certificate of Designation of Series A Junior Participating Preferred Stock of ADMA Biologics, Inc. (incorporated herein by reference to Exhibit 3.1 to the Company’s Current Report on Form 8-K filed with the SEC on December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-3175</wp:posOffset>
            </wp:positionV>
            <wp:extent cx="7132320"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500"/>
        <w:spacing w:after="0" w:line="282" w:lineRule="auto"/>
        <w:rPr>
          <w:sz w:val="20"/>
          <w:szCs w:val="20"/>
          <w:color w:val="auto"/>
        </w:rPr>
      </w:pPr>
      <w:r>
        <w:rPr>
          <w:rFonts w:ascii="Times New Roman" w:cs="Times New Roman" w:eastAsia="Times New Roman" w:hAnsi="Times New Roman"/>
          <w:sz w:val="18"/>
          <w:szCs w:val="18"/>
          <w:color w:val="auto"/>
        </w:rPr>
        <w:t>Specimen Common Stock Certificate (incorporated herein by reference to Exhibit 4.1 to Amendment No. 1 to the Company’s Current Report on Form 8-K/A, filed with the SEC on March 29, 2012).</w:t>
      </w:r>
    </w:p>
    <w:p>
      <w:pPr>
        <w:spacing w:after="0" w:line="200" w:lineRule="exact"/>
        <w:rPr>
          <w:sz w:val="20"/>
          <w:szCs w:val="20"/>
          <w:color w:val="auto"/>
        </w:rPr>
      </w:pPr>
    </w:p>
    <w:p>
      <w:pPr>
        <w:sectPr>
          <w:pgSz w:w="11900" w:h="16838" w:orient="portrait"/>
          <w:cols w:equalWidth="0" w:num="2">
            <w:col w:w="980" w:space="720"/>
            <w:col w:w="9540"/>
          </w:cols>
          <w:pgMar w:left="320" w:top="115" w:right="339" w:bottom="1440" w:gutter="0" w:footer="0" w:header="0"/>
          <w:type w:val="continuous"/>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Form of Warrant to Purchase Common Stock, in the form issued by the Company to various entities affiliated with Hayfin Services</w:t>
            </w:r>
          </w:p>
        </w:tc>
      </w:tr>
      <w:tr>
        <w:trPr>
          <w:trHeight w:val="218"/>
        </w:trPr>
        <w:tc>
          <w:tcPr>
            <w:tcW w:w="24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LLP, dated as of March 23, 2022 (incorporated herein by reference to Exhibit 4.13 to the Company’s Annual Report on Form 10-K,</w:t>
            </w:r>
          </w:p>
        </w:tc>
      </w:tr>
      <w:tr>
        <w:trPr>
          <w:trHeight w:val="254"/>
        </w:trPr>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filed with the SEC on March 24, 2022).</w:t>
            </w:r>
          </w:p>
        </w:tc>
      </w:tr>
      <w:tr>
        <w:trPr>
          <w:trHeight w:val="163"/>
        </w:trPr>
        <w:tc>
          <w:tcPr>
            <w:tcW w:w="420" w:type="dxa"/>
            <w:vAlign w:val="bottom"/>
            <w:tcBorders>
              <w:top w:val="single" w:sz="8" w:color="auto"/>
            </w:tcBorders>
            <w:gridSpan w:val="2"/>
          </w:tcPr>
          <w:p>
            <w:pPr>
              <w:spacing w:after="0" w:line="163"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954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8"/>
                <w:szCs w:val="18"/>
                <w:color w:val="auto"/>
              </w:rPr>
              <w:t>Form of Warrant to Purchase Common Stock, in the form issued by the Company to various entities affiliated with Hayfin Services</w:t>
            </w:r>
          </w:p>
        </w:tc>
      </w:tr>
      <w:tr>
        <w:trPr>
          <w:trHeight w:val="218"/>
        </w:trPr>
        <w:tc>
          <w:tcPr>
            <w:tcW w:w="24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LLP, dated as of May 1, 2023 (incorporated herein by reference to Exhibit 4.1 to the Company’s Current Report on Form 8-K, filed</w:t>
            </w:r>
          </w:p>
        </w:tc>
      </w:tr>
      <w:tr>
        <w:trPr>
          <w:trHeight w:val="241"/>
        </w:trPr>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with the SEC on May 2, 2023).</w:t>
            </w:r>
          </w:p>
        </w:tc>
      </w:tr>
      <w:tr>
        <w:trPr>
          <w:trHeight w:val="175"/>
        </w:trPr>
        <w:tc>
          <w:tcPr>
            <w:tcW w:w="420" w:type="dxa"/>
            <w:vAlign w:val="bottom"/>
            <w:tcBorders>
              <w:top w:val="single" w:sz="8" w:color="auto"/>
            </w:tcBorders>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5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Description of Securities Registered under Section 12 of the Securities Exchange Act of 1934 (incorporated herein by reference to</w:t>
            </w:r>
          </w:p>
        </w:tc>
      </w:tr>
      <w:tr>
        <w:trPr>
          <w:trHeight w:val="257"/>
        </w:trPr>
        <w:tc>
          <w:tcPr>
            <w:tcW w:w="240" w:type="dxa"/>
            <w:vAlign w:val="bottom"/>
            <w:tcBorders>
              <w:top w:val="single" w:sz="8" w:color="0000EE"/>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10100" w:type="dxa"/>
            <w:vAlign w:val="bottom"/>
            <w:tcBorders>
              <w:top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Exhibit 4.11 to the Company’s Annual Report on Form 10-K, filed with the SEC on March 24, 2022).</w:t>
            </w:r>
          </w:p>
        </w:tc>
      </w:tr>
      <w:tr>
        <w:trPr>
          <w:trHeight w:val="163"/>
        </w:trPr>
        <w:tc>
          <w:tcPr>
            <w:tcW w:w="1140" w:type="dxa"/>
            <w:vAlign w:val="bottom"/>
            <w:tcBorders>
              <w:top w:val="single" w:sz="8" w:color="auto"/>
            </w:tcBorders>
            <w:gridSpan w:val="5"/>
          </w:tcPr>
          <w:p>
            <w:pPr>
              <w:spacing w:after="0" w:line="163"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560" w:type="dxa"/>
            <w:vAlign w:val="bottom"/>
            <w:tcBorders>
              <w:top w:val="single" w:sz="8" w:color="CCEEFF"/>
            </w:tcBorders>
          </w:tcPr>
          <w:p>
            <w:pPr>
              <w:spacing w:after="0"/>
              <w:rPr>
                <w:sz w:val="14"/>
                <w:szCs w:val="14"/>
                <w:color w:val="auto"/>
              </w:rPr>
            </w:pPr>
          </w:p>
        </w:tc>
        <w:tc>
          <w:tcPr>
            <w:tcW w:w="954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8"/>
                <w:szCs w:val="18"/>
                <w:color w:val="auto"/>
              </w:rPr>
              <w:t>Amended and Restated ADMA Biologics, Inc. 2014 Omnibus Incentive Compensation Plan (incorporated herein by reference to</w:t>
            </w:r>
          </w:p>
        </w:tc>
      </w:tr>
      <w:tr>
        <w:trPr>
          <w:trHeight w:val="243"/>
        </w:trPr>
        <w:tc>
          <w:tcPr>
            <w:tcW w:w="2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Exhibit 10.1 to the Company’s Registration Statement on Form S-8, filed with the SEC on August 18, 2017).</w:t>
            </w:r>
          </w:p>
        </w:tc>
      </w:tr>
      <w:tr>
        <w:trPr>
          <w:trHeight w:val="176"/>
        </w:trPr>
        <w:tc>
          <w:tcPr>
            <w:tcW w:w="1140" w:type="dxa"/>
            <w:vAlign w:val="bottom"/>
            <w:tcBorders>
              <w:top w:val="single" w:sz="8" w:color="auto"/>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560" w:type="dxa"/>
            <w:vAlign w:val="bottom"/>
            <w:tcBorders>
              <w:top w:val="single" w:sz="8" w:color="CCEEFF"/>
            </w:tcBorders>
            <w:shd w:val="clear" w:color="auto" w:fill="CCEEFF"/>
          </w:tcPr>
          <w:p>
            <w:pPr>
              <w:spacing w:after="0"/>
              <w:rPr>
                <w:sz w:val="15"/>
                <w:szCs w:val="15"/>
                <w:color w:val="auto"/>
              </w:rPr>
            </w:pPr>
          </w:p>
        </w:tc>
        <w:tc>
          <w:tcPr>
            <w:tcW w:w="95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ADMA Biologics, Inc. 2022 Equity Compensation Plan (incorporated herein by reference to Exhibit 10.1 to the Registrant’s Current</w:t>
            </w:r>
          </w:p>
        </w:tc>
      </w:tr>
      <w:tr>
        <w:trPr>
          <w:trHeight w:val="256"/>
        </w:trPr>
        <w:tc>
          <w:tcPr>
            <w:tcW w:w="240" w:type="dxa"/>
            <w:vAlign w:val="bottom"/>
            <w:tcBorders>
              <w:top w:val="single" w:sz="8" w:color="0000EE"/>
            </w:tcBorders>
            <w:shd w:val="clear" w:color="auto" w:fill="CCEEFF"/>
          </w:tcPr>
          <w:p>
            <w:pPr>
              <w:spacing w:after="0"/>
              <w:rPr>
                <w:sz w:val="22"/>
                <w:szCs w:val="22"/>
                <w:color w:val="auto"/>
              </w:rPr>
            </w:pPr>
          </w:p>
        </w:tc>
        <w:tc>
          <w:tcPr>
            <w:tcW w:w="180" w:type="dxa"/>
            <w:vAlign w:val="bottom"/>
            <w:tcBorders>
              <w:top w:val="single" w:sz="8" w:color="0000EE"/>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10100" w:type="dxa"/>
            <w:vAlign w:val="bottom"/>
            <w:tcBorders>
              <w:top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Report on Form 8-K filed with the SEC on June 21, 2022).</w:t>
            </w:r>
          </w:p>
        </w:tc>
      </w:tr>
      <w:tr>
        <w:trPr>
          <w:trHeight w:val="163"/>
        </w:trPr>
        <w:tc>
          <w:tcPr>
            <w:tcW w:w="1140" w:type="dxa"/>
            <w:vAlign w:val="bottom"/>
            <w:tcBorders>
              <w:top w:val="single" w:sz="8" w:color="auto"/>
            </w:tcBorders>
            <w:gridSpan w:val="5"/>
          </w:tcPr>
          <w:p>
            <w:pPr>
              <w:spacing w:after="0" w:line="163"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560" w:type="dxa"/>
            <w:vAlign w:val="bottom"/>
            <w:tcBorders>
              <w:top w:val="single" w:sz="8" w:color="CCEEFF"/>
            </w:tcBorders>
          </w:tcPr>
          <w:p>
            <w:pPr>
              <w:spacing w:after="0"/>
              <w:rPr>
                <w:sz w:val="14"/>
                <w:szCs w:val="14"/>
                <w:color w:val="auto"/>
              </w:rPr>
            </w:pPr>
          </w:p>
        </w:tc>
        <w:tc>
          <w:tcPr>
            <w:tcW w:w="954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8"/>
                <w:szCs w:val="18"/>
                <w:color w:val="auto"/>
              </w:rPr>
              <w:t>Amended and Restated Employment Agreement, dated January 29, 2019, by and between ADMA Biologics, Inc. and Adam</w:t>
            </w:r>
          </w:p>
        </w:tc>
      </w:tr>
      <w:tr>
        <w:trPr>
          <w:trHeight w:val="218"/>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Grossman (incorporated herein by reference to Exhibit 10.1 to the Company’s Current Report on Form 8-K, filed with the SEC on</w:t>
            </w:r>
          </w:p>
        </w:tc>
      </w:tr>
      <w:tr>
        <w:trPr>
          <w:trHeight w:val="241"/>
        </w:trPr>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January 29, 2019).</w:t>
            </w:r>
          </w:p>
        </w:tc>
      </w:tr>
      <w:tr>
        <w:trPr>
          <w:trHeight w:val="175"/>
        </w:trPr>
        <w:tc>
          <w:tcPr>
            <w:tcW w:w="1140" w:type="dxa"/>
            <w:vAlign w:val="bottom"/>
            <w:tcBorders>
              <w:top w:val="single" w:sz="8" w:color="auto"/>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10.3.1†</w:t>
              </w:r>
            </w:hyperlink>
          </w:p>
        </w:tc>
        <w:tc>
          <w:tcPr>
            <w:tcW w:w="560" w:type="dxa"/>
            <w:vAlign w:val="bottom"/>
            <w:tcBorders>
              <w:top w:val="single" w:sz="8" w:color="CCEEFF"/>
            </w:tcBorders>
            <w:shd w:val="clear" w:color="auto" w:fill="CCEEFF"/>
          </w:tcPr>
          <w:p>
            <w:pPr>
              <w:spacing w:after="0"/>
              <w:rPr>
                <w:sz w:val="15"/>
                <w:szCs w:val="15"/>
                <w:color w:val="auto"/>
              </w:rPr>
            </w:pPr>
          </w:p>
        </w:tc>
        <w:tc>
          <w:tcPr>
            <w:tcW w:w="95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to Employment Agreement, dated as of September 29, 2021, by and between ADMA Biologics, Inc. and Adam</w:t>
            </w:r>
          </w:p>
        </w:tc>
      </w:tr>
      <w:tr>
        <w:trPr>
          <w:trHeight w:val="218"/>
        </w:trPr>
        <w:tc>
          <w:tcPr>
            <w:tcW w:w="24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Grossman (incorporated herein by reference to Exhibit 10.2 to the Company’s Current Report on Form 8-K, filed with the SEC on</w:t>
            </w:r>
          </w:p>
        </w:tc>
      </w:tr>
      <w:tr>
        <w:trPr>
          <w:trHeight w:val="254"/>
        </w:trPr>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October 1, 2021).</w:t>
            </w:r>
          </w:p>
        </w:tc>
      </w:tr>
      <w:tr>
        <w:trPr>
          <w:trHeight w:val="163"/>
        </w:trPr>
        <w:tc>
          <w:tcPr>
            <w:tcW w:w="1140" w:type="dxa"/>
            <w:vAlign w:val="bottom"/>
            <w:tcBorders>
              <w:top w:val="single" w:sz="8" w:color="auto"/>
            </w:tcBorders>
            <w:gridSpan w:val="5"/>
          </w:tcPr>
          <w:p>
            <w:pPr>
              <w:spacing w:after="0" w:line="163"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10.4†</w:t>
              </w:r>
            </w:hyperlink>
          </w:p>
        </w:tc>
        <w:tc>
          <w:tcPr>
            <w:tcW w:w="560" w:type="dxa"/>
            <w:vAlign w:val="bottom"/>
            <w:tcBorders>
              <w:top w:val="single" w:sz="8" w:color="CCEEFF"/>
            </w:tcBorders>
          </w:tcPr>
          <w:p>
            <w:pPr>
              <w:spacing w:after="0"/>
              <w:rPr>
                <w:sz w:val="14"/>
                <w:szCs w:val="14"/>
                <w:color w:val="auto"/>
              </w:rPr>
            </w:pPr>
          </w:p>
        </w:tc>
        <w:tc>
          <w:tcPr>
            <w:tcW w:w="954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8"/>
                <w:szCs w:val="18"/>
                <w:color w:val="auto"/>
              </w:rPr>
              <w:t>Employment Agreement, dated April 1, 2024, by and between ADMA Biologics, Inc. and Kaitlin Kestenberg (incorporated herein</w:t>
            </w:r>
          </w:p>
        </w:tc>
      </w:tr>
      <w:tr>
        <w:trPr>
          <w:trHeight w:val="243"/>
        </w:trPr>
        <w:tc>
          <w:tcPr>
            <w:tcW w:w="2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by reference to Exhibit 10.1 to the Company’s Current Report on Form 8-K, filed with the SEC on April 2, 2024).</w:t>
            </w:r>
          </w:p>
        </w:tc>
      </w:tr>
      <w:tr>
        <w:trPr>
          <w:trHeight w:val="176"/>
        </w:trPr>
        <w:tc>
          <w:tcPr>
            <w:tcW w:w="1140" w:type="dxa"/>
            <w:vAlign w:val="bottom"/>
            <w:tcBorders>
              <w:top w:val="single" w:sz="8" w:color="auto"/>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10.5†</w:t>
              </w:r>
            </w:hyperlink>
          </w:p>
        </w:tc>
        <w:tc>
          <w:tcPr>
            <w:tcW w:w="560" w:type="dxa"/>
            <w:vAlign w:val="bottom"/>
            <w:tcBorders>
              <w:top w:val="single" w:sz="8" w:color="CCEEFF"/>
            </w:tcBorders>
            <w:shd w:val="clear" w:color="auto" w:fill="CCEEFF"/>
          </w:tcPr>
          <w:p>
            <w:pPr>
              <w:spacing w:after="0"/>
              <w:rPr>
                <w:sz w:val="15"/>
                <w:szCs w:val="15"/>
                <w:color w:val="auto"/>
              </w:rPr>
            </w:pPr>
          </w:p>
        </w:tc>
        <w:tc>
          <w:tcPr>
            <w:tcW w:w="95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Employment Agreement, dated as of July 24, 2024, by and between ADMA Biologics, Inc. and Brad Tade (incorporated herein by</w:t>
            </w:r>
          </w:p>
        </w:tc>
      </w:tr>
      <w:tr>
        <w:trPr>
          <w:trHeight w:val="257"/>
        </w:trPr>
        <w:tc>
          <w:tcPr>
            <w:tcW w:w="240" w:type="dxa"/>
            <w:vAlign w:val="bottom"/>
            <w:tcBorders>
              <w:top w:val="single" w:sz="8" w:color="0000EE"/>
            </w:tcBorders>
            <w:shd w:val="clear" w:color="auto" w:fill="CCEEFF"/>
          </w:tcPr>
          <w:p>
            <w:pPr>
              <w:spacing w:after="0"/>
              <w:rPr>
                <w:sz w:val="22"/>
                <w:szCs w:val="22"/>
                <w:color w:val="auto"/>
              </w:rPr>
            </w:pPr>
          </w:p>
        </w:tc>
        <w:tc>
          <w:tcPr>
            <w:tcW w:w="180" w:type="dxa"/>
            <w:vAlign w:val="bottom"/>
            <w:tcBorders>
              <w:top w:val="single" w:sz="8" w:color="0000EE"/>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10100" w:type="dxa"/>
            <w:vAlign w:val="bottom"/>
            <w:tcBorders>
              <w:top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with the SEC on July 26, 2024).</w:t>
            </w:r>
          </w:p>
        </w:tc>
      </w:tr>
      <w:tr>
        <w:trPr>
          <w:trHeight w:val="163"/>
        </w:trPr>
        <w:tc>
          <w:tcPr>
            <w:tcW w:w="1140" w:type="dxa"/>
            <w:vAlign w:val="bottom"/>
            <w:tcBorders>
              <w:top w:val="single" w:sz="8" w:color="auto"/>
            </w:tcBorders>
            <w:gridSpan w:val="5"/>
          </w:tcPr>
          <w:p>
            <w:pPr>
              <w:spacing w:after="0" w:line="163"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10.6†</w:t>
              </w:r>
            </w:hyperlink>
          </w:p>
        </w:tc>
        <w:tc>
          <w:tcPr>
            <w:tcW w:w="560" w:type="dxa"/>
            <w:vAlign w:val="bottom"/>
            <w:tcBorders>
              <w:top w:val="single" w:sz="8" w:color="CCEEFF"/>
            </w:tcBorders>
          </w:tcPr>
          <w:p>
            <w:pPr>
              <w:spacing w:after="0"/>
              <w:rPr>
                <w:sz w:val="14"/>
                <w:szCs w:val="14"/>
                <w:color w:val="auto"/>
              </w:rPr>
            </w:pPr>
          </w:p>
        </w:tc>
        <w:tc>
          <w:tcPr>
            <w:tcW w:w="954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8"/>
                <w:szCs w:val="18"/>
                <w:color w:val="auto"/>
              </w:rPr>
              <w:t>Consulting Services Agreement, effective as of April 1, 2024, by and between ADMA Biologics, Inc. and Brian Lenz (incorporated</w:t>
            </w:r>
          </w:p>
        </w:tc>
      </w:tr>
      <w:tr>
        <w:trPr>
          <w:trHeight w:val="243"/>
        </w:trPr>
        <w:tc>
          <w:tcPr>
            <w:tcW w:w="2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herein by reference to Exhibit 10.1 to the Company’s Current Report on Form 8-K, filed with the SEC on February 28, 2024).</w:t>
            </w:r>
          </w:p>
        </w:tc>
      </w:tr>
      <w:tr>
        <w:trPr>
          <w:trHeight w:val="176"/>
        </w:trPr>
        <w:tc>
          <w:tcPr>
            <w:tcW w:w="1140" w:type="dxa"/>
            <w:vAlign w:val="bottom"/>
            <w:tcBorders>
              <w:top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10.7++*</w:t>
            </w:r>
          </w:p>
        </w:tc>
        <w:tc>
          <w:tcPr>
            <w:tcW w:w="560" w:type="dxa"/>
            <w:vAlign w:val="bottom"/>
            <w:tcBorders>
              <w:top w:val="single" w:sz="8" w:color="CCEEFF"/>
            </w:tcBorders>
            <w:shd w:val="clear" w:color="auto" w:fill="CCEEFF"/>
          </w:tcPr>
          <w:p>
            <w:pPr>
              <w:spacing w:after="0"/>
              <w:rPr>
                <w:sz w:val="15"/>
                <w:szCs w:val="15"/>
                <w:color w:val="auto"/>
              </w:rPr>
            </w:pPr>
          </w:p>
        </w:tc>
        <w:tc>
          <w:tcPr>
            <w:tcW w:w="95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Amended and Restated Plasma Purchase Agreement, effective as of October 1, 2024, by and between Grifols Worldwide Operations</w:t>
            </w:r>
          </w:p>
        </w:tc>
      </w:tr>
      <w:tr>
        <w:trPr>
          <w:trHeight w:val="256"/>
        </w:trPr>
        <w:tc>
          <w:tcPr>
            <w:tcW w:w="240" w:type="dxa"/>
            <w:vAlign w:val="bottom"/>
            <w:tcBorders>
              <w:top w:val="single" w:sz="8" w:color="0000EE"/>
            </w:tcBorders>
            <w:shd w:val="clear" w:color="auto" w:fill="CCEEFF"/>
          </w:tcPr>
          <w:p>
            <w:pPr>
              <w:spacing w:after="0"/>
              <w:rPr>
                <w:sz w:val="22"/>
                <w:szCs w:val="22"/>
                <w:color w:val="auto"/>
              </w:rPr>
            </w:pPr>
          </w:p>
        </w:tc>
        <w:tc>
          <w:tcPr>
            <w:tcW w:w="180" w:type="dxa"/>
            <w:vAlign w:val="bottom"/>
            <w:tcBorders>
              <w:top w:val="single" w:sz="8" w:color="0000EE"/>
            </w:tcBorders>
            <w:shd w:val="clear" w:color="auto" w:fill="CCEEFF"/>
          </w:tcPr>
          <w:p>
            <w:pPr>
              <w:spacing w:after="0"/>
              <w:rPr>
                <w:sz w:val="22"/>
                <w:szCs w:val="22"/>
                <w:color w:val="auto"/>
              </w:rPr>
            </w:pPr>
          </w:p>
        </w:tc>
        <w:tc>
          <w:tcPr>
            <w:tcW w:w="12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10100" w:type="dxa"/>
            <w:vAlign w:val="bottom"/>
            <w:tcBorders>
              <w:top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Limited and ADMA BioManufacturing, LLC.</w:t>
            </w:r>
          </w:p>
        </w:tc>
      </w:tr>
      <w:tr>
        <w:trPr>
          <w:trHeight w:val="163"/>
        </w:trPr>
        <w:tc>
          <w:tcPr>
            <w:tcW w:w="1140" w:type="dxa"/>
            <w:vAlign w:val="bottom"/>
            <w:tcBorders>
              <w:top w:val="single" w:sz="8" w:color="auto"/>
            </w:tcBorders>
            <w:gridSpan w:val="5"/>
          </w:tcPr>
          <w:p>
            <w:pPr>
              <w:spacing w:after="0" w:line="163" w:lineRule="exact"/>
              <w:rPr>
                <w:sz w:val="20"/>
                <w:szCs w:val="20"/>
                <w:color w:val="auto"/>
              </w:rPr>
            </w:pPr>
            <w:r>
              <w:rPr>
                <w:rFonts w:ascii="Times New Roman" w:cs="Times New Roman" w:eastAsia="Times New Roman" w:hAnsi="Times New Roman"/>
                <w:sz w:val="18"/>
                <w:szCs w:val="18"/>
                <w:color w:val="0000EE"/>
              </w:rPr>
              <w:t>10.8++*</w:t>
            </w:r>
          </w:p>
        </w:tc>
        <w:tc>
          <w:tcPr>
            <w:tcW w:w="560" w:type="dxa"/>
            <w:vAlign w:val="bottom"/>
            <w:tcBorders>
              <w:top w:val="single" w:sz="8" w:color="CCEEFF"/>
            </w:tcBorders>
          </w:tcPr>
          <w:p>
            <w:pPr>
              <w:spacing w:after="0"/>
              <w:rPr>
                <w:sz w:val="14"/>
                <w:szCs w:val="14"/>
                <w:color w:val="auto"/>
              </w:rPr>
            </w:pPr>
          </w:p>
        </w:tc>
        <w:tc>
          <w:tcPr>
            <w:tcW w:w="954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8"/>
                <w:szCs w:val="18"/>
                <w:color w:val="auto"/>
              </w:rPr>
              <w:t>Plasma Purchase Agreement, effective as of August 6, 2024, by and between KEDPlasma LLC and ADMA BioManufacturing,</w:t>
            </w:r>
          </w:p>
        </w:tc>
      </w:tr>
      <w:tr>
        <w:trPr>
          <w:trHeight w:val="244"/>
        </w:trPr>
        <w:tc>
          <w:tcPr>
            <w:tcW w:w="2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20" w:type="dxa"/>
            <w:vAlign w:val="bottom"/>
          </w:tcPr>
          <w:p>
            <w:pPr>
              <w:spacing w:after="0"/>
              <w:rPr>
                <w:sz w:val="21"/>
                <w:szCs w:val="21"/>
                <w:color w:val="auto"/>
              </w:rPr>
            </w:pPr>
          </w:p>
        </w:tc>
        <w:tc>
          <w:tcPr>
            <w:tcW w:w="10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LLC.</w:t>
            </w:r>
          </w:p>
        </w:tc>
      </w:tr>
      <w:tr>
        <w:trPr>
          <w:trHeight w:val="175"/>
        </w:trPr>
        <w:tc>
          <w:tcPr>
            <w:tcW w:w="540" w:type="dxa"/>
            <w:vAlign w:val="bottom"/>
            <w:tcBorders>
              <w:top w:val="single" w:sz="8" w:color="auto"/>
            </w:tcBorders>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10.9+</w:t>
              </w:r>
            </w:hyperlink>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5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Plasma Supply Agreement, dated as of June 6, 2017, by and between ADMA BioManufacturing, LLC and Biotest Pharmaceuticals</w:t>
            </w:r>
          </w:p>
        </w:tc>
      </w:tr>
      <w:tr>
        <w:trPr>
          <w:trHeight w:val="218"/>
        </w:trPr>
        <w:tc>
          <w:tcPr>
            <w:tcW w:w="24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Corporation (incorporated herein by reference to Exhibit 10.5 to the Company’s Quarterly Report on Form 10-Q, filed with the SEC</w:t>
            </w:r>
          </w:p>
        </w:tc>
      </w:tr>
      <w:tr>
        <w:trPr>
          <w:trHeight w:val="241"/>
        </w:trPr>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on August 11, 2017).</w:t>
            </w:r>
          </w:p>
        </w:tc>
      </w:tr>
      <w:tr>
        <w:trPr>
          <w:trHeight w:val="570"/>
        </w:trPr>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9540" w:type="dxa"/>
            <w:vAlign w:val="bottom"/>
            <w:tcBorders>
              <w:top w:val="single" w:sz="8" w:color="auto"/>
            </w:tcBorders>
          </w:tcPr>
          <w:p>
            <w:pPr>
              <w:ind w:left="3860"/>
              <w:spacing w:after="0"/>
              <w:rPr>
                <w:sz w:val="20"/>
                <w:szCs w:val="20"/>
                <w:color w:val="auto"/>
              </w:rPr>
            </w:pPr>
            <w:r>
              <w:rPr>
                <w:rFonts w:ascii="Times New Roman" w:cs="Times New Roman" w:eastAsia="Times New Roman" w:hAnsi="Times New Roman"/>
                <w:sz w:val="14"/>
                <w:szCs w:val="14"/>
                <w:color w:val="auto"/>
              </w:rPr>
              <w:t>88</w:t>
            </w:r>
          </w:p>
        </w:tc>
      </w:tr>
      <w:tr>
        <w:trPr>
          <w:trHeight w:val="44"/>
        </w:trPr>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5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17">
        <w:r>
          <w:rPr>
            <w:rFonts w:ascii="Times New Roman" w:cs="Times New Roman" w:eastAsia="Times New Roman" w:hAnsi="Times New Roman"/>
            <w:sz w:val="18"/>
            <w:szCs w:val="18"/>
            <w:u w:val="single" w:color="auto"/>
            <w:color w:val="0000EE"/>
          </w:rPr>
          <w:t>10.9.1+</w:t>
        </w:r>
      </w:hyperlink>
    </w:p>
    <w:p>
      <w:pPr>
        <w:spacing w:after="0" w:line="200" w:lineRule="exact"/>
        <w:rPr>
          <w:sz w:val="20"/>
          <w:szCs w:val="20"/>
          <w:color w:val="auto"/>
        </w:rPr>
      </w:pPr>
    </w:p>
    <w:p>
      <w:pPr>
        <w:spacing w:after="0" w:line="26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18">
        <w:r>
          <w:rPr>
            <w:rFonts w:ascii="Times New Roman" w:cs="Times New Roman" w:eastAsia="Times New Roman" w:hAnsi="Times New Roman"/>
            <w:sz w:val="18"/>
            <w:szCs w:val="18"/>
            <w:u w:val="single" w:color="auto"/>
            <w:color w:val="0000EE"/>
          </w:rPr>
          <w:t>10.10</w:t>
        </w:r>
      </w:hyperlink>
    </w:p>
    <w:p>
      <w:pPr>
        <w:spacing w:after="0" w:line="200" w:lineRule="exact"/>
        <w:rPr>
          <w:sz w:val="20"/>
          <w:szCs w:val="20"/>
          <w:color w:val="auto"/>
        </w:rPr>
      </w:pPr>
    </w:p>
    <w:p>
      <w:pPr>
        <w:spacing w:after="0" w:line="26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10.10.1</w:t>
        </w:r>
      </w:hyperlink>
    </w:p>
    <w:p>
      <w:pPr>
        <w:spacing w:after="0" w:line="200" w:lineRule="exact"/>
        <w:rPr>
          <w:sz w:val="20"/>
          <w:szCs w:val="20"/>
          <w:color w:val="auto"/>
        </w:rPr>
      </w:pPr>
    </w:p>
    <w:p>
      <w:pPr>
        <w:spacing w:after="0" w:line="26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20">
        <w:r>
          <w:rPr>
            <w:rFonts w:ascii="Times New Roman" w:cs="Times New Roman" w:eastAsia="Times New Roman" w:hAnsi="Times New Roman"/>
            <w:sz w:val="18"/>
            <w:szCs w:val="18"/>
            <w:u w:val="single" w:color="auto"/>
            <w:color w:val="0000EE"/>
          </w:rPr>
          <w:t>10.10.2</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10.11*</w:t>
      </w:r>
    </w:p>
    <w:p>
      <w:pPr>
        <w:spacing w:after="0" w:line="3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21">
        <w:r>
          <w:rPr>
            <w:rFonts w:ascii="Times New Roman" w:cs="Times New Roman" w:eastAsia="Times New Roman" w:hAnsi="Times New Roman"/>
            <w:sz w:val="18"/>
            <w:szCs w:val="18"/>
            <w:u w:val="single" w:color="auto"/>
            <w:color w:val="0000EE"/>
          </w:rPr>
          <w:t>10.12+</w:t>
        </w:r>
      </w:hyperlink>
    </w:p>
    <w:p>
      <w:pPr>
        <w:spacing w:after="0" w:line="200" w:lineRule="exact"/>
        <w:rPr>
          <w:sz w:val="20"/>
          <w:szCs w:val="20"/>
          <w:color w:val="auto"/>
        </w:rPr>
      </w:pPr>
    </w:p>
    <w:p>
      <w:pPr>
        <w:spacing w:after="0" w:line="26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22">
        <w:r>
          <w:rPr>
            <w:rFonts w:ascii="Times New Roman" w:cs="Times New Roman" w:eastAsia="Times New Roman" w:hAnsi="Times New Roman"/>
            <w:sz w:val="18"/>
            <w:szCs w:val="18"/>
            <w:u w:val="single" w:color="auto"/>
            <w:color w:val="0000EE"/>
          </w:rPr>
          <w:t>10.12.1</w:t>
        </w:r>
      </w:hyperlink>
    </w:p>
    <w:p>
      <w:pPr>
        <w:spacing w:after="0" w:line="25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10.13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10.14</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25">
        <w:r>
          <w:rPr>
            <w:rFonts w:ascii="Times New Roman" w:cs="Times New Roman" w:eastAsia="Times New Roman" w:hAnsi="Times New Roman"/>
            <w:sz w:val="18"/>
            <w:szCs w:val="18"/>
            <w:u w:val="single" w:color="auto"/>
            <w:color w:val="0000EE"/>
          </w:rPr>
          <w:t>16.1</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19.1*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21.1*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23.1*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00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Amendment #1 to the Plasma Supply Agreement, dated as of July 19, 2018, by and between Biotest Pharmaceuticals Corporation and ADMA BioManufacturing, LLC (incorporated herein by reference to Exhibit 10.2 to the Company’s Quarterly Report on Form 10-Q, filed with the SEC on August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-414655</wp:posOffset>
            </wp:positionV>
            <wp:extent cx="7132320" cy="4286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ind w:right="160"/>
        <w:spacing w:after="0" w:line="260" w:lineRule="auto"/>
        <w:rPr>
          <w:sz w:val="20"/>
          <w:szCs w:val="20"/>
          <w:color w:val="auto"/>
        </w:rPr>
      </w:pPr>
      <w:r>
        <w:rPr>
          <w:rFonts w:ascii="Times New Roman" w:cs="Times New Roman" w:eastAsia="Times New Roman" w:hAnsi="Times New Roman"/>
          <w:sz w:val="18"/>
          <w:szCs w:val="18"/>
          <w:color w:val="auto"/>
        </w:rPr>
        <w:t>Amended and Restated Agreement for Services, effective as of January 1, 2016, as amended, by and between ADMA BioManufacturing, LLC and Areth LLC (incorporated herein by reference to Exhibit 10.18 to the Company’s Quarterly Report on Form 10-Q, filed with the SEC on August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-3175</wp:posOffset>
            </wp:positionV>
            <wp:extent cx="7132320" cy="4457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right="60"/>
        <w:spacing w:after="0" w:line="260" w:lineRule="auto"/>
        <w:rPr>
          <w:sz w:val="20"/>
          <w:szCs w:val="20"/>
          <w:color w:val="auto"/>
        </w:rPr>
      </w:pPr>
      <w:r>
        <w:rPr>
          <w:rFonts w:ascii="Times New Roman" w:cs="Times New Roman" w:eastAsia="Times New Roman" w:hAnsi="Times New Roman"/>
          <w:sz w:val="18"/>
          <w:szCs w:val="18"/>
          <w:color w:val="auto"/>
        </w:rPr>
        <w:t>Amendment 3 to the Amended and Restated Agreement for Services, effective as of November 7, 2019, by and between ADMA BioManufacturing, LLC and Areth LLC (incorporated herein by reference to the Exhibit 10.27 to the Company’s Annual Report on Form 10-K filed March 13, 2020).</w:t>
      </w:r>
    </w:p>
    <w:p>
      <w:pPr>
        <w:spacing w:after="0" w:line="2"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Amendment 4 to the Amended and Restated Agreement For Services Between ADMA BioManufacturing, LLC and Areth LLC (incorporated herein by reference to Exhibit 10.1 to the Company’s Quarterly Report on Form 10-Q filed on 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-3810</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Form of Indemnification Agreement.</w:t>
      </w:r>
    </w:p>
    <w:p>
      <w:pPr>
        <w:spacing w:after="0" w:line="36"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License Agreement, effective as of December 31, 2012, by and between ADMA Biologics, Inc. and Biotest AG (incorporated herein by reference to Exhibit 10.21 to the Company’s Registration Statement on Form S-1, filed with the SEC on February 11,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-3175</wp:posOffset>
            </wp:positionV>
            <wp:extent cx="7132320"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right="380"/>
        <w:spacing w:after="0" w:line="281" w:lineRule="auto"/>
        <w:rPr>
          <w:sz w:val="20"/>
          <w:szCs w:val="20"/>
          <w:color w:val="auto"/>
        </w:rPr>
      </w:pPr>
      <w:r>
        <w:rPr>
          <w:rFonts w:ascii="Times New Roman" w:cs="Times New Roman" w:eastAsia="Times New Roman" w:hAnsi="Times New Roman"/>
          <w:sz w:val="17"/>
          <w:szCs w:val="17"/>
          <w:color w:val="auto"/>
        </w:rPr>
        <w:t>First Amendment to License Agreement, dated as of June 6, 2017, by and between the Company and Biotest AG (incorporated herein by reference to Exhibit 10.8 to the Company’s Quarterly Report on Form 10-Q, filed with the SEC on August 11, 2017).</w:t>
      </w:r>
    </w:p>
    <w:p>
      <w:pPr>
        <w:spacing w:after="0" w:line="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Credit Agreement, dated as of December 18, 2023, by and among the Company, as Administrative Borrower, ADMA BioManufacturing, LLC, ADMA Plasma Biologics, Inc. and ADMA BioCenters Georgia Inc., each as Borrowers, certain subsidiaries of the Company, as Guarantors, from time to time party thereto, the Lenders from time to time party thereto, Ares Capital Corporation, as Administrative Agent and as Collateral Agent, and ACF FINCO I LP, as Revolving Agent (incorporated herein by reference to Exhibit 10.1 to the Registrant’s Current Report on Form 8-K filed with the Commission on December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-2540</wp:posOffset>
            </wp:positionV>
            <wp:extent cx="7132320" cy="5829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258" w:lineRule="auto"/>
        <w:rPr>
          <w:sz w:val="20"/>
          <w:szCs w:val="20"/>
          <w:color w:val="auto"/>
        </w:rPr>
      </w:pPr>
      <w:r>
        <w:rPr>
          <w:rFonts w:ascii="Times New Roman" w:cs="Times New Roman" w:eastAsia="Times New Roman" w:hAnsi="Times New Roman"/>
          <w:sz w:val="18"/>
          <w:szCs w:val="18"/>
          <w:color w:val="auto"/>
        </w:rPr>
        <w:t>Security Agreement, dated as of December 18, 2023, by and among the Company, ADMA BioManufacturing, LLC, ADMA Plasma Biologics, Inc. and ADMA BioCenters Georgia, Inc., as Grantors, and Ares Capital Corporation, as Collateral Agent (incorporated herein by reference to Exhibit 10.2 to the Registrant’s Current Report on Form 8-K filed with the Commission on December 18, 2023).</w:t>
      </w:r>
    </w:p>
    <w:p>
      <w:pPr>
        <w:spacing w:after="0" w:line="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Letter, dated October 9, 2024, from CohnReznick LLP addressed to the Commission (incorporated herein by reference to Exhibit 16.1 to the Registrant’s Current Report on Form 8-K filed with the Commission on October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-4445</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Company’s Insider Trading Policy, effective September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17145</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KPMG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CohnReznick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06044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020" w:space="680"/>
            <w:col w:w="9520"/>
          </w:cols>
          <w:pgMar w:left="320" w:top="115"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32.2**</w:t>
      </w:r>
    </w:p>
    <w:p>
      <w:pPr>
        <w:spacing w:after="0" w:line="3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36">
        <w:r>
          <w:rPr>
            <w:rFonts w:ascii="Times New Roman" w:cs="Times New Roman" w:eastAsia="Times New Roman" w:hAnsi="Times New Roman"/>
            <w:sz w:val="18"/>
            <w:szCs w:val="18"/>
            <w:u w:val="single" w:color="auto"/>
            <w:color w:val="0000EE"/>
          </w:rPr>
          <w:t>97</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-278765</wp:posOffset>
            </wp:positionV>
            <wp:extent cx="7132320" cy="291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300"/>
        <w:spacing w:after="0" w:line="266" w:lineRule="auto"/>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-4445</wp:posOffset>
            </wp:positionV>
            <wp:extent cx="7132320"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66" w:lineRule="auto"/>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Sarbanes-Oxley Act of 2002.</w:t>
      </w:r>
    </w:p>
    <w:p>
      <w:pPr>
        <w:ind w:right="60"/>
        <w:spacing w:after="0" w:line="266" w:lineRule="auto"/>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-4445</wp:posOffset>
            </wp:positionV>
            <wp:extent cx="7132320" cy="308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320"/>
        <w:spacing w:after="0" w:line="266" w:lineRule="auto"/>
        <w:rPr>
          <w:sz w:val="20"/>
          <w:szCs w:val="20"/>
          <w:color w:val="auto"/>
        </w:rPr>
      </w:pPr>
      <w:r>
        <w:rPr>
          <w:rFonts w:ascii="Times New Roman" w:cs="Times New Roman" w:eastAsia="Times New Roman" w:hAnsi="Times New Roman"/>
          <w:sz w:val="18"/>
          <w:szCs w:val="18"/>
          <w:color w:val="auto"/>
        </w:rPr>
        <w:t>ADMA Biologics, Inc. Compensation Recoupment Policy (incorporated herein by reference to Ex. 97 to the Company’s Annual Report on Form 10-K filed with the Commission on February 28, 2024).</w:t>
      </w:r>
    </w:p>
    <w:p>
      <w:pPr>
        <w:ind w:right="300"/>
        <w:spacing w:after="0" w:line="271" w:lineRule="auto"/>
        <w:rPr>
          <w:sz w:val="20"/>
          <w:szCs w:val="20"/>
          <w:color w:val="auto"/>
        </w:rPr>
      </w:pPr>
      <w:r>
        <w:rPr>
          <w:rFonts w:ascii="Times New Roman" w:cs="Times New Roman" w:eastAsia="Times New Roman" w:hAnsi="Times New Roman"/>
          <w:sz w:val="17"/>
          <w:szCs w:val="17"/>
          <w:color w:val="auto"/>
        </w:rPr>
        <w:t>The following materials from ADMA Biologics, Inc. Form 10-K for the year ended December 31, 2024, formatted in Extensible Business Reporting Language (XBRL): (i) Consolidated Balance Sheets at December 31, 2024 and December 31, 2023, (ii) Consolidated Statements of Operations for the years ended December 31, 2024, 2023 and 2022, (iii) Consolidated Statements of Changes in Stockholders’ Equity for the years ended December 31, 2024, 2023 and 2022, (iv) Consolidated Statements of Cash Flows for the years ended December 31, 2024, 2023 and 2022; and (v)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-2540</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1020" w:space="680"/>
            <w:col w:w="9540"/>
          </w:cols>
          <w:pgMar w:left="320" w:top="115" w:right="339" w:bottom="1440" w:gutter="0" w:footer="0" w:header="0"/>
        </w:sectPr>
      </w:pPr>
    </w:p>
    <w:p>
      <w:pPr>
        <w:spacing w:after="0" w:line="52" w:lineRule="exact"/>
        <w:rPr>
          <w:sz w:val="20"/>
          <w:szCs w:val="20"/>
          <w:color w:val="auto"/>
        </w:rPr>
      </w:pPr>
    </w:p>
    <w:p>
      <w:pPr>
        <w:ind w:right="120" w:firstLine="8"/>
        <w:spacing w:after="0" w:line="282" w:lineRule="auto"/>
        <w:tabs>
          <w:tab w:leader="none" w:pos="1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as to certain portions of this exhibit. Such portions have been redacted and submitted separately to the SEC.</w:t>
      </w:r>
    </w:p>
    <w:p>
      <w:pPr>
        <w:spacing w:after="0" w:line="162" w:lineRule="exact"/>
        <w:rPr>
          <w:sz w:val="20"/>
          <w:szCs w:val="20"/>
          <w:color w:val="auto"/>
        </w:rPr>
      </w:pPr>
    </w:p>
    <w:p>
      <w:pPr>
        <w:ind w:right="2400" w:firstLine="8"/>
        <w:spacing w:after="0" w:line="500" w:lineRule="auto"/>
        <w:tabs>
          <w:tab w:leader="none" w:pos="2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and the schedules thereto have been omitted pursuant to Item 601(b)(10)(iv) of Regulation S-K.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compensatory plan, contract or arrangement.</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ADMA Biologics, Inc.</w:t>
      </w:r>
    </w:p>
    <w:p>
      <w:pPr>
        <w:spacing w:after="0" w:line="229" w:lineRule="exact"/>
        <w:rPr>
          <w:sz w:val="20"/>
          <w:szCs w:val="20"/>
          <w:color w:val="auto"/>
        </w:rPr>
      </w:pPr>
    </w:p>
    <w:p>
      <w:pPr>
        <w:spacing w:after="0"/>
        <w:tabs>
          <w:tab w:leader="none" w:pos="5600" w:val="left"/>
          <w:tab w:leader="none" w:pos="6160" w:val="left"/>
        </w:tabs>
        <w:rPr>
          <w:sz w:val="20"/>
          <w:szCs w:val="20"/>
          <w:color w:val="auto"/>
        </w:rPr>
      </w:pPr>
      <w:r>
        <w:rPr>
          <w:rFonts w:ascii="Times New Roman" w:cs="Times New Roman" w:eastAsia="Times New Roman" w:hAnsi="Times New Roman"/>
          <w:sz w:val="18"/>
          <w:szCs w:val="18"/>
          <w:color w:val="auto"/>
        </w:rPr>
        <w:t>Date: March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S. Grossman</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-127635</wp:posOffset>
            </wp:positionV>
            <wp:extent cx="321437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1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report has been signed below by the following persons on behalf of the registrant and in the capacities and on the dates indicated:</w:t>
      </w:r>
    </w:p>
    <w:p>
      <w:pPr>
        <w:sectPr>
          <w:pgSz w:w="11900" w:h="16838" w:orient="portrait"/>
          <w:cols w:equalWidth="0" w:num="1">
            <w:col w:w="11240"/>
          </w:cols>
          <w:pgMar w:left="320" w:top="115"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42570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2570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S. Grossman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Brad Tade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2570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Tade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A. 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2570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A. Elms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Dr. Jerrold B.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42570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Jerrold B. Grossman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Alison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2570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Alison Finger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P. Guiheen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2570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P. Guiheen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Young T. Kwon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2570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Young T. Kwon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Eduardo Rene Salas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2570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Eduardo Rene Salas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643"/>
        </w:trPr>
        <w:tc>
          <w:tcPr>
            <w:tcW w:w="3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40" w:type="dxa"/>
            <w:vAlign w:val="bottom"/>
          </w:tcPr>
          <w:p>
            <w:pPr>
              <w:spacing w:after="0"/>
              <w:rPr>
                <w:sz w:val="24"/>
                <w:szCs w:val="24"/>
                <w:color w:val="auto"/>
              </w:rPr>
            </w:pPr>
          </w:p>
        </w:tc>
        <w:tc>
          <w:tcPr>
            <w:tcW w:w="346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March 18, 2025</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64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c>
          <w:tcPr>
            <w:tcW w:w="240" w:type="dxa"/>
            <w:vAlign w:val="bottom"/>
          </w:tcPr>
          <w:p>
            <w:pPr>
              <w:spacing w:after="0"/>
              <w:rPr>
                <w:sz w:val="24"/>
                <w:szCs w:val="24"/>
                <w:color w:val="auto"/>
              </w:rPr>
            </w:pPr>
          </w:p>
        </w:tc>
        <w:tc>
          <w:tcPr>
            <w:tcW w:w="3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March 18, 2025</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66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40" w:type="dxa"/>
            <w:vAlign w:val="bottom"/>
          </w:tcPr>
          <w:p>
            <w:pPr>
              <w:spacing w:after="0"/>
              <w:rPr>
                <w:sz w:val="24"/>
                <w:szCs w:val="24"/>
                <w:color w:val="auto"/>
              </w:rPr>
            </w:pPr>
          </w:p>
        </w:tc>
        <w:tc>
          <w:tcPr>
            <w:tcW w:w="3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March 18, 2025</w:t>
            </w:r>
          </w:p>
        </w:tc>
      </w:tr>
      <w:tr>
        <w:trPr>
          <w:trHeight w:val="67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w:t>
            </w:r>
          </w:p>
        </w:tc>
        <w:tc>
          <w:tcPr>
            <w:tcW w:w="240" w:type="dxa"/>
            <w:vAlign w:val="bottom"/>
          </w:tcPr>
          <w:p>
            <w:pPr>
              <w:spacing w:after="0"/>
              <w:rPr>
                <w:sz w:val="24"/>
                <w:szCs w:val="24"/>
                <w:color w:val="auto"/>
              </w:rPr>
            </w:pPr>
          </w:p>
        </w:tc>
        <w:tc>
          <w:tcPr>
            <w:tcW w:w="3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March 18, 2025</w:t>
            </w:r>
          </w:p>
        </w:tc>
      </w:tr>
      <w:tr>
        <w:trPr>
          <w:trHeight w:val="67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3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March 18, 2025</w:t>
            </w:r>
          </w:p>
        </w:tc>
      </w:tr>
      <w:tr>
        <w:trPr>
          <w:trHeight w:val="68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3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March 18, 2025</w:t>
            </w:r>
          </w:p>
        </w:tc>
      </w:tr>
      <w:tr>
        <w:trPr>
          <w:trHeight w:val="67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3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March 18, 2025</w:t>
            </w:r>
          </w:p>
        </w:tc>
      </w:tr>
      <w:tr>
        <w:trPr>
          <w:trHeight w:val="68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3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March 18, 2025</w:t>
            </w:r>
          </w:p>
        </w:tc>
      </w:tr>
    </w:tbl>
    <w:p>
      <w:pPr>
        <w:spacing w:after="0" w:line="200" w:lineRule="exact"/>
        <w:rPr>
          <w:sz w:val="20"/>
          <w:szCs w:val="20"/>
          <w:color w:val="auto"/>
        </w:rPr>
      </w:pPr>
    </w:p>
    <w:p>
      <w:pPr>
        <w:sectPr>
          <w:pgSz w:w="11900" w:h="16838" w:orient="portrait"/>
          <w:cols w:equalWidth="0" w:num="2">
            <w:col w:w="3340" w:space="720"/>
            <w:col w:w="7180"/>
          </w:cols>
          <w:pgMar w:left="320" w:top="115" w:right="339" w:bottom="1440" w:gutter="0" w:footer="0" w:header="0"/>
          <w:type w:val="continuous"/>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10340" w:type="dxa"/>
            <w:vAlign w:val="bottom"/>
            <w:gridSpan w:val="10"/>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00" w:type="dxa"/>
            <w:vAlign w:val="bottom"/>
          </w:tcPr>
          <w:p>
            <w:pPr>
              <w:spacing w:after="0"/>
              <w:rPr>
                <w:sz w:val="13"/>
                <w:szCs w:val="13"/>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7180" w:type="dxa"/>
            <w:vAlign w:val="bottom"/>
            <w:gridSpan w:val="8"/>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ADMA BIOLOGICS, INC. AND SUBSIDIARIES</w:t>
            </w:r>
          </w:p>
        </w:tc>
        <w:tc>
          <w:tcPr>
            <w:tcW w:w="9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180" w:type="dxa"/>
            <w:vAlign w:val="bottom"/>
            <w:gridSpan w:val="8"/>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9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80" w:type="dxa"/>
            <w:vAlign w:val="bottom"/>
            <w:gridSpan w:val="7"/>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r>
      <w:tr>
        <w:trPr>
          <w:trHeight w:val="439"/>
        </w:trPr>
        <w:tc>
          <w:tcPr>
            <w:tcW w:w="1020" w:type="dxa"/>
            <w:vAlign w:val="bottom"/>
            <w:tcBorders>
              <w:bottom w:val="single" w:sz="8" w:color="CCEEFF"/>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62"/>
        </w:trPr>
        <w:tc>
          <w:tcPr>
            <w:tcW w:w="10340" w:type="dxa"/>
            <w:vAlign w:val="bottom"/>
            <w:gridSpan w:val="10"/>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Management’s Annual Report on Internal Control Over Financial Reporting</w:t>
            </w:r>
          </w:p>
        </w:tc>
        <w:tc>
          <w:tcPr>
            <w:tcW w:w="9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34"/>
        </w:trPr>
        <w:tc>
          <w:tcPr>
            <w:tcW w:w="1020" w:type="dxa"/>
            <w:vAlign w:val="bottom"/>
            <w:tcBorders>
              <w:top w:val="single" w:sz="8" w:color="0000EE"/>
            </w:tcBorders>
            <w:shd w:val="clear" w:color="auto" w:fill="CCEEFF"/>
          </w:tcPr>
          <w:p>
            <w:pPr>
              <w:spacing w:after="0"/>
              <w:rPr>
                <w:sz w:val="2"/>
                <w:szCs w:val="2"/>
                <w:color w:val="auto"/>
              </w:rPr>
            </w:pPr>
          </w:p>
        </w:tc>
        <w:tc>
          <w:tcPr>
            <w:tcW w:w="2140" w:type="dxa"/>
            <w:vAlign w:val="bottom"/>
            <w:tcBorders>
              <w:top w:val="single" w:sz="8" w:color="0000EE"/>
            </w:tcBorders>
            <w:shd w:val="clear" w:color="auto" w:fill="CCEEFF"/>
          </w:tcPr>
          <w:p>
            <w:pPr>
              <w:spacing w:after="0"/>
              <w:rPr>
                <w:sz w:val="2"/>
                <w:szCs w:val="2"/>
                <w:color w:val="auto"/>
              </w:rPr>
            </w:pPr>
          </w:p>
        </w:tc>
        <w:tc>
          <w:tcPr>
            <w:tcW w:w="150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175"/>
        </w:trPr>
        <w:tc>
          <w:tcPr>
            <w:tcW w:w="103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Reports of Independent Registered Public Accounting Firm (PCAOB ID 185)</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596)</w:t>
            </w:r>
          </w:p>
        </w:tc>
        <w:tc>
          <w:tcPr>
            <w:tcW w:w="480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176"/>
        </w:trPr>
        <w:tc>
          <w:tcPr>
            <w:tcW w:w="103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20"/>
        </w:trPr>
        <w:tc>
          <w:tcPr>
            <w:tcW w:w="10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2024, 2023 and 2022</w:t>
            </w:r>
          </w:p>
        </w:tc>
        <w:tc>
          <w:tcPr>
            <w:tcW w:w="348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F-9</w:t>
            </w:r>
          </w:p>
        </w:tc>
      </w:tr>
      <w:tr>
        <w:trPr>
          <w:trHeight w:val="176"/>
        </w:trPr>
        <w:tc>
          <w:tcPr>
            <w:tcW w:w="103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for the years ended December 31, 2024, 2023 and 2022</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F-10</w:t>
            </w: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2024, 2023 and 2022</w:t>
            </w:r>
          </w:p>
        </w:tc>
        <w:tc>
          <w:tcPr>
            <w:tcW w:w="342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F-11</w:t>
            </w:r>
          </w:p>
        </w:tc>
      </w:tr>
      <w:tr>
        <w:trPr>
          <w:trHeight w:val="175"/>
        </w:trPr>
        <w:tc>
          <w:tcPr>
            <w:tcW w:w="103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F-12</w:t>
            </w:r>
          </w:p>
        </w:tc>
      </w:tr>
      <w:tr>
        <w:trPr>
          <w:trHeight w:val="591"/>
        </w:trPr>
        <w:tc>
          <w:tcPr>
            <w:tcW w:w="1020" w:type="dxa"/>
            <w:vAlign w:val="bottom"/>
            <w:tcBorders>
              <w:top w:val="single" w:sz="8" w:color="0000EE"/>
            </w:tcBorders>
          </w:tcPr>
          <w:p>
            <w:pPr>
              <w:spacing w:after="0"/>
              <w:rPr>
                <w:sz w:val="24"/>
                <w:szCs w:val="24"/>
                <w:color w:val="auto"/>
              </w:rPr>
            </w:pPr>
          </w:p>
        </w:tc>
        <w:tc>
          <w:tcPr>
            <w:tcW w:w="214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60" w:type="dxa"/>
            <w:vAlign w:val="bottom"/>
            <w:gridSpan w:val="6"/>
          </w:tcPr>
          <w:p>
            <w:pPr>
              <w:jc w:val="center"/>
              <w:ind w:right="4580"/>
              <w:spacing w:after="0"/>
              <w:rPr>
                <w:sz w:val="20"/>
                <w:szCs w:val="20"/>
                <w:color w:val="auto"/>
              </w:rPr>
            </w:pPr>
            <w:r>
              <w:rPr>
                <w:rFonts w:ascii="Times New Roman" w:cs="Times New Roman" w:eastAsia="Times New Roman" w:hAnsi="Times New Roman"/>
                <w:sz w:val="14"/>
                <w:szCs w:val="14"/>
                <w:color w:val="auto"/>
              </w:rPr>
              <w:t>F-1</w:t>
            </w:r>
          </w:p>
        </w:tc>
        <w:tc>
          <w:tcPr>
            <w:tcW w:w="900" w:type="dxa"/>
            <w:vAlign w:val="bottom"/>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Annual Report on Internal Control Over Financial Reporting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Management of ADMA Biologics, Inc. (the “Company”) is responsible for establishing and maintaining adequate internal control over financial reporting for the Company.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Internal control over financial reporting is designed to provide reasonable assurance regarding the reliability of financial reporting and the preparation of financial statements prepared for external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Company’s Chief Executive Officer and Chief Financial Officer, assessed the effectiveness of its internal control over financial reporting as of December 31, 2024. In making this assessment, management used the criteria set forth in the Internal Control-Integrated Framework (2013) issued by the Committee of Sponsoring Organizations of the Treadway Commission. Based on its assessment, management concluded that the Company’s internal control over financial reporting was effective as of December 31, 2024 based on those criteria.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which has audited the consolidated financial statements included in this Annual Report on Form 10-K, has also issued an audit report on the effectiveness of our internal control over financial reporting as of December 31, 2024. Their report appears on page F-3 of this Annual Report on Form 10-K.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Adam S. Grossman</w:t>
            </w:r>
          </w:p>
        </w:tc>
        <w:tc>
          <w:tcPr>
            <w:tcW w:w="26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Brad Tade</w:t>
            </w:r>
          </w:p>
        </w:tc>
      </w:tr>
      <w:tr>
        <w:trPr>
          <w:trHeight w:val="218"/>
        </w:trPr>
        <w:tc>
          <w:tcPr>
            <w:tcW w:w="1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Adam S. Grossman</w:t>
            </w:r>
          </w:p>
        </w:tc>
        <w:tc>
          <w:tcPr>
            <w:tcW w:w="2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Brad Tade</w:t>
            </w:r>
          </w:p>
        </w:tc>
        <w:tc>
          <w:tcPr>
            <w:tcW w:w="3520" w:type="dxa"/>
            <w:vAlign w:val="bottom"/>
          </w:tcPr>
          <w:p>
            <w:pPr>
              <w:spacing w:after="0"/>
              <w:rPr>
                <w:sz w:val="18"/>
                <w:szCs w:val="18"/>
                <w:color w:val="auto"/>
              </w:rPr>
            </w:pP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6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18, 2025</w:t>
            </w:r>
          </w:p>
        </w:tc>
        <w:tc>
          <w:tcPr>
            <w:tcW w:w="26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18, 2025</w:t>
            </w:r>
          </w:p>
        </w:tc>
      </w:tr>
      <w:tr>
        <w:trPr>
          <w:trHeight w:val="570"/>
        </w:trPr>
        <w:tc>
          <w:tcPr>
            <w:tcW w:w="1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100" w:type="dxa"/>
            <w:vAlign w:val="bottom"/>
            <w:gridSpan w:val="3"/>
          </w:tcPr>
          <w:p>
            <w:pPr>
              <w:ind w:left="1380"/>
              <w:spacing w:after="0"/>
              <w:rPr>
                <w:sz w:val="20"/>
                <w:szCs w:val="20"/>
                <w:color w:val="auto"/>
              </w:rPr>
            </w:pPr>
            <w:r>
              <w:rPr>
                <w:rFonts w:ascii="Times New Roman" w:cs="Times New Roman" w:eastAsia="Times New Roman" w:hAnsi="Times New Roman"/>
                <w:sz w:val="14"/>
                <w:szCs w:val="14"/>
                <w:color w:val="auto"/>
              </w:rPr>
              <w:t>F-2</w:t>
            </w:r>
          </w:p>
        </w:tc>
      </w:tr>
      <w:tr>
        <w:trPr>
          <w:trHeight w:val="44"/>
        </w:trPr>
        <w:tc>
          <w:tcPr>
            <w:tcW w:w="162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805815" cy="3257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805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ADMA Biologics,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ADMA Biologics, Inc.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8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 of the Company as of December 31, 2024, the related consolidated statements of operations, changes in stockholders’ equity, and cash flows for the year ended December 31, 2024, and the related notes and financial statement schedule II - valuation and qualifying accounts(collectively, the consolidated financial statements), and our report dated March 18, 2025 expressed an unqualified opinion on those consolidated financial statements.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2025</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805815" cy="3257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805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ADMA Biologics,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ADMA Biologics, Inc. and subsidiaries (the Company) as of December 31, 2024, the related consolidated statements of operations, changes in stockholders’ equity, and cash flows for the period ended December 31, 2024, and the related notes and financial statement schedule II - valuation and qualified accounts (collectively, the consolidated financial statements). In our opinion, the consolidated financial statements present fairly, in all material respects, the financial position of the Company as of December 31, 2024, and the results of its operations and its cash flows for the period ended December 31, 2024, in conformity with U.S. generally accepted accounting principles.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March 18, 2025 expressed an unqualified opinion on the effectiveness of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the U.S. Medicaid rebate accrual for immunoglobulin products</w:t>
      </w:r>
    </w:p>
    <w:p>
      <w:pPr>
        <w:spacing w:after="0" w:line="227"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As disclosed in Note 2 to the consolidated financial statements, the Company recognizes immunoglobulin product revenue net of estimated rebates. The amount of these rebate are based on contractual agreements and historical experience. These estimated rebates include U.S. Medicaid rebates, which, the Company accrues for in the same period the product is sold, however, third-party reporting and payments of the rebate amount occur on a time lag. As of December 31, 2024, the Company had recorded $4.2 million of accrued rebates included in accrued expenses and other liabilities on the balance sheet, of which a portion related to Medicaid rebates.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identified the estimate of rebate accruals for U.S. Medicaid claims as a critical audit matter. The evaluation of historical claims experience, current sales volumes and the claims processing time lag associated with U.S. Medicaid reporting rebate amounts involved subjective auditor judgement. The key assumptions made included the historical percentage of U.S. Medicaid rebates paid to gross sales and assumption that the historical patterns will be indicative of future patterns.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to estimate the U.S. Medicaid rebate accrual, including historical claims experience, current sales volumes and the claims time lag. We evaluated the U.S. Medicaid rebate accrual by (1) obtaining an understanding of the estimation methodology, (2) recalculating management’s estimate of the accrual by utilizing current gross sales and the historical revenue and rebates paid data and(3) testing the appropriateness of the assumptions of using a certain number of months of historical data and that historical results are indicative of future expectations by reviewing the Company’s historical trends.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2025</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ADMA Biologics,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ADMA Biologics, Inc. and subsidiaries (the “Company”) as of December 31, 2023, and the related consolidated statements of operations, changes in stockholders’ equity, and cash flows for each of the years in the two-year period ended December 31, 2023 and the related notes and financial statement schedule II – valuation and qualifying accounts (collectively referred to as the “consolidated financial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the results of its operations and its cash flows for each of the years in the two-year period ended December 31, 2023,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2008 through November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Parsippany, New Jersey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 except for Note 11 and Note 13 as to which the date is March 18, 2025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ADMA BIOLOGICS,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Years Ended December 31, 2024 and 2023</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96"/>
              </w:rPr>
              <w:t>except share data)</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86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51,352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49,999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27,421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172,906</w:t>
            </w:r>
          </w:p>
        </w:tc>
        <w:tc>
          <w:tcPr>
            <w:tcW w:w="0" w:type="dxa"/>
            <w:vAlign w:val="bottom"/>
          </w:tcPr>
          <w:p>
            <w:pPr>
              <w:spacing w:after="0"/>
              <w:rPr>
                <w:sz w:val="1"/>
                <w:szCs w:val="1"/>
                <w:color w:val="auto"/>
              </w:rPr>
            </w:pPr>
          </w:p>
        </w:tc>
      </w:tr>
      <w:tr>
        <w:trPr>
          <w:trHeight w:val="223"/>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54,707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53,835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84,280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488,678</w:t>
            </w:r>
          </w:p>
        </w:tc>
        <w:tc>
          <w:tcPr>
            <w:tcW w:w="2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329,182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7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20,219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33,962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32,919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55,542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49,806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payable, net of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72,337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130,594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term fee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obligations, net of current portion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9,779</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139,660</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193,976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and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 voting, $0.0001 par value, 300,000,000 shares authorized, 236,620,545 and 226,063,032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issued and outstanding at December 31, 2024 and December 31, 2023</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641,439</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(308,583)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(506,256)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488,678</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329,182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80" w:type="dxa"/>
            <w:vAlign w:val="bottom"/>
            <w:gridSpan w:val="8"/>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36"/>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95"/>
              </w:rPr>
              <w:t>(In thousands,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except share and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3"/>
              </w:rPr>
              <w:t>per</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share data)</w:t>
            </w:r>
          </w:p>
        </w:tc>
        <w:tc>
          <w:tcPr>
            <w:tcW w:w="100" w:type="dxa"/>
            <w:vAlign w:val="bottom"/>
          </w:tcPr>
          <w:p>
            <w:pPr>
              <w:spacing w:after="0"/>
              <w:rPr>
                <w:sz w:val="20"/>
                <w:szCs w:val="20"/>
                <w:color w:val="auto"/>
              </w:rPr>
            </w:pPr>
          </w:p>
        </w:tc>
      </w:tr>
      <w:tr>
        <w:trPr>
          <w:trHeight w:val="196"/>
        </w:trPr>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258,215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154,080</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169,273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118,815</w:t>
            </w:r>
          </w:p>
        </w:tc>
      </w:tr>
      <w:tr>
        <w:trPr>
          <w:trHeight w:val="223"/>
        </w:trPr>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219,553</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88,942</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35,265</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3,614</w:t>
            </w: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17,843</w:t>
            </w:r>
          </w:p>
        </w:tc>
      </w:tr>
      <w:tr>
        <w:trPr>
          <w:trHeight w:val="216"/>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Pr>
          <w:p>
            <w:pPr>
              <w:spacing w:after="0"/>
              <w:rPr>
                <w:sz w:val="18"/>
                <w:szCs w:val="18"/>
                <w:color w:val="auto"/>
              </w:rPr>
            </w:pP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59,020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52,458</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67,310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74,630</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21,632</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(39,365)</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(13,930)</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(25,027)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(19,279)</w:t>
            </w: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(26,174)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(6,670)</w:t>
            </w:r>
          </w:p>
        </w:tc>
      </w:tr>
      <w:tr>
        <w:trPr>
          <w:trHeight w:val="223"/>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9"/>
                <w:szCs w:val="19"/>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w:t>
            </w:r>
          </w:p>
        </w:tc>
      </w:tr>
      <w:tr>
        <w:trPr>
          <w:trHeight w:val="223"/>
        </w:trPr>
        <w:tc>
          <w:tcPr>
            <w:tcW w:w="73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(28,239)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(65,904)</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(71,959)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(0.33)</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(0.33)</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233,084,236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223,977,315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197,874,895</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243,342,466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223,977,315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197,874,895</w:t>
            </w: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ADMA BIOLOGICS, INC. AND SUBSIDIARIES CONSOLIDATED STATEMENTS OF CHANGES IN STOCKHOLDERS’ EQUITY </w:t>
      </w:r>
      <w:r>
        <w:rPr>
          <w:rFonts w:ascii="Times New Roman" w:cs="Times New Roman" w:eastAsia="Times New Roman" w:hAnsi="Times New Roman"/>
          <w:sz w:val="18"/>
          <w:szCs w:val="18"/>
          <w:i w:val="1"/>
          <w:iCs w:val="1"/>
          <w:color w:val="auto"/>
        </w:rPr>
        <w:t>(In thousands, except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3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3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195,813,817</w:t>
            </w: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553,266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(412,113)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net of offering expenses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24,125,873</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64,642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64,644</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 for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1,808,561</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in connection with note payable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68,679</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(65,904)</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221,816,930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629,969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(478,017)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151,974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6,187</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 for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833,722</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(1,415)</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in connection with notes payable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1,444,533</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1,967,847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(28,239)</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(28,239)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226,063,032</w:t>
            </w: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641,439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(506,256)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13,616</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 for</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1,344,555</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(4,971)</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1,988,066</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7,224,892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197,673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197,673</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236,620,545</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657,577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(308,583)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(28,239)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(65,904)</w:t>
            </w: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7,113</w:t>
            </w:r>
          </w:p>
        </w:tc>
        <w:tc>
          <w:tcPr>
            <w:tcW w:w="0" w:type="dxa"/>
            <w:vAlign w:val="bottom"/>
          </w:tcPr>
          <w:p>
            <w:pPr>
              <w:spacing w:after="0"/>
              <w:rPr>
                <w:sz w:val="1"/>
                <w:szCs w:val="1"/>
                <w:color w:val="auto"/>
              </w:rPr>
            </w:pPr>
          </w:p>
        </w:tc>
      </w:tr>
      <w:tr>
        <w:trPr>
          <w:trHeight w:val="216"/>
        </w:trPr>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(84,280)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paid in kind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5,215</w:t>
            </w:r>
          </w:p>
        </w:tc>
        <w:tc>
          <w:tcPr>
            <w:tcW w:w="0" w:type="dxa"/>
            <w:vAlign w:val="bottom"/>
          </w:tcPr>
          <w:p>
            <w:pPr>
              <w:spacing w:after="0"/>
              <w:rPr>
                <w:sz w:val="1"/>
                <w:szCs w:val="1"/>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6,670</w:t>
            </w:r>
          </w:p>
        </w:tc>
        <w:tc>
          <w:tcPr>
            <w:tcW w:w="0" w:type="dxa"/>
            <w:vAlign w:val="bottom"/>
          </w:tcPr>
          <w:p>
            <w:pPr>
              <w:spacing w:after="0"/>
              <w:rPr>
                <w:sz w:val="1"/>
                <w:szCs w:val="1"/>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license revenue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(22,578)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(11,916)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(38,556)</w:t>
            </w:r>
          </w:p>
        </w:tc>
        <w:tc>
          <w:tcPr>
            <w:tcW w:w="0" w:type="dxa"/>
            <w:vAlign w:val="bottom"/>
          </w:tcPr>
          <w:p>
            <w:pPr>
              <w:spacing w:after="0"/>
              <w:rPr>
                <w:sz w:val="1"/>
                <w:szCs w:val="1"/>
                <w:color w:val="auto"/>
              </w:rPr>
            </w:pPr>
          </w:p>
        </w:tc>
      </w:tr>
      <w:tr>
        <w:trPr>
          <w:trHeight w:val="216"/>
        </w:trPr>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7,534</w:t>
            </w:r>
          </w:p>
        </w:tc>
        <w:tc>
          <w:tcPr>
            <w:tcW w:w="0" w:type="dxa"/>
            <w:vAlign w:val="bottom"/>
          </w:tcPr>
          <w:p>
            <w:pPr>
              <w:spacing w:after="0"/>
              <w:rPr>
                <w:sz w:val="1"/>
                <w:szCs w:val="1"/>
                <w:color w:val="auto"/>
              </w:rPr>
            </w:pPr>
          </w:p>
        </w:tc>
      </w:tr>
      <w:tr>
        <w:trPr>
          <w:trHeight w:val="223"/>
        </w:trPr>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118,672</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(8,226)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(4,771)</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(13,911)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(8,575)</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(4,981)</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(13,911)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(158,584)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net of offering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64,645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Prepayment penalties on repayment of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(11,140)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note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151,750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paid on vested Restricted Stock Units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proceeds from the exercise of stock options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end of term fee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(58,302)</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(38,989)</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108,852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(35,170)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35,433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51,089</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103,147</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51,352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86,522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 AND BUSINESS</w:t>
      </w:r>
    </w:p>
    <w:p>
      <w:pPr>
        <w:spacing w:after="0" w:line="229" w:lineRule="exact"/>
        <w:rPr>
          <w:sz w:val="20"/>
          <w:szCs w:val="20"/>
          <w:color w:val="auto"/>
        </w:rPr>
      </w:pPr>
    </w:p>
    <w:p>
      <w:pPr>
        <w:ind w:right="380" w:firstLine="607"/>
        <w:spacing w:after="0" w:line="261" w:lineRule="auto"/>
        <w:rPr>
          <w:sz w:val="20"/>
          <w:szCs w:val="20"/>
          <w:color w:val="auto"/>
        </w:rPr>
      </w:pPr>
      <w:r>
        <w:rPr>
          <w:rFonts w:ascii="Times New Roman" w:cs="Times New Roman" w:eastAsia="Times New Roman" w:hAnsi="Times New Roman"/>
          <w:sz w:val="18"/>
          <w:szCs w:val="18"/>
          <w:color w:val="auto"/>
        </w:rPr>
        <w:t>ADMA Biologics, Inc. (“ADMA” or the “Company”) is an end-to-end commercial biopharmaceutical company dedicated to manufacturing, marketing and developing specialty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0" w:lineRule="exact"/>
        <w:rPr>
          <w:sz w:val="20"/>
          <w:szCs w:val="20"/>
          <w:color w:val="auto"/>
        </w:rPr>
      </w:pPr>
    </w:p>
    <w:p>
      <w:pPr>
        <w:ind w:right="160" w:firstLine="607"/>
        <w:spacing w:after="0" w:line="256" w:lineRule="auto"/>
        <w:rPr>
          <w:sz w:val="20"/>
          <w:szCs w:val="20"/>
          <w:color w:val="auto"/>
        </w:rPr>
      </w:pPr>
      <w:r>
        <w:rPr>
          <w:rFonts w:ascii="Times New Roman" w:cs="Times New Roman" w:eastAsia="Times New Roman" w:hAnsi="Times New Roman"/>
          <w:sz w:val="18"/>
          <w:szCs w:val="18"/>
          <w:color w:val="auto"/>
        </w:rPr>
        <w:t>ADMA operates through its wholly-owned subsidiaries ADMA BioManufacturing, LLC (“ADMA BioManufacturing”) and ADMA BioCenters Georgia Inc. (“ADMA BioCenters”). ADMA BioManufacturing was formed in January 2017 to facilitate the acquisition of certain assets held by the Company’s former third-party contract manufacturer, which included the U.S. Food and Drug Administration (“FDA”)-licensed BIVIGAM and Nabi-HB immunoglobulin products, and an FDA-licensed plasma fractionation manufacturing facility located in Boca Raton, FL (the “Boca Facility”). ADMA BioCenters is the Company’s source plasma collection business with ten plasma collection facilities located throughout the U.S., all of which hold an approved license with the FDA.</w:t>
      </w:r>
    </w:p>
    <w:p>
      <w:pPr>
        <w:spacing w:after="0" w:line="187" w:lineRule="exact"/>
        <w:rPr>
          <w:sz w:val="20"/>
          <w:szCs w:val="20"/>
          <w:color w:val="auto"/>
        </w:rPr>
      </w:pPr>
    </w:p>
    <w:p>
      <w:pPr>
        <w:ind w:right="40" w:firstLine="607"/>
        <w:spacing w:after="0" w:line="253" w:lineRule="auto"/>
        <w:rPr>
          <w:sz w:val="20"/>
          <w:szCs w:val="20"/>
          <w:color w:val="auto"/>
        </w:rPr>
      </w:pPr>
      <w:r>
        <w:rPr>
          <w:rFonts w:ascii="Times New Roman" w:cs="Times New Roman" w:eastAsia="Times New Roman" w:hAnsi="Times New Roman"/>
          <w:sz w:val="18"/>
          <w:szCs w:val="18"/>
          <w:color w:val="auto"/>
        </w:rPr>
        <w:t>The Company has three FDA-approved products,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for which the Company received FDA approval on April 1, 2019 and commenced first commercial sales in October 2019; (ii) BIVIGAM (Immune Globulin Intravenous, Human), an IVIG product indicated for the treatment of PI, and for which the Company received FDA approval on May 9, 2019 and commenced commercial sales in August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generates revenues from the sale of intermediate by-products that result from the immunoglobulin production process and from time to time provides contract manufacturing and laboratory services for certain clients.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88"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 and basis of presentation</w:t>
      </w:r>
    </w:p>
    <w:p>
      <w:pPr>
        <w:spacing w:after="0" w:line="225" w:lineRule="exact"/>
        <w:rPr>
          <w:sz w:val="20"/>
          <w:szCs w:val="20"/>
          <w:color w:val="auto"/>
        </w:rPr>
      </w:pPr>
    </w:p>
    <w:p>
      <w:pPr>
        <w:ind w:right="60" w:firstLine="607"/>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ADMA and its wholly-owned subsidiaries and have been prepared in conformity with accounting principles generally accepted in the United States of America (“U.S. GAAP”) and in accordance with Article 3 of Regulation S-X of the Securities and Exchange Commission (the “SEC”). All intercompany balances have been eliminated in consolidation. Any reference in these notes to applicable guidance is meant to refer to U.S. GAAP as found in the Accounting Standards Codification (“ASC”) and Accounting Standards Updates (“ASU”) of the Financial Accounting Standards Board (the “FASB”).</w:t>
      </w:r>
    </w:p>
    <w:p>
      <w:pPr>
        <w:spacing w:after="0" w:line="183" w:lineRule="exact"/>
        <w:rPr>
          <w:sz w:val="20"/>
          <w:szCs w:val="20"/>
          <w:color w:val="auto"/>
        </w:rPr>
      </w:pPr>
    </w:p>
    <w:p>
      <w:pPr>
        <w:ind w:right="160" w:firstLine="607"/>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2023 and 2022, comprehensive income (loss) was equal to the net income (loss) amounts presented for the respective periods in the accompanying consolidated statements of operations. In addition, certain prior year balances have been reclassified to conform to the current presentation. Specifically, the disaggregation of some of the Company’s accrued expenses and other current liabilities (see Note 6) and deferred tax assets and liabilities, as well as the rate reconciliation for U.S. federal income taxes (see Note 11), as of December 31, 2023 have been adjusted to conform to the presentation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ind w:firstLine="607"/>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and chargebacks deducted from gross revenues, assumptions used in the fair value of awards granted under the Company’s equity incentive plans and the valuation allowance for the Company’s deferred tax assets.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right="40" w:firstLine="607"/>
        <w:spacing w:after="0" w:line="255" w:lineRule="auto"/>
        <w:rPr>
          <w:sz w:val="20"/>
          <w:szCs w:val="20"/>
          <w:color w:val="auto"/>
        </w:rPr>
      </w:pPr>
      <w:r>
        <w:rPr>
          <w:rFonts w:ascii="Times New Roman" w:cs="Times New Roman" w:eastAsia="Times New Roman" w:hAnsi="Times New Roman"/>
          <w:sz w:val="18"/>
          <w:szCs w:val="18"/>
          <w:color w:val="auto"/>
        </w:rPr>
        <w:t>The Company engaged a third-party specialist to assist in the evaluation of the Company’s accrual for U.S. Medicaid rebates related to the sale of the Company’s immunoglobulin products. As a result of this evaluation, the Company recognized a reduction in this accrual and a corresponding increase to net revenues of $12.6 million for the year ended December 31, 2024. The Company considered several qualitative factors when evaluating its rebate accrual, such as the absence of a statutory limitation on the rebate amounts drug manufacturers pay to state Medicaid programs and general uncertainty that pharmaceutical manufacturers have historically seen with government payors often submitting lagged claims many periods after the initial dispensing of a product to an end patient. There was additional new information that arose during June 2024 that suggested the Company’s liabilities for certain payor claims were successfully resolved, which resulted in the $12.6 million adjustment to the accrual for U.S. Medicaid rebates in June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Company considers all highly liquid instruments purchased with a maturity of three months or less to be cash equivalents.</w:t>
      </w:r>
    </w:p>
    <w:p>
      <w:pPr>
        <w:spacing w:after="0" w:line="225" w:lineRule="exact"/>
        <w:rPr>
          <w:sz w:val="20"/>
          <w:szCs w:val="20"/>
          <w:color w:val="auto"/>
        </w:rPr>
      </w:pPr>
    </w:p>
    <w:p>
      <w:pPr>
        <w:ind w:right="60" w:firstLine="607"/>
        <w:spacing w:after="0" w:line="256" w:lineRule="auto"/>
        <w:rPr>
          <w:sz w:val="20"/>
          <w:szCs w:val="20"/>
          <w:color w:val="auto"/>
        </w:rPr>
      </w:pPr>
      <w:r>
        <w:rPr>
          <w:rFonts w:ascii="Times New Roman" w:cs="Times New Roman" w:eastAsia="Times New Roman" w:hAnsi="Times New Roman"/>
          <w:sz w:val="18"/>
          <w:szCs w:val="18"/>
          <w:color w:val="auto"/>
        </w:rPr>
        <w:t>The Company regularly maintains cash and cash equivalents at third-party financial institutions in excess of the Federal Deposit Insurance Corporation insurance limit. Although the Company monitors the daily cash balances in its operating accounts and adjusts the balances as appropriate, these balances could be impacted, and there could be a material adverse effect on the Company’s business, if one or more of the financial institutions with which the Company has deposits fails or is subject to other adverse conditions in the financial or credit markets. To date, the Company has not experienced a loss or lack of access to its deposited cash or cash equivalents; however, the Company cannot provide assurance that access to its cash and cash equivalents will not be impacted by adverse conditions in the financial and credit markets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ind w:right="220" w:firstLine="607"/>
        <w:spacing w:after="0" w:line="261" w:lineRule="auto"/>
        <w:rPr>
          <w:sz w:val="20"/>
          <w:szCs w:val="20"/>
          <w:color w:val="auto"/>
        </w:rPr>
      </w:pPr>
      <w:r>
        <w:rPr>
          <w:rFonts w:ascii="Times New Roman" w:cs="Times New Roman" w:eastAsia="Times New Roman" w:hAnsi="Times New Roman"/>
          <w:sz w:val="18"/>
          <w:szCs w:val="18"/>
          <w:color w:val="auto"/>
        </w:rPr>
        <w:t>Accounts receivable is reported at realizable value, net of allowances for contractual credits and doubtful accounts in the amount of $0.2 million and $0.1 million at December 31, 2024 and 2023, respectively, which are recognized in the period the related revenue is recorded. The Company extends credit to its customers based upon an evaluation of each customer’s financial condition and credit history. Evaluations of the financial condition and associated credit risk of customers are performed on an ongoing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ind w:right="20" w:firstLine="607"/>
        <w:spacing w:after="0" w:line="255" w:lineRule="auto"/>
        <w:rPr>
          <w:sz w:val="20"/>
          <w:szCs w:val="20"/>
          <w:color w:val="auto"/>
        </w:rPr>
      </w:pPr>
      <w:r>
        <w:rPr>
          <w:rFonts w:ascii="Times New Roman" w:cs="Times New Roman" w:eastAsia="Times New Roman" w:hAnsi="Times New Roman"/>
          <w:sz w:val="18"/>
          <w:szCs w:val="18"/>
          <w:color w:val="auto"/>
        </w:rPr>
        <w:t>Raw materials inventory consists of normal source plasma (“NSP”) and Respiratory Syncytial Virus (“RSV”) high titer plasma collected at the Company’s plasma collection facilities or purchased from third parties, along with various materials purchased from suppliers,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the Company’s products relative to the total square footage of the facility.</w:t>
      </w:r>
    </w:p>
    <w:p>
      <w:pPr>
        <w:spacing w:after="0" w:line="189" w:lineRule="exact"/>
        <w:rPr>
          <w:sz w:val="20"/>
          <w:szCs w:val="20"/>
          <w:color w:val="auto"/>
        </w:rPr>
      </w:pPr>
    </w:p>
    <w:p>
      <w:pPr>
        <w:ind w:firstLine="607"/>
        <w:spacing w:after="0" w:line="254" w:lineRule="auto"/>
        <w:rPr>
          <w:sz w:val="20"/>
          <w:szCs w:val="20"/>
          <w:color w:val="auto"/>
        </w:rPr>
      </w:pPr>
      <w:r>
        <w:rPr>
          <w:rFonts w:ascii="Times New Roman" w:cs="Times New Roman" w:eastAsia="Times New Roman" w:hAnsi="Times New Roman"/>
          <w:sz w:val="18"/>
          <w:szCs w:val="18"/>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For both the Company’s immune globulin products and plasma intended for resale and internal use,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engineering lots that would not qualify as immediately available for commercial sale are charged to cost of product revenue and not capitalized into inventory.</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ind w:right="60" w:firstLine="607"/>
        <w:spacing w:after="0" w:line="261" w:lineRule="auto"/>
        <w:rPr>
          <w:sz w:val="20"/>
          <w:szCs w:val="20"/>
          <w:color w:val="auto"/>
        </w:rPr>
      </w:pPr>
      <w:r>
        <w:rPr>
          <w:rFonts w:ascii="Times New Roman" w:cs="Times New Roman" w:eastAsia="Times New Roman" w:hAnsi="Times New Roman"/>
          <w:sz w:val="18"/>
          <w:szCs w:val="18"/>
          <w:color w:val="auto"/>
        </w:rPr>
        <w:t>Assets comprising property and equipment (see Note 4) are stated at cost less accumulated depreciation. Depreciation is calculated using the straight-line method over the asset’s estimated useful life. Land is not depreciated. The buildings have been assigned a useful life of 30 years. Property and equipment other than land and buildings have useful lives ranging from 3 to 15 years. Leasehold improvements are amortized over the lesser of the lease term or their estimated useful lives.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right="200" w:firstLine="607"/>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by the Company. Goodwill at December 31, 2024 and 2023 was $3.5 million, all of which is attributable to the Company’s ADMA BioManufacturing business segment. There were no changes to the carrying amount of goodwill during the years ended December 31, 2024, 2023 and 2022.</w:t>
      </w:r>
    </w:p>
    <w:p>
      <w:pPr>
        <w:spacing w:after="0" w:line="176" w:lineRule="exact"/>
        <w:rPr>
          <w:sz w:val="20"/>
          <w:szCs w:val="20"/>
          <w:color w:val="auto"/>
        </w:rPr>
      </w:pPr>
    </w:p>
    <w:p>
      <w:pPr>
        <w:ind w:right="20" w:firstLine="607"/>
        <w:spacing w:after="0" w:line="255" w:lineRule="auto"/>
        <w:rPr>
          <w:sz w:val="20"/>
          <w:szCs w:val="20"/>
          <w:color w:val="auto"/>
        </w:rPr>
      </w:pPr>
      <w:r>
        <w:rPr>
          <w:rFonts w:ascii="Times New Roman" w:cs="Times New Roman" w:eastAsia="Times New Roman" w:hAnsi="Times New Roman"/>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assessment as of October 1 of each year. The Company’s annual goodwill impairment assessments as of October 1, 2024, 2023 and 2022 did not result in any impairment charges related to goodwill for the years ended December 31, 2024, 2023 and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sz w:val="20"/>
          <w:szCs w:val="20"/>
          <w:color w:val="auto"/>
        </w:rPr>
      </w:pPr>
    </w:p>
    <w:p>
      <w:pPr>
        <w:ind w:right="100" w:firstLine="607"/>
        <w:spacing w:after="0" w:line="258" w:lineRule="auto"/>
        <w:rPr>
          <w:sz w:val="20"/>
          <w:szCs w:val="20"/>
          <w:color w:val="auto"/>
        </w:rPr>
      </w:pPr>
      <w:r>
        <w:rPr>
          <w:rFonts w:ascii="Times New Roman" w:cs="Times New Roman" w:eastAsia="Times New Roman" w:hAnsi="Times New Roman"/>
          <w:sz w:val="18"/>
          <w:szCs w:val="18"/>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years ended December 31, 2024, 2023 and 2022, the Company determined that there was no impairment of its long-lived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ind w:firstLine="607"/>
        <w:spacing w:after="0" w:line="255" w:lineRule="auto"/>
        <w:rPr>
          <w:sz w:val="20"/>
          <w:szCs w:val="20"/>
          <w:color w:val="auto"/>
        </w:rPr>
      </w:pPr>
      <w:r>
        <w:rPr>
          <w:rFonts w:ascii="Times New Roman" w:cs="Times New Roman" w:eastAsia="Times New Roman" w:hAnsi="Times New Roman"/>
          <w:sz w:val="18"/>
          <w:szCs w:val="18"/>
          <w:color w:val="auto"/>
        </w:rPr>
        <w:t>Revenues for the years ended December 31, 2024, 2023 and 2022 are comprised of (i) revenues from the sale of the Company’s immunoglobulin products, ASCENIV, BIVIGAM and Nabi-HB, (ii) product revenues from the sale of human plasma collected by the Company’s Plasma Collection Centers business segment, (iii) contract manufacturing and laboratory services revenue, (iv) revenues from the sale of intermediate by-products and (v) license and other revenues primarily attributable to the out-licensing of ASCENIV to Biotest AG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189" w:lineRule="exact"/>
        <w:rPr>
          <w:sz w:val="20"/>
          <w:szCs w:val="20"/>
          <w:color w:val="auto"/>
        </w:rPr>
      </w:pPr>
    </w:p>
    <w:p>
      <w:pPr>
        <w:ind w:firstLine="607"/>
        <w:spacing w:after="0" w:line="255" w:lineRule="auto"/>
        <w:rPr>
          <w:sz w:val="20"/>
          <w:szCs w:val="20"/>
          <w:color w:val="auto"/>
        </w:rPr>
      </w:pPr>
      <w:r>
        <w:rPr>
          <w:rFonts w:ascii="Times New Roman" w:cs="Times New Roman" w:eastAsia="Times New Roman" w:hAnsi="Times New Roman"/>
          <w:sz w:val="18"/>
          <w:szCs w:val="18"/>
          <w:color w:val="auto"/>
        </w:rPr>
        <w:t>Product revenue is recognized when the customer is deemed to have control over the product and the performance obligation is satisfied.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wholesaler distribution and related fees, customer incentives, including prompt pay discounts, wholesaler chargebacks, group purchasing organization fees and reimbursements for patient assistance. These estimates are based on contractual arrangements, historical experience and certain other assumptions, and while the Company believes that such estimates are reasonable, they are subject to change based on future developments and other factors.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For revenues associated with contract manufacturing and the sale of intermediates, control transfers to the customer and the performance obligation is satisfied when the customer takes possession of the product from the Boca Facility.</w:t>
      </w:r>
    </w:p>
    <w:p>
      <w:pPr>
        <w:spacing w:after="0" w:line="162" w:lineRule="exact"/>
        <w:rPr>
          <w:sz w:val="20"/>
          <w:szCs w:val="20"/>
          <w:color w:val="auto"/>
        </w:rPr>
      </w:pPr>
    </w:p>
    <w:p>
      <w:pPr>
        <w:jc w:val="both"/>
        <w:ind w:right="300" w:firstLine="607"/>
        <w:spacing w:after="0" w:line="261" w:lineRule="auto"/>
        <w:rPr>
          <w:sz w:val="20"/>
          <w:szCs w:val="20"/>
          <w:color w:val="auto"/>
        </w:rPr>
      </w:pPr>
      <w:r>
        <w:rPr>
          <w:rFonts w:ascii="Times New Roman" w:cs="Times New Roman" w:eastAsia="Times New Roman" w:hAnsi="Times New Roman"/>
          <w:sz w:val="18"/>
          <w:szCs w:val="18"/>
          <w:color w:val="auto"/>
        </w:rPr>
        <w:t>Product revenues from the sale of human plasma collected at the Company’s plasma collection centers are recognized at the time control of the product has been transferred to the customer and the performance obligation is satisfied, which generally occurs at the time of shipment from one of the Company’s plasma collection facilities or from a third-party warehouse that is utilized by the Company. Product revenues are recognized at the time of delivery if the Company retains control of the product during shipment.</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For all of the Company’s product revenues, payment from the customer is typically due within 90 days of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product revenue</w:t>
      </w:r>
    </w:p>
    <w:p>
      <w:pPr>
        <w:spacing w:after="0" w:line="225" w:lineRule="exact"/>
        <w:rPr>
          <w:sz w:val="20"/>
          <w:szCs w:val="20"/>
          <w:color w:val="auto"/>
        </w:rPr>
      </w:pPr>
    </w:p>
    <w:p>
      <w:pPr>
        <w:ind w:right="240" w:firstLine="607"/>
        <w:spacing w:after="0" w:line="261" w:lineRule="auto"/>
        <w:rPr>
          <w:sz w:val="20"/>
          <w:szCs w:val="20"/>
          <w:color w:val="auto"/>
        </w:rPr>
      </w:pPr>
      <w:r>
        <w:rPr>
          <w:rFonts w:ascii="Times New Roman" w:cs="Times New Roman" w:eastAsia="Times New Roman" w:hAnsi="Times New Roman"/>
          <w:sz w:val="18"/>
          <w:szCs w:val="18"/>
          <w:color w:val="auto"/>
        </w:rPr>
        <w:t>Cost of product revenue includes costs associated with the manufacture of the Company’s FDA approved products and intermediates and for the collection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w:t>
      </w:r>
    </w:p>
    <w:p>
      <w:pPr>
        <w:spacing w:after="0" w:line="225" w:lineRule="exact"/>
        <w:rPr>
          <w:sz w:val="20"/>
          <w:szCs w:val="20"/>
          <w:color w:val="auto"/>
        </w:rPr>
      </w:pPr>
    </w:p>
    <w:p>
      <w:pPr>
        <w:jc w:val="both"/>
        <w:ind w:right="400" w:firstLine="607"/>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clinical research organization costs, costs related to clinical trials, post-marketing commitment studies for BIVIGAM and ASCENIV and salaries, benefits and stock-based compensation for employees directly related to research and development activities. All research and development costs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Plasma center operating expenses</w:t>
      </w:r>
    </w:p>
    <w:p>
      <w:pPr>
        <w:spacing w:after="0" w:line="225" w:lineRule="exact"/>
        <w:rPr>
          <w:sz w:val="20"/>
          <w:szCs w:val="20"/>
          <w:color w:val="auto"/>
        </w:rPr>
      </w:pPr>
    </w:p>
    <w:p>
      <w:pPr>
        <w:ind w:right="220" w:firstLine="607"/>
        <w:spacing w:after="0" w:line="282" w:lineRule="auto"/>
        <w:rPr>
          <w:sz w:val="20"/>
          <w:szCs w:val="20"/>
          <w:color w:val="auto"/>
        </w:rPr>
      </w:pPr>
      <w:r>
        <w:rPr>
          <w:rFonts w:ascii="Times New Roman" w:cs="Times New Roman" w:eastAsia="Times New Roman" w:hAnsi="Times New Roman"/>
          <w:sz w:val="18"/>
          <w:szCs w:val="18"/>
          <w:color w:val="auto"/>
        </w:rPr>
        <w:t>Plasma center operating expenses consist of certain general and administrative plasma center costs, initial opening, marketing and start-up costs, rent expense, maintenance, utilities and compensation and benefits for administrative staff.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and marketing expenses</w:t>
      </w:r>
    </w:p>
    <w:p>
      <w:pPr>
        <w:spacing w:after="0" w:line="225" w:lineRule="exact"/>
        <w:rPr>
          <w:sz w:val="20"/>
          <w:szCs w:val="20"/>
          <w:color w:val="auto"/>
        </w:rPr>
      </w:pPr>
    </w:p>
    <w:p>
      <w:pPr>
        <w:jc w:val="both"/>
        <w:ind w:right="60" w:firstLine="607"/>
        <w:spacing w:after="0" w:line="289" w:lineRule="auto"/>
        <w:rPr>
          <w:sz w:val="20"/>
          <w:szCs w:val="20"/>
          <w:color w:val="auto"/>
        </w:rPr>
      </w:pPr>
      <w:r>
        <w:rPr>
          <w:rFonts w:ascii="Times New Roman" w:cs="Times New Roman" w:eastAsia="Times New Roman" w:hAnsi="Times New Roman"/>
          <w:sz w:val="17"/>
          <w:szCs w:val="17"/>
          <w:color w:val="auto"/>
        </w:rPr>
        <w:t>Advertising and marketing expense includes cost for promotional materials and trade show expenses for the marketing of the Company’s products and expenses incurred for attracting donors to the Company’s plasma collection centers. All advertising and marketing expenses are expensed as incurred. Advertising and marketing expenses were $2.7 million, $3.3 million and $2.2 million for the years ended December 31, 2024,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ind w:right="160" w:firstLine="607"/>
        <w:spacing w:after="0" w:line="271" w:lineRule="auto"/>
        <w:rPr>
          <w:sz w:val="20"/>
          <w:szCs w:val="20"/>
          <w:color w:val="auto"/>
        </w:rPr>
      </w:pPr>
      <w:r>
        <w:rPr>
          <w:rFonts w:ascii="Times New Roman" w:cs="Times New Roman" w:eastAsia="Times New Roman" w:hAnsi="Times New Roman"/>
          <w:sz w:val="17"/>
          <w:szCs w:val="17"/>
          <w:color w:val="auto"/>
        </w:rPr>
        <w:t xml:space="preserve">The Company follows recognized accounting guidance which requires all equity-based payments, including grants of stock options and restricted stock unit awards (“RSUs”), to be recognized in the statement of operations as compensation expense based on their fair values at the date of grant. Compensation expense related to awards to employees and directors with service-based vesting conditions is recognized on a straight-line basis over the associated vesting period of the award based on the grant date fair value of the award. Stock options granted to employees under the Company’s equity incentive plans generally have a four-year vesting period and a term of 10 years. RSUs granted to employees also have a four-year vesting period. For milestone-based equity awards, which were awarded to two of the Company’s executive officers in September of 2021 and vested during fiscal 2022, the Company would periodically assess the probability of vesting for each milestone-based award and adjust compensation expense based on its probability assessment. Pursuant to ASU No. 2016-09, </w:t>
      </w:r>
      <w:r>
        <w:rPr>
          <w:rFonts w:ascii="Times New Roman" w:cs="Times New Roman" w:eastAsia="Times New Roman" w:hAnsi="Times New Roman"/>
          <w:sz w:val="17"/>
          <w:szCs w:val="17"/>
          <w:i w:val="1"/>
          <w:iCs w:val="1"/>
          <w:color w:val="auto"/>
        </w:rPr>
        <w:t>Improvements to Employee Share-Based Payment Accounting (Topic 718)</w:t>
      </w:r>
      <w:r>
        <w:rPr>
          <w:rFonts w:ascii="Times New Roman" w:cs="Times New Roman" w:eastAsia="Times New Roman" w:hAnsi="Times New Roman"/>
          <w:sz w:val="17"/>
          <w:szCs w:val="17"/>
          <w:color w:val="auto"/>
        </w:rPr>
        <w:t>, the Company has elected not to establish a forfeiture rate, as stock-based compensation expense related to forfeitures of unvested equity awards is fully reversed at the time of forfeiture.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right="60" w:firstLine="607"/>
        <w:spacing w:after="0" w:line="256"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(see Note 11). The Company is subject to income tax examinations by major taxing authorities for all tax years since 2020 and for previous periods as it relates to the Company’s net operating loss carryforwards.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(Loss) Per Share</w:t>
      </w:r>
    </w:p>
    <w:p>
      <w:pPr>
        <w:spacing w:after="0" w:line="225" w:lineRule="exact"/>
        <w:rPr>
          <w:sz w:val="20"/>
          <w:szCs w:val="20"/>
          <w:color w:val="auto"/>
        </w:rPr>
      </w:pPr>
    </w:p>
    <w:p>
      <w:pPr>
        <w:ind w:right="20" w:firstLine="607"/>
        <w:spacing w:after="0" w:line="255"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or loss attributable to common stockholders by the weighted average number of shares of common stock outstanding during the period. Diluted loss per share is calculated by dividing net income or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and upon the vesting of restricted stock units (“RSUs”). Potentially dilutive common stock in the diluted net earnings (loss) per share computation is excluded to the extent that it would be anti-dilutive. For the year ended December 31, 2024, basic and diluted earnings per share are calculated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5"/>
        </w:trPr>
        <w:tc>
          <w:tcPr>
            <w:tcW w:w="9680" w:type="dxa"/>
            <w:vAlign w:val="bottom"/>
          </w:tcPr>
          <w:p>
            <w:pPr>
              <w:spacing w:after="0"/>
              <w:rPr>
                <w:sz w:val="21"/>
                <w:szCs w:val="21"/>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 ($000’s) (numerator)</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197,673</w:t>
            </w:r>
          </w:p>
        </w:tc>
        <w:tc>
          <w:tcPr>
            <w:tcW w:w="100" w:type="dxa"/>
            <w:vAlign w:val="bottom"/>
            <w:shd w:val="clear" w:color="auto" w:fill="CCEEFF"/>
          </w:tcPr>
          <w:p>
            <w:pPr>
              <w:spacing w:after="0"/>
              <w:rPr>
                <w:sz w:val="18"/>
                <w:szCs w:val="18"/>
                <w:color w:val="auto"/>
              </w:rPr>
            </w:pP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common shares (denominator)</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233,084,236</w:t>
            </w:r>
          </w:p>
        </w:tc>
        <w:tc>
          <w:tcPr>
            <w:tcW w:w="100" w:type="dxa"/>
            <w:vAlign w:val="bottom"/>
          </w:tcPr>
          <w:p>
            <w:pPr>
              <w:spacing w:after="0"/>
              <w:rPr>
                <w:sz w:val="19"/>
                <w:szCs w:val="19"/>
                <w:color w:val="auto"/>
              </w:rPr>
            </w:pPr>
          </w:p>
        </w:tc>
      </w:tr>
      <w:tr>
        <w:trPr>
          <w:trHeight w:val="257"/>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shares</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9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233,084,236</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Potential shares of common stock arising from outstanding stock options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4,150,584</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shares of common stock arising from outstanding warrants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3,085,640</w:t>
            </w:r>
          </w:p>
        </w:tc>
        <w:tc>
          <w:tcPr>
            <w:tcW w:w="100" w:type="dxa"/>
            <w:vAlign w:val="bottom"/>
            <w:shd w:val="clear" w:color="auto" w:fill="CCEEFF"/>
          </w:tcPr>
          <w:p>
            <w:pPr>
              <w:spacing w:after="0"/>
              <w:rPr>
                <w:sz w:val="18"/>
                <w:szCs w:val="18"/>
                <w:color w:val="auto"/>
              </w:rPr>
            </w:pP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Potential shares of common stock arising from unvested RSUs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3,022,006</w:t>
            </w:r>
          </w:p>
        </w:tc>
        <w:tc>
          <w:tcPr>
            <w:tcW w:w="100" w:type="dxa"/>
            <w:vAlign w:val="bottom"/>
          </w:tcPr>
          <w:p>
            <w:pPr>
              <w:spacing w:after="0"/>
              <w:rPr>
                <w:sz w:val="19"/>
                <w:szCs w:val="19"/>
                <w:color w:val="auto"/>
              </w:rPr>
            </w:pPr>
          </w:p>
        </w:tc>
      </w:tr>
      <w:tr>
        <w:trPr>
          <w:trHeight w:val="223"/>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 diluted (denominator)</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243,342,466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607"/>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there were no shares with an anti-dilutive effect that needed to be excluded from the earnings per share computation. For the years ended December 31, 2023 and 2022, no potentially dilutive securities are included in the computation of diluted loss per share in the accompanying consolidated financial statements as the Company reported a net loss for these periods. For the years ended December 31, 2023 and 2022, the following securities were excluded from the calculation of diluted loss per common share because of their anti-dilutive effects: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5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w:t>
            </w:r>
          </w:p>
        </w:tc>
      </w:tr>
      <w:tr>
        <w:trPr>
          <w:trHeight w:val="245"/>
        </w:trPr>
        <w:tc>
          <w:tcPr>
            <w:tcW w:w="3560" w:type="dxa"/>
            <w:vAlign w:val="bottom"/>
          </w:tcPr>
          <w:p>
            <w:pPr>
              <w:spacing w:after="0"/>
              <w:rPr>
                <w:sz w:val="21"/>
                <w:szCs w:val="21"/>
                <w:color w:val="auto"/>
              </w:rPr>
            </w:pPr>
          </w:p>
        </w:tc>
        <w:tc>
          <w:tcPr>
            <w:tcW w:w="6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5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5,906,184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8,256,211</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6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4,657,297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2,866,987</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5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12,502,906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13,525,148</w:t>
            </w:r>
          </w:p>
        </w:tc>
      </w:tr>
      <w:tr>
        <w:trPr>
          <w:trHeight w:val="27"/>
        </w:trPr>
        <w:tc>
          <w:tcPr>
            <w:tcW w:w="3560" w:type="dxa"/>
            <w:vAlign w:val="bottom"/>
            <w:shd w:val="clear" w:color="auto" w:fill="CCEEFF"/>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23,066,387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24,648,346</w:t>
            </w:r>
          </w:p>
        </w:tc>
      </w:tr>
      <w:tr>
        <w:trPr>
          <w:trHeight w:val="20"/>
        </w:trPr>
        <w:tc>
          <w:tcPr>
            <w:tcW w:w="3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3560" w:type="dxa"/>
            <w:vAlign w:val="bottom"/>
          </w:tcPr>
          <w:p>
            <w:pPr>
              <w:spacing w:after="0"/>
              <w:rPr>
                <w:sz w:val="24"/>
                <w:szCs w:val="24"/>
                <w:color w:val="auto"/>
              </w:rPr>
            </w:pPr>
          </w:p>
        </w:tc>
        <w:tc>
          <w:tcPr>
            <w:tcW w:w="6460" w:type="dxa"/>
            <w:vAlign w:val="bottom"/>
            <w:gridSpan w:val="3"/>
          </w:tcPr>
          <w:p>
            <w:pPr>
              <w:jc w:val="right"/>
              <w:ind w:right="4260"/>
              <w:spacing w:after="0"/>
              <w:rPr>
                <w:sz w:val="20"/>
                <w:szCs w:val="20"/>
                <w:color w:val="auto"/>
              </w:rPr>
            </w:pPr>
            <w:r>
              <w:rPr>
                <w:rFonts w:ascii="Times New Roman" w:cs="Times New Roman" w:eastAsia="Times New Roman" w:hAnsi="Times New Roman"/>
                <w:sz w:val="14"/>
                <w:szCs w:val="14"/>
                <w:color w:val="auto"/>
              </w:rPr>
              <w:t>F-16</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560" w:type="dxa"/>
            <w:vAlign w:val="bottom"/>
            <w:tcBorders>
              <w:bottom w:val="single" w:sz="8" w:color="auto"/>
            </w:tcBorders>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ind w:right="160" w:firstLine="607"/>
        <w:spacing w:after="0" w:line="261"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notes payable (see Note 7) also approximates fair value, based on a Level 3 classification under the fair value hierarchy, due to the variable interest rate on this debt.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of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w:t>
      </w:r>
      <w:r>
        <w:rPr>
          <w:rFonts w:ascii="Times New Roman" w:cs="Times New Roman" w:eastAsia="Times New Roman" w:hAnsi="Times New Roman"/>
          <w:sz w:val="18"/>
          <w:szCs w:val="18"/>
          <w:color w:val="auto"/>
        </w:rPr>
        <w:t>The amendments in this Update require disclosure, in the notes to the financial statements, of specified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costs and expenses, including but not limited to, purchases of inventory, employee compensation and selling expense. This Update becomes effective for fiscal years beginning after December 15, 2026. The Company has yet to determine the impact this Update may have on the Company’s consolidated financial statements.</w:t>
      </w:r>
    </w:p>
    <w:p>
      <w:pPr>
        <w:spacing w:after="0" w:line="183"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of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Update requires disaggregated information about a reporting entity’s effective tax rate reconciliation as well as information on income taxes paid and becomes effective for public business entities for fiscal years beginning after December 15, 2024. The Company is currently evaluating the impact that this Update may have on the Company’s consolidated financial statements.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of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amendments in this Update are intended to provide financial statement users with more disaggregated expense information about a public entity’s reportable segments, however the Update does not change the definition of a business segment or the method for determining reportable segments. This update became effective for fiscal years beginning after December 15, 2023 (see Note 13). Adoption of this Update did not have a material impact on the Company’s consolidated financial statements.</w:t>
      </w:r>
    </w:p>
    <w:p>
      <w:pPr>
        <w:spacing w:after="0" w:line="18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There were no new accounting pronouncements adopted during the years ended December 31, 2023 and 2022 that had a significant impact on the Company’s consolidated financial statements.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INVENTORIES</w:t>
            </w:r>
          </w:p>
        </w:tc>
        <w:tc>
          <w:tcPr>
            <w:tcW w:w="34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500" w:type="dxa"/>
            <w:vAlign w:val="bottom"/>
          </w:tcPr>
          <w:p>
            <w:pPr>
              <w:spacing w:after="0"/>
              <w:rPr>
                <w:sz w:val="24"/>
                <w:szCs w:val="24"/>
                <w:color w:val="auto"/>
              </w:rPr>
            </w:pP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following table provides the components of inventories:</w:t>
            </w: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3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w w:val="75"/>
              </w:rPr>
              <w:t>thousands)</w:t>
            </w:r>
          </w:p>
        </w:tc>
        <w:tc>
          <w:tcPr>
            <w:tcW w:w="100" w:type="dxa"/>
            <w:vAlign w:val="bottom"/>
          </w:tcPr>
          <w:p>
            <w:pPr>
              <w:spacing w:after="0"/>
              <w:rPr>
                <w:sz w:val="18"/>
                <w:szCs w:val="18"/>
                <w:color w:val="auto"/>
              </w:rPr>
            </w:pPr>
          </w:p>
        </w:tc>
      </w:tr>
      <w:tr>
        <w:trPr>
          <w:trHeight w:val="216"/>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7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60,473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52,999</w:t>
            </w:r>
          </w:p>
        </w:tc>
      </w:tr>
      <w:tr>
        <w:trPr>
          <w:trHeight w:val="216"/>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61,641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49,621</w:t>
            </w:r>
          </w:p>
        </w:tc>
      </w:tr>
      <w:tr>
        <w:trPr>
          <w:trHeight w:val="216"/>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48,121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70,286</w:t>
            </w:r>
          </w:p>
        </w:tc>
      </w:tr>
      <w:tr>
        <w:trPr>
          <w:trHeight w:val="27"/>
        </w:trPr>
        <w:tc>
          <w:tcPr>
            <w:tcW w:w="5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3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170,235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172,906</w:t>
            </w:r>
          </w:p>
        </w:tc>
      </w:tr>
      <w:tr>
        <w:trPr>
          <w:trHeight w:val="20"/>
        </w:trPr>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00" w:type="dxa"/>
            <w:vAlign w:val="bottom"/>
            <w:gridSpan w:val="2"/>
          </w:tcPr>
          <w:p>
            <w:pPr>
              <w:jc w:val="right"/>
              <w:ind w:right="3070"/>
              <w:spacing w:after="0"/>
              <w:rPr>
                <w:sz w:val="20"/>
                <w:szCs w:val="20"/>
                <w:color w:val="auto"/>
              </w:rPr>
            </w:pPr>
            <w:r>
              <w:rPr>
                <w:rFonts w:ascii="Times New Roman" w:cs="Times New Roman" w:eastAsia="Times New Roman" w:hAnsi="Times New Roman"/>
                <w:sz w:val="14"/>
                <w:szCs w:val="14"/>
                <w:color w:val="auto"/>
              </w:rPr>
              <w:t>F-17</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right="120" w:firstLine="607"/>
        <w:spacing w:after="0" w:line="312" w:lineRule="auto"/>
        <w:rPr>
          <w:sz w:val="20"/>
          <w:szCs w:val="20"/>
          <w:color w:val="auto"/>
        </w:rPr>
      </w:pPr>
      <w:r>
        <w:rPr>
          <w:rFonts w:ascii="Times New Roman" w:cs="Times New Roman" w:eastAsia="Times New Roman" w:hAnsi="Times New Roman"/>
          <w:sz w:val="17"/>
          <w:szCs w:val="17"/>
          <w:color w:val="auto"/>
        </w:rPr>
        <w:t>Raw materials includes plasma and other materials expected to be used in the production of ASCENIV, BIVIGAM and Nabi-HB. These materials will be consumed in the production of products expected to be available for sale or otherwise have alternative uses that provide a probable future benefit.</w:t>
      </w:r>
    </w:p>
    <w:p>
      <w:pPr>
        <w:spacing w:after="0" w:line="140" w:lineRule="exact"/>
        <w:rPr>
          <w:sz w:val="20"/>
          <w:szCs w:val="20"/>
          <w:color w:val="auto"/>
        </w:rPr>
      </w:pPr>
    </w:p>
    <w:p>
      <w:pPr>
        <w:ind w:right="360" w:firstLine="607"/>
        <w:spacing w:after="0" w:line="282" w:lineRule="auto"/>
        <w:rPr>
          <w:sz w:val="20"/>
          <w:szCs w:val="20"/>
          <w:color w:val="auto"/>
        </w:rPr>
      </w:pPr>
      <w:r>
        <w:rPr>
          <w:rFonts w:ascii="Times New Roman" w:cs="Times New Roman" w:eastAsia="Times New Roman" w:hAnsi="Times New Roman"/>
          <w:sz w:val="18"/>
          <w:szCs w:val="18"/>
          <w:color w:val="auto"/>
        </w:rPr>
        <w:t>Work-in-process inventory primarily consists of the Company’s IVIG products that are manufactured to the bulk drug substance and unlabeled filled vials stage of production.</w:t>
      </w:r>
    </w:p>
    <w:p>
      <w:pPr>
        <w:spacing w:after="0" w:line="162" w:lineRule="exact"/>
        <w:rPr>
          <w:sz w:val="20"/>
          <w:szCs w:val="20"/>
          <w:color w:val="auto"/>
        </w:rPr>
      </w:pPr>
    </w:p>
    <w:p>
      <w:pPr>
        <w:ind w:right="40" w:firstLine="607"/>
        <w:spacing w:after="0" w:line="266" w:lineRule="auto"/>
        <w:rPr>
          <w:sz w:val="20"/>
          <w:szCs w:val="20"/>
          <w:color w:val="auto"/>
        </w:rPr>
      </w:pPr>
      <w:r>
        <w:rPr>
          <w:rFonts w:ascii="Times New Roman" w:cs="Times New Roman" w:eastAsia="Times New Roman" w:hAnsi="Times New Roman"/>
          <w:sz w:val="18"/>
          <w:szCs w:val="18"/>
          <w:color w:val="auto"/>
        </w:rPr>
        <w:t>Finished goods inventory is comprised of the Company’s immunoglobulin products that have reached the filled, labeled and serialized vial stage of production and related intermediates that are available for commercial sale, as well as plasma collected at the Company’s plasma collection centers which is expected to be sold to third-party customers.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and equipment at December 31, 2024 and 2023 is summarized as follows: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5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(In</w:t>
            </w: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laboratory equipment</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21,093</w:t>
            </w:r>
          </w:p>
        </w:tc>
      </w:tr>
      <w:tr>
        <w:trPr>
          <w:trHeight w:val="216"/>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 equipment and computer software</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6,062</w:t>
            </w: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5,776</w:t>
            </w:r>
          </w:p>
        </w:tc>
      </w:tr>
      <w:tr>
        <w:trPr>
          <w:trHeight w:val="216"/>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2,273</w:t>
            </w: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25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4,339</w:t>
            </w:r>
          </w:p>
        </w:tc>
      </w:tr>
      <w:tr>
        <w:trPr>
          <w:trHeight w:val="223"/>
        </w:trPr>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80,572</w:t>
            </w:r>
          </w:p>
        </w:tc>
      </w:tr>
      <w:tr>
        <w:trPr>
          <w:trHeight w:val="223"/>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(26,737)</w:t>
            </w:r>
          </w:p>
        </w:tc>
      </w:tr>
      <w:tr>
        <w:trPr>
          <w:trHeight w:val="216"/>
        </w:trPr>
        <w:tc>
          <w:tcPr>
            <w:tcW w:w="802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53,835</w:t>
            </w:r>
          </w:p>
        </w:tc>
        <w:tc>
          <w:tcPr>
            <w:tcW w:w="100" w:type="dxa"/>
            <w:vAlign w:val="bottom"/>
            <w:tcBorders>
              <w:top w:val="single" w:sz="8" w:color="CCEEFF"/>
            </w:tcBorders>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40" w:firstLine="607"/>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on property and equipment of $7.7 million, $7.6 million and $6.4 million for the years ended December 31, 2024, 2023 and 2022, respectively.</w:t>
      </w:r>
    </w:p>
    <w:p>
      <w:pPr>
        <w:spacing w:after="0" w:line="158"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Intangible assets at December 31, 2024 and 2023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1"/>
                <w:szCs w:val="21"/>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21"/>
                <w:szCs w:val="21"/>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Net</w:t>
            </w:r>
          </w:p>
        </w:tc>
        <w:tc>
          <w:tcPr>
            <w:tcW w:w="360" w:type="dxa"/>
            <w:vAlign w:val="bottom"/>
          </w:tcPr>
          <w:p>
            <w:pPr>
              <w:spacing w:after="0"/>
              <w:rPr>
                <w:sz w:val="21"/>
                <w:szCs w:val="21"/>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1"/>
                <w:szCs w:val="21"/>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Trademark and other intangible rights</w:t>
            </w: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Nabi-HB</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6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to intermediates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5,106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F-18</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Under the previous contract manufacturing agreement between ADMA and Biotest, intermediate by-products derived from the manufacture of ASCENIV were property of Biotest. As a result of the acquisition of certain assets from Biotest on June 6, 2017, ADMA obtained the right to these intermediate products as well as the intangible rights to Nabi-HB, which were amortized over a period of seven years. As of December 31, 2024, the Company’s intangible assets are comprised of several internally developed data intelligence and analytics programs at a cost of approximately $0.6 million which is being amortized over a period of four years.</w:t>
      </w:r>
    </w:p>
    <w:p>
      <w:pPr>
        <w:spacing w:after="0" w:line="183"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Amortization expense related to the Company’s intangible assets for the years ended December 31, 2024, 2023 and 2022 was $0.4 million, $0.7 million and $0.7 million, respectively. Estimated aggregate future aggregate amortization expense is expected to be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shd w:val="clear" w:color="auto" w:fill="CCEEFF"/>
          </w:tcPr>
          <w:p>
            <w:pPr>
              <w:jc w:val="right"/>
              <w:ind w:right="4750"/>
              <w:spacing w:after="0"/>
              <w:rPr>
                <w:sz w:val="20"/>
                <w:szCs w:val="20"/>
                <w:color w:val="auto"/>
              </w:rPr>
            </w:pPr>
            <w:r>
              <w:rPr>
                <w:rFonts w:ascii="Times New Roman" w:cs="Times New Roman" w:eastAsia="Times New Roman" w:hAnsi="Times New Roman"/>
                <w:sz w:val="18"/>
                <w:szCs w:val="18"/>
                <w:color w:val="auto"/>
                <w:w w:val="94"/>
              </w:rPr>
              <w:t>2025</w:t>
            </w:r>
          </w:p>
        </w:tc>
        <w:tc>
          <w:tcPr>
            <w:tcW w:w="5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200" w:type="dxa"/>
            <w:vAlign w:val="bottom"/>
          </w:tcPr>
          <w:p>
            <w:pPr>
              <w:jc w:val="right"/>
              <w:ind w:right="4750"/>
              <w:spacing w:after="0"/>
              <w:rPr>
                <w:sz w:val="20"/>
                <w:szCs w:val="20"/>
                <w:color w:val="auto"/>
              </w:rPr>
            </w:pPr>
            <w:r>
              <w:rPr>
                <w:rFonts w:ascii="Times New Roman" w:cs="Times New Roman" w:eastAsia="Times New Roman" w:hAnsi="Times New Roman"/>
                <w:sz w:val="18"/>
                <w:szCs w:val="18"/>
                <w:color w:val="auto"/>
                <w:w w:val="94"/>
              </w:rPr>
              <w:t>2026</w:t>
            </w:r>
          </w:p>
        </w:tc>
        <w:tc>
          <w:tcPr>
            <w:tcW w:w="5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200" w:type="dxa"/>
            <w:vAlign w:val="bottom"/>
            <w:shd w:val="clear" w:color="auto" w:fill="CCEEFF"/>
          </w:tcPr>
          <w:p>
            <w:pPr>
              <w:jc w:val="right"/>
              <w:ind w:right="4750"/>
              <w:spacing w:after="0"/>
              <w:rPr>
                <w:sz w:val="20"/>
                <w:szCs w:val="20"/>
                <w:color w:val="auto"/>
              </w:rPr>
            </w:pPr>
            <w:r>
              <w:rPr>
                <w:rFonts w:ascii="Times New Roman" w:cs="Times New Roman" w:eastAsia="Times New Roman" w:hAnsi="Times New Roman"/>
                <w:sz w:val="18"/>
                <w:szCs w:val="18"/>
                <w:color w:val="auto"/>
                <w:w w:val="94"/>
              </w:rPr>
              <w:t>2027</w:t>
            </w:r>
          </w:p>
        </w:tc>
        <w:tc>
          <w:tcPr>
            <w:tcW w:w="5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5200" w:type="dxa"/>
            <w:vAlign w:val="bottom"/>
          </w:tcPr>
          <w:p>
            <w:pPr>
              <w:jc w:val="right"/>
              <w:ind w:right="4750"/>
              <w:spacing w:after="0"/>
              <w:rPr>
                <w:sz w:val="20"/>
                <w:szCs w:val="20"/>
                <w:color w:val="auto"/>
              </w:rPr>
            </w:pPr>
            <w:r>
              <w:rPr>
                <w:rFonts w:ascii="Times New Roman" w:cs="Times New Roman" w:eastAsia="Times New Roman" w:hAnsi="Times New Roman"/>
                <w:sz w:val="18"/>
                <w:szCs w:val="18"/>
                <w:color w:val="auto"/>
                <w:w w:val="94"/>
              </w:rPr>
              <w:t>2028</w:t>
            </w:r>
          </w:p>
        </w:tc>
        <w:tc>
          <w:tcPr>
            <w:tcW w:w="5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bl>
    <w:p>
      <w:pPr>
        <w:spacing w:after="0" w:line="175"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ACCRUED EXPENSES AND OTHER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 at December 31, 2024 and 2023 are as follows:</w:t>
            </w: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(In</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16,608</w:t>
            </w:r>
          </w:p>
        </w:tc>
      </w:tr>
      <w:tr>
        <w:trPr>
          <w:trHeight w:val="216"/>
        </w:trPr>
        <w:tc>
          <w:tcPr>
            <w:tcW w:w="8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Accrued distribution fees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5,954</w:t>
            </w:r>
          </w:p>
        </w:tc>
      </w:tr>
      <w:tr>
        <w:trPr>
          <w:trHeight w:val="216"/>
        </w:trPr>
        <w:tc>
          <w:tcPr>
            <w:tcW w:w="8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incentives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4,961</w:t>
            </w:r>
          </w:p>
        </w:tc>
      </w:tr>
      <w:tr>
        <w:trPr>
          <w:trHeight w:val="216"/>
        </w:trPr>
        <w:tc>
          <w:tcPr>
            <w:tcW w:w="8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r>
      <w:tr>
        <w:trPr>
          <w:trHeight w:val="216"/>
        </w:trPr>
        <w:tc>
          <w:tcPr>
            <w:tcW w:w="8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testing</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8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Accrued payroll and other compensation</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2,203</w:t>
            </w:r>
          </w:p>
        </w:tc>
      </w:tr>
      <w:tr>
        <w:trPr>
          <w:trHeight w:val="216"/>
        </w:trPr>
        <w:tc>
          <w:tcPr>
            <w:tcW w:w="8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r>
      <w:tr>
        <w:trPr>
          <w:trHeight w:val="256"/>
        </w:trPr>
        <w:tc>
          <w:tcPr>
            <w:tcW w:w="16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85"/>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340" w:type="dxa"/>
            <w:vAlign w:val="bottom"/>
          </w:tcPr>
          <w:p>
            <w:pPr>
              <w:spacing w:after="0"/>
              <w:rPr>
                <w:sz w:val="24"/>
                <w:szCs w:val="24"/>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0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Senior Notes Payable</w:t>
            </w:r>
          </w:p>
        </w:tc>
        <w:tc>
          <w:tcPr>
            <w:tcW w:w="64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outstanding senior notes payable is as follows: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(In</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62,500</w:t>
            </w:r>
          </w:p>
        </w:tc>
      </w:tr>
      <w:tr>
        <w:trPr>
          <w:trHeight w:val="216"/>
        </w:trPr>
        <w:tc>
          <w:tcPr>
            <w:tcW w:w="8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72,500</w:t>
            </w:r>
          </w:p>
        </w:tc>
      </w:tr>
      <w:tr>
        <w:trPr>
          <w:trHeight w:val="216"/>
        </w:trPr>
        <w:tc>
          <w:tcPr>
            <w:tcW w:w="8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60" w:type="dxa"/>
            <w:vAlign w:val="bottom"/>
          </w:tcPr>
          <w:p>
            <w:pPr>
              <w:spacing w:after="0"/>
              <w:rPr>
                <w:sz w:val="19"/>
                <w:szCs w:val="19"/>
                <w:color w:val="auto"/>
              </w:rPr>
            </w:pPr>
          </w:p>
        </w:tc>
        <w:tc>
          <w:tcPr>
            <w:tcW w:w="7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Debt discount</w:t>
            </w:r>
          </w:p>
        </w:tc>
        <w:tc>
          <w:tcPr>
            <w:tcW w:w="5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(4,406)</w:t>
            </w:r>
          </w:p>
        </w:tc>
      </w:tr>
      <w:tr>
        <w:trPr>
          <w:trHeight w:val="256"/>
        </w:trPr>
        <w:tc>
          <w:tcPr>
            <w:tcW w:w="80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payable</w:t>
            </w: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On December 18, 2023 (the “Ares Closing Date”), the Company and all of its subsidiaries entered into a new senior secured credit facility (the “Ares Credit Agreement”) with Ares Capital Corporation and certain credit funds affiliated with Ares Capital Corporation (collectively, “Ares”). The Ares Credit Agreement provided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On the Ares Closing Date, the Company used the proceeds from the Ares Loans, along with a portion of its existing cash on hand, to terminate and pay in full all of the outstanding obligations under the Company’s previous senior credit facility (the “Hayfin Credit Facility”) with Hayfin Services LLP (“Hayfin”) including the outstanding principal in the amount of $158.6 million, a prepayment penalty in the amount $11.1 million, an exit fee of $1.6 million, all accrued and unpaid interest outstanding on the Hayfin Credit Facility as of the Ares Closing date, as well as certain fees and expenses related thereto. In connection with the payoff and termination of the Hayfin Credit Facility, the Company also wrote off $15.0 million of unamortized debt discount related to the Hayfin Credit Facility. As a result of this transaction, the Company recorded a loss on the extinguishment of the Hayfin Credit Facility for the year ended December 31, 2023 in the amount of $26.2 million, which is mainly comprised of the write-off of unamortized debt discount and the prepayment penalty.</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auto"/>
        </w:rPr>
        <w:t>On August 14, 2024, the Company repaid $30.0 million against the revolving credit facility and the outstanding balance on the revolving credit facility as of December 31, 2024 was $42.5 million, with an additional $30.0 million of availability through the Ares Maturity Date. The Company is required to pay an unused commitment fee of 0.5% per annum for this availability.</w:t>
      </w:r>
    </w:p>
    <w:p>
      <w:pPr>
        <w:spacing w:after="0" w:line="176"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On December 19, 2024 the Company repaid $30.0 million against the term loan and the outstanding balance on the term loan as of December 31, 2024 was $32.5 million. In connection with the repayment against the term loan, the Company recognized a loss on extinguishment of debt in the approximate amount of $1.2 million, which is comprised of a prepayment penalty in the amount of $0.5 million and a partial write-off of unamortized discount attributable to the term loan in the amount of $0.8 million.</w:t>
      </w:r>
    </w:p>
    <w:p>
      <w:pPr>
        <w:spacing w:after="0" w:line="18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Borrowings under the term loan bear interest at the adjusted Term SOFR for a three-month tenor in effect on the day that is two business days prior to the first day of the applicable calendar quarter plus 6.50%. Borrowings under the revolving facility initially bear interest at the adjusted Term SOFR for a three-month tenor in effect on the day that is two business days prior to the first day of the applicable calendar quarter plus 3.75%. As of December 31, 2024 and December 31, 2023, the interest rate on the term loan was approximately 10.85% and 11.88%, respectively, and the interest rate on the revolving facility was approximately 8.34% and 9.13%, respectively.</w:t>
      </w:r>
    </w:p>
    <w:p>
      <w:pPr>
        <w:spacing w:after="0" w:line="183"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On the Ares Maturity Date, the Company is required to pay Ares the entire outstanding principal amount underlying the Ares Loans and any accrued and unpaid interest thereon. Prior to the Ares Maturity Date, there are no scheduled principal payments on the Ares Credit Facilities. After giving effect to the principal payments made during the year ended December 31, 2024, the Company is required to make quarterly interest payments to Ares of approximately $1.8 million. The Company may prepay the outstanding principal under the revolving facility, together with any accrued but unpaid interest on the prepaid principal amount, at any time and from time to time upon three business days’ prior written notice with no prepayment premium. However, in the event the Company pays down an aggregate amount under the Revolving Facility that is greater than 50% of the $72.5 million commitment amount, the Company will still be required to pay interest on 50% of this amount, or $36.3 million, through the term of Ares Credit Facility. The Company may prepay the outstanding principal on the term loan, together with any accrued but unpaid interest on the prepaid principal amount, at any time and from time to time upon three business days’ prior written notice, subject to the payment to Ares of a prepayment premium equal to (i) the present value as of such date of all remaining required interest payments on the principal amount being repaid plus 1.5% of the prepaid principal amount, if prepaid on or prior to the first anniversary of the Ares Closing Date, (ii) 1.5% of the prepaid principal amount, if prepaid after the first anniversary of the Ares Closing Date and on or prior to the second anniversary of the Ares Closing Date, or (iii) 1.0% of the prepaid principal amount, if prepaid on or prior to the third anniversary of the Ares Closing Date.</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Ares Credit Facility, the Company incurred fees and expenses related to the transaction of $2.8 million, including a $1.7 million original discount payable to Ares, all of which was deducted from the Ares loan proceeds. In addition, the Company is also required to pay Ares an exit fee of $1.7 million upon the earlier of any prepayment date or the Ares Maturity Date, and this obligation was accrued as a separate liability in the Company’s consolidated balance sheet as of December 31, 2023. As a result, the Company recognized an aggregate debt discount of $4.4 million as of the Ares Closing Date, and the weighted-average effective interest rate on the Ares Loans was 10.81% and 11.39% as of December 31, 2024 and 2023, respectively. This debt discount was recorded as a reduction to the face amount of the debt and is being amortized as interest expense over the term of the debt using the interest method. In connection with the prepayment of the term loan on December 19, 2024, the Company also paid a pro rata portion of the exit fee in the amount of $0.4 million, and the balance of the exit fee liability as of December 31, 2024 is $1.3 million.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All of the Company’s obligations under the Ares Credit Agreement are secured by a first-priority lien and security interest in substantially all of the Company’s tangible and intangible assets, including intellectual property and all of the equity interests in the Company’s subsidiaries. The Ares Credit Agreement contains certain representations and warranties, affirmative covenants, negative covenants and conditions that are customarily required for similar debt financings. The negative covenants include certain financial covenants, including maximum total leverage ratios and a $15.0 million minimum liquidity covenant, and also restrict or limit the Company’s ability and the ability of the Company’s subsidiaries to, among other things and subject to certain exceptions contained in the Ares Credit Agreement, incur new indebtedness; create liens on assets; engage in certain fundamental corporate changes, such as mergers or acquisitions, or changes to the Company’s or the Company’s subsidiaries’ business activities; make certain Investments or Restricted Payments (each as defined in the Ares Credit Agreement); engage in certain affiliate transactions; or enter into, amend or terminate any other agreements that have the impact of restricting the Company’s ability to make loan repayments under the Ares Credit Agreement. As of December 31, 2024 the Company was in compliance with all of the covenants contained in the Ares Credit Agreement.</w:t>
      </w:r>
    </w:p>
    <w:p>
      <w:pPr>
        <w:spacing w:after="0" w:line="19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Events of Default on the Ares Loans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the Company will incur an increase in the rate of interest on the Ares Loans of 2% per annum.</w:t>
      </w:r>
    </w:p>
    <w:p>
      <w:pPr>
        <w:spacing w:after="0" w:line="17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On March 23, 2022 (the “Hayfin Closing Date”), the Company and all of its subsidiaries entered into the Hayfin Credit Agreement with Hayfin. The Hayfin Credit Agreement provided for a senior secured term loan facility in a principal amount of up to $175.0 million,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The Hayfin Delayed Draw Loan was not drawn prior to the Ares Closing Date. The Hayfin Credit Facility had a maturity date of March 23, 2027 (the “Hayfin Maturity Date”), subject to acceleration pursuant to the Hayfin Credit Agreement, including upon an Event of Default (as defined in the Hayfin Credit Agreement).</w:t>
      </w:r>
    </w:p>
    <w:p>
      <w:pPr>
        <w:spacing w:after="0" w:line="18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the Hayfin Closing Date, the Company used $100.0 million of the Hayfin Closing Date Loan to terminate and pay in full all of the outstanding obligations under the Company’s previously existing credit facility (the “Perceptive Credit Facility”) with Perceptive Credit Holdings II, LP (“Perceptive”). The Company also used $2.0 million of the Hayfin Closing Date Loan proceeds to pay a redemption premium to Perceptive and used approximately $1.0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In connection with the retirement of the Perceptive Credit Facility and all of the obligations thereunder, the Company recorded a loss on extinguishment of debt in the amount of $6.7 million, consisting of the write-off of unamortized discount related to the Perceptive indebtedness and the redemption premium paid to Perceptive.</w:t>
      </w:r>
    </w:p>
    <w:p>
      <w:pPr>
        <w:spacing w:after="0" w:line="19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Borrowings under the Hayfin Credit Agreement bore interest, at the Company’s election, at the adjusted Term SOFR for a one-month tenor, subject to a floor of 1.25%, plus an applicable margin of 9.5% (the “Applicable Margin”); provided, however, that upon, and during the continuance of, an Event of Default, the Applicable Margin would increase by an additional 3% per annum. On May 1, 2023 the Hayfin Credit Agreement was amended to reduce the Applicable Margin from 9.5% to 8.5%. On the last day of each calendar month prior to the Ares Closing Date, the Company paid accrued interest to Hayfin. The rate of interest in effect as of the Hayfin Closing Date, December 31, 2022 and the Ares Closing Date was 10.75%, approximately 13.7% and approximately 13.9%, respectively. The Company was also permitted to pay “in kind” a portion of the interest on the Hayfin Loans for each monthly interest period in an amount equal to 2.5% per annum, which was added to the principal amount of the outstanding debt under the Hayfin Credit Facility. From the Hayfin Closing Date through December 31, 2022, $3.0 million of interest was paid in kind and added to the balance of the outstanding Hayfin Loans. For the year ended December 31, 2023, $3.8 million of interest was paid in kind and added to the balance of the outstanding Hayfin Loans.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On the Ares Closing Date, the Company paid Hayfin the entire outstanding principal amount underlying the Hayfin Loans and all accrued and unpaid interest thereon, as well as the exit fee of 1.0% of the outstanding principal amount paid. This exit fee had been recorded separately as a non-current liability on the accompanying consolidated balance sheet as of December 31, 2022. In accordance with the terms of the Hayfin Credit Agreement, the Company also paid Hayfin the early prepayment fee in the amount equal to 7.0% of the prepaid principal amount of $158.6 million, or $11.1 million.</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of the Company’s obligations under the Hayfin Credit Agreement were secured by a first-priority lien and security interest in substantially all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tangible and intangible assets, including intellectual property, and all of the equity interests in the Company’s subsidiaries. The Hayfin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contained certain representations and warranties, affirmative covenants, negative covenants and conditions that are customarily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similar debt financings. The negative covenants restricted or limited the ability of the Company and its subsidiaries to, among other things and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certain exceptions contained in the Hayfin Credit Agreement, incur new indebtedness; create liens on assets; engage in certain fundamental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such as mergers or acquisitions, or changes to the Company’s or its subsidiaries’ business activities; make certain Investments or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(each as defined in the Hayfin Credit Agreement); change its fiscal year; pay dividends; repay certain other indebtedness; engage in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transactions; or enter into, amend or terminate any other agreements that have the impact of restricting the Company’s ability to make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repayments under the Hayfin Credit Agreement. In addition, the Company was required (i) at all times prior to the Hayfin Maturity Date to maintain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cash balance of $6.0 million; and (ii) as of the last day of each fiscal quarter, report IVIG product and related revenues for the trailing 12-month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that exceed the amounts set forth in the Hayfin Credit Agreement, which ranged from $75.0 million for the fiscal quarter ended June 30, 2022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$110.0 million for the fiscal quarter ended September 30, 2023. As of the Ares Closing Date and December 31, 2022, the Company was in compliance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covenants contained in the Hayfin Credit Agreement.</w:t>
      </w:r>
    </w:p>
    <w:p>
      <w:pPr>
        <w:spacing w:after="0" w:line="207" w:lineRule="exact"/>
        <w:rPr>
          <w:sz w:val="20"/>
          <w:szCs w:val="20"/>
          <w:color w:val="auto"/>
        </w:rPr>
      </w:pPr>
    </w:p>
    <w:p>
      <w:pPr>
        <w:ind w:right="100" w:firstLine="495"/>
        <w:spacing w:after="0" w:line="254" w:lineRule="auto"/>
        <w:rPr>
          <w:sz w:val="20"/>
          <w:szCs w:val="20"/>
          <w:color w:val="auto"/>
        </w:rPr>
      </w:pPr>
      <w:r>
        <w:rPr>
          <w:rFonts w:ascii="Times New Roman" w:cs="Times New Roman" w:eastAsia="Times New Roman" w:hAnsi="Times New Roman"/>
          <w:sz w:val="18"/>
          <w:szCs w:val="18"/>
          <w:color w:val="auto"/>
        </w:rPr>
        <w:t>As consideration for the Hayfin Credit Agreement, on the Hayfin Closing Date the Company issued to various entities affiliated with Hayfin warrants to purchase an aggregate of 9,103,047 shares of the Company’s common stock (the “Hayfin Warrants”). The Hayfin Warrants have an exercise price equal to $1.6478 per share, which is equal to the trailing 30-day Volume Weighted-average Price of the Company’s common stock on the business day immediately prior to the Hayfin Closing Date. The Hayfin Warrants were valued by the Company at approximately $9.6 million as of the Hayfin Closing Date and have an expiration date of March 23, 2029 (see Note 8). As consideration for the foregoing amendment to the Hayfin Credit Agreement on May 1, 2023, the Company issued additional warrants to the lenders to purchase 2,391,244 shares of the Company’s common stock at an exercise price of $3.2619 per share (the “Hayfin Second Amendment Warrants”). The Hayfin Second Amendment Warrants were valued at approximately $5.6 million and have an expiration date of May 1, 2030.</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result of the upfront fee and exit fee paid or payable to Hayfin, the expenses incurred by the Company in connection with this transaction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the Hayfin Warrants and Hayfin Second Amendment Warrants, the Company recognized a discount on the Hayfin Loans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 million for the year ended December 31, 2022 and an additional debt discount in the year ended December 31, 2023 in the amount of $5.7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debt discount as a reduction to the face amount of the debt, and the debt discount is amortized as interest expense over the life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using the interest method. As of the Ares Closing Date, $15.0 million of the aggregate debt discount associated with the Hayfin Credit Facility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unamortized, and this amount is reflected in the loss on extinguishment of debt for the year ended December 31, 2023. Based on the fair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Hayfin Warrants and the aggregate amount of fees and expenses associated with obtaining the Hayfin Credit Facility, the effective interest rate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Hayfin Loans as of the Hayfin Closing Date and as of December 31, 2022 was approximately 13.0% and 16.1%, respectively.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is currently authorized to issue up to 10 million shares of preferred stock, $0.0001 par value per share. There were no shares of preferred stock outstanding at December 31,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 was authorized to issue 300,000,000 shares of its common stock, $0.0001 par value per share, and 236,620,545 and 226,063,032 shares of common stock were outstanding as of December 31, 2024 and 2023, respectively. After giving effect to shares reserved for the issuance of warrants and for awards issued under the Company’s equity incentive plans, 36,093,118 shares of common stock were available for issuance as of December 31, 2024.</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outstanding stock options aggregating to 1,988,066, 1,444,533 and 68,679 shares, respectively, of common stock were exercised, and the Company received net proceeds from the exercises of approximately $7.5 million, $1.1 million and $0.2 million, respectively.</w:t>
      </w:r>
    </w:p>
    <w:p>
      <w:pPr>
        <w:spacing w:after="0" w:line="176" w:lineRule="exact"/>
        <w:rPr>
          <w:sz w:val="20"/>
          <w:szCs w:val="20"/>
          <w:color w:val="auto"/>
        </w:rPr>
      </w:pPr>
    </w:p>
    <w:p>
      <w:pPr>
        <w:ind w:right="200" w:firstLine="648"/>
        <w:spacing w:after="0" w:line="220" w:lineRule="exact"/>
        <w:rPr>
          <w:sz w:val="20"/>
          <w:szCs w:val="20"/>
          <w:color w:val="auto"/>
        </w:rPr>
      </w:pPr>
      <w:r>
        <w:rPr>
          <w:rFonts w:ascii="Times New Roman" w:cs="Times New Roman" w:eastAsia="Times New Roman" w:hAnsi="Times New Roman"/>
          <w:sz w:val="18"/>
          <w:szCs w:val="18"/>
          <w:color w:val="auto"/>
        </w:rPr>
        <w:t>On December 9, 2022, the Company completed an underwritten public offering whereby the Company issued 24,125,873 shares of its common stock. Net proceeds after underwriting discounts and expenses associated with the offering were approximately $64.6 million and were used to accelerate commercialization and production activities, complete plasma center buildouts and obtain FDA approvals, to conclude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FDA marketing approval research and development projects, and for working capital, capital expenditures and general corporate purposes.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several of the Company’s former noteholders exercised an aggregate of 11,308,702 warrants in cashless exercise transactions resulting in the Company issuing 7,224,892 shares of its common stock. Also during the year ended December 31, 2024, warrants to purchase 227,650 shares of common stock that had been issued to former noteholders of the Company expired in accordance with their terms.</w:t>
      </w:r>
    </w:p>
    <w:p>
      <w:pPr>
        <w:spacing w:after="0" w:line="176"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On June 16, 2023, various entities affiliated with Hayfin exercised 3,388,686 Hayfin Warrants in a cashless exercise transaction resulting in the Company issuing 1,967,847 shares of its common stock to such entities. On May 1, 2023 the Company issued the Hayfin Second Amendment Warrants (see Note 7), which were valued at $5.6 million using the Black-Scholes option-pricing model assuming an expected term of seven years, a volatility of 67.8%, a dividend yield of 0% and a risk-free rate of interest of 3.62%.</w:t>
      </w:r>
    </w:p>
    <w:p>
      <w:pPr>
        <w:spacing w:after="0" w:line="180"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On March 23, 2022, the Company issued the Hayfin Warrants, whereby affiliates of Hayfin may purchase an aggregate of 9,103,047 shares of common stock at an exercise price of $1.6478 per share (see Note 7). The Hayfin Warrants were valued at $9.6 million, using the Black-Scholes option pricing model assuming an expected term of 7 years, a volatility of 68.1%, a dividend yield of 0% and a risk-free interest rate of 2.36%. During the year ended December 31, 2022, warrants to purchase 106,059 shares of common stock that had been issued to former noteholders of the Company expired.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and 2023, the Company had outstanding warrants to purchase an aggregate of 966,554 and 12,502,906 shares, respectively, of common stock, with a weighted average exercise price of $1.98 and $2.32 per share, respectively, and expiration dates ranging between March 2029 and May 2030. The following table summarizes information about warrants outstanding as of December 31, 2024,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4,528,160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(106,059)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9,103,047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13,525,148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2,391,244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(3,388,686)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12,502,906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(227,650)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(11,308,702)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966,554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Incentive Plans</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June 21, 2022, the Company’s stockholders approved the ADMA Biologics, Inc. 2022 Compensation Plan (the “2022 Equity Plan”), which replaced the Company’s Amended and Restated 2014 Omnibus Incentive Compensation Plan (the “2014 Plan”). Approval of the 2022 Equity Plan resulted in approximately 18 million additional shares of the Company’s common stock being reserved for future awards. The 2022 Equity Plan provides for the Company’s Board of Directors (the “Board”) or a Committee of the Board (the “Committee”) to grant awards to grantees and to determine the exercise price, vesting term, expiration date and all other terms and conditions of the awards, including acceleration of the vesting of an award at any time. Any options granted under the 2022 Equity Plan are intended to be Incentive Stock Options (“ISOs”), unless specified by the Committee to be Non-Qualified Options (“NQOs”) as defined by the Internal Revenue Code. ISOs and NQOs may be granted to employees, consultants or Board members at an option price not less than the fair market value of the common stock subject to the stock option agreement. Shares issued in connection with the exercise of stock options or the vesting of RSUs are newly issued shares.</w:t>
      </w:r>
    </w:p>
    <w:p>
      <w:pPr>
        <w:spacing w:after="0" w:line="18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granted options to purchase an aggregate of 1,531,635, 1,826,380 and 1,194,032 shares, respectively, of common stock to employees and directors under the 2022 Equity Plan and 2014 Plan. During the year ended December 31, 2024, options to purchase 2,020,142 shares of common stock were exercised, for which 32,076 shares were withheld to cover the aggregate exercise prices and payroll taxes, and the Company received aggregate net exercise proceeds of $7.5 million. During the year ended December 31, 2023, options to purchase 3,814,122 shares of common stock were exercised, for which 2,109,722 shares were withheld to cover the aggregate exercise prices and 259,867 shares were withheld to cover payroll taxes, and the Company received aggregate net exercise proceeds of $1.1 million.</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fair value of stock options granted was determined on the date of grant using the Black-Scholes model. The Black-Scholes option pricing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the Company utilized the U.S. Treasury yield curve in effect at the time of the grant with a term consistent with the term of the awards granted by the Company. The expected term of all options granted is in accordance with Staff Accounting Bulletins 107 and 110, which is based on the average between vesting terms and contractual terms as the Company had a limited history of option exercises prior to the middle of fiscal 2023. The expected dividend yield reflects the Company’s current and expected future policy for dividends on the Company’s common stock. For the years ended December 31, 2024, 2023 and 2022, the expected stock price volatility for the Company’s stock options was calculated by examining the historical volatility of the Company’s common stock since the stock became publicly traded in the fourth quarter of 2013.</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grant date fair values of stock options awarded during the years ended December 31, 2024, 2023 and 2022 were determined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pricing model with the following assumptions: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11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7220" w:type="dxa"/>
            <w:vAlign w:val="bottom"/>
          </w:tcPr>
          <w:p>
            <w:pPr>
              <w:spacing w:after="0"/>
              <w:rPr>
                <w:sz w:val="16"/>
                <w:szCs w:val="16"/>
                <w:color w:val="auto"/>
              </w:rPr>
            </w:pPr>
          </w:p>
        </w:tc>
        <w:tc>
          <w:tcPr>
            <w:tcW w:w="132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r>
      <w:tr>
        <w:trPr>
          <w:trHeight w:val="245"/>
        </w:trPr>
        <w:tc>
          <w:tcPr>
            <w:tcW w:w="7220" w:type="dxa"/>
            <w:vAlign w:val="bottom"/>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5.5-6.3 years</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5.5-6.3 years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 years</w:t>
            </w: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4.16-4.39%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4.20-4.62%</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1.72-1.73%</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as of December 31, 2024,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53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December 31, 2021</w:t>
            </w:r>
          </w:p>
        </w:tc>
        <w:tc>
          <w:tcPr>
            <w:tcW w:w="33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7,862,722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7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(31,540)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47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(700,324)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500" w:type="dxa"/>
            <w:vAlign w:val="bottom"/>
            <w:gridSpan w:val="3"/>
          </w:tcPr>
          <w:p>
            <w:pPr>
              <w:jc w:val="center"/>
              <w:ind w:left="3652"/>
              <w:spacing w:after="0"/>
              <w:rPr>
                <w:sz w:val="20"/>
                <w:szCs w:val="20"/>
                <w:color w:val="auto"/>
              </w:rPr>
            </w:pPr>
            <w:r>
              <w:rPr>
                <w:rFonts w:ascii="Times New Roman" w:cs="Times New Roman" w:eastAsia="Times New Roman" w:hAnsi="Times New Roman"/>
                <w:sz w:val="18"/>
                <w:szCs w:val="18"/>
                <w:color w:val="auto"/>
                <w:w w:val="99"/>
              </w:rPr>
              <w:t>1,194,032</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3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(68,679)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5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December 31, 2022</w:t>
            </w:r>
          </w:p>
        </w:tc>
        <w:tc>
          <w:tcPr>
            <w:tcW w:w="33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8,256,211</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47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(99,345)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47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(262,940)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4500" w:type="dxa"/>
            <w:vAlign w:val="bottom"/>
            <w:gridSpan w:val="3"/>
            <w:shd w:val="clear" w:color="auto" w:fill="CCEEFF"/>
          </w:tcPr>
          <w:p>
            <w:pPr>
              <w:jc w:val="center"/>
              <w:ind w:left="3652"/>
              <w:spacing w:after="0"/>
              <w:rPr>
                <w:sz w:val="20"/>
                <w:szCs w:val="20"/>
                <w:color w:val="auto"/>
              </w:rPr>
            </w:pPr>
            <w:r>
              <w:rPr>
                <w:rFonts w:ascii="Times New Roman" w:cs="Times New Roman" w:eastAsia="Times New Roman" w:hAnsi="Times New Roman"/>
                <w:sz w:val="18"/>
                <w:szCs w:val="18"/>
                <w:color w:val="auto"/>
                <w:w w:val="99"/>
              </w:rPr>
              <w:t>1,826,380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4700" w:type="dxa"/>
            <w:vAlign w:val="bottom"/>
            <w:gridSpan w:val="4"/>
          </w:tcPr>
          <w:p>
            <w:pPr>
              <w:jc w:val="center"/>
              <w:ind w:left="3452"/>
              <w:spacing w:after="0"/>
              <w:rPr>
                <w:sz w:val="20"/>
                <w:szCs w:val="20"/>
                <w:color w:val="auto"/>
              </w:rPr>
            </w:pPr>
            <w:r>
              <w:rPr>
                <w:rFonts w:ascii="Times New Roman" w:cs="Times New Roman" w:eastAsia="Times New Roman" w:hAnsi="Times New Roman"/>
                <w:sz w:val="18"/>
                <w:szCs w:val="18"/>
                <w:color w:val="auto"/>
                <w:w w:val="99"/>
              </w:rPr>
              <w:t>(3,814,122)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December 31, 2023</w:t>
            </w:r>
          </w:p>
        </w:tc>
        <w:tc>
          <w:tcPr>
            <w:tcW w:w="336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5,906,184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7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(30,094)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47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(246,067)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500" w:type="dxa"/>
            <w:vAlign w:val="bottom"/>
            <w:gridSpan w:val="3"/>
          </w:tcPr>
          <w:p>
            <w:pPr>
              <w:jc w:val="center"/>
              <w:ind w:left="3652"/>
              <w:spacing w:after="0"/>
              <w:rPr>
                <w:sz w:val="20"/>
                <w:szCs w:val="20"/>
                <w:color w:val="auto"/>
              </w:rPr>
            </w:pPr>
            <w:r>
              <w:rPr>
                <w:rFonts w:ascii="Times New Roman" w:cs="Times New Roman" w:eastAsia="Times New Roman" w:hAnsi="Times New Roman"/>
                <w:sz w:val="18"/>
                <w:szCs w:val="18"/>
                <w:color w:val="auto"/>
                <w:w w:val="99"/>
              </w:rPr>
              <w:t>1,531,635</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r>
      <w:tr>
        <w:trPr>
          <w:trHeight w:val="22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3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(2,020,142)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5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December 31, 2024</w:t>
            </w:r>
          </w:p>
        </w:tc>
        <w:tc>
          <w:tcPr>
            <w:tcW w:w="33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5,141,516</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r>
      <w:tr>
        <w:trPr>
          <w:trHeight w:val="20"/>
        </w:trPr>
        <w:tc>
          <w:tcPr>
            <w:tcW w:w="5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3360" w:type="dxa"/>
            <w:vAlign w:val="bottom"/>
          </w:tcPr>
          <w:p>
            <w:pPr>
              <w:spacing w:after="0"/>
              <w:rPr>
                <w:sz w:val="18"/>
                <w:szCs w:val="18"/>
                <w:color w:val="auto"/>
              </w:rPr>
            </w:pPr>
          </w:p>
        </w:tc>
        <w:tc>
          <w:tcPr>
            <w:tcW w:w="112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2,657,932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5320" w:type="dxa"/>
            <w:vAlign w:val="bottom"/>
          </w:tcPr>
          <w:p>
            <w:pPr>
              <w:spacing w:after="0"/>
              <w:rPr>
                <w:sz w:val="24"/>
                <w:szCs w:val="24"/>
                <w:color w:val="auto"/>
              </w:rPr>
            </w:pPr>
          </w:p>
        </w:tc>
        <w:tc>
          <w:tcPr>
            <w:tcW w:w="4700" w:type="dxa"/>
            <w:vAlign w:val="bottom"/>
            <w:gridSpan w:val="4"/>
          </w:tcPr>
          <w:p>
            <w:pPr>
              <w:jc w:val="right"/>
              <w:ind w:right="4260"/>
              <w:spacing w:after="0"/>
              <w:rPr>
                <w:sz w:val="20"/>
                <w:szCs w:val="20"/>
                <w:color w:val="auto"/>
              </w:rPr>
            </w:pPr>
            <w:r>
              <w:rPr>
                <w:rFonts w:ascii="Times New Roman" w:cs="Times New Roman" w:eastAsia="Times New Roman" w:hAnsi="Times New Roman"/>
                <w:sz w:val="14"/>
                <w:szCs w:val="14"/>
                <w:color w:val="auto"/>
              </w:rPr>
              <w:t>F-25</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32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$6.7 million of unrecognized compensation expense related to stock options granted under the Company’s equity incentive plans, which is expected to be recognized over a weighted-average period of 2.8 years. The weighted average remaining contractual term of stock options outstanding and expected to vest at December 31, 2024 is 7.1 years. The weighted average remaining contractual term of stock options exercisable at December 31, 2024 is 5.7 years. The following table summarizes additional information regarding outstanding and exercisable options under the stock option plans at December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Stock Options Exercisable</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98"/>
        </w:trPr>
        <w:tc>
          <w:tcPr>
            <w:tcW w:w="3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Weighted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Average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Remaining</w:t>
            </w: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Aggregate</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Remaining</w:t>
            </w: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3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Contractual</w:t>
            </w: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Intrinsic</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Contractual</w:t>
            </w: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16"/>
        </w:trPr>
        <w:tc>
          <w:tcPr>
            <w:tcW w:w="31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Range of</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Options</w:t>
            </w:r>
          </w:p>
        </w:tc>
        <w:tc>
          <w:tcPr>
            <w:tcW w:w="2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Life</w:t>
            </w: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Exercise</w:t>
            </w:r>
          </w:p>
        </w:tc>
        <w:tc>
          <w:tcPr>
            <w:tcW w:w="140" w:type="dxa"/>
            <w:vAlign w:val="bottom"/>
          </w:tcPr>
          <w:p>
            <w:pPr>
              <w:spacing w:after="0"/>
              <w:rPr>
                <w:sz w:val="18"/>
                <w:szCs w:val="18"/>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Value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Options</w:t>
            </w:r>
          </w:p>
        </w:tc>
        <w:tc>
          <w:tcPr>
            <w:tcW w:w="18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Life</w:t>
            </w: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Exercise</w:t>
            </w:r>
          </w:p>
        </w:tc>
        <w:tc>
          <w:tcPr>
            <w:tcW w:w="140" w:type="dxa"/>
            <w:vAlign w:val="bottom"/>
          </w:tcPr>
          <w:p>
            <w:pPr>
              <w:spacing w:after="0"/>
              <w:rPr>
                <w:sz w:val="18"/>
                <w:szCs w:val="18"/>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41"/>
        </w:trPr>
        <w:tc>
          <w:tcPr>
            <w:tcW w:w="31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Exercise Prices</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Outstanding</w:t>
            </w:r>
          </w:p>
        </w:tc>
        <w:tc>
          <w:tcPr>
            <w:tcW w:w="2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(Years)</w:t>
            </w:r>
          </w:p>
        </w:tc>
        <w:tc>
          <w:tcPr>
            <w:tcW w:w="140" w:type="dxa"/>
            <w:vAlign w:val="bottom"/>
          </w:tcPr>
          <w:p>
            <w:pPr>
              <w:spacing w:after="0"/>
              <w:rPr>
                <w:sz w:val="20"/>
                <w:szCs w:val="20"/>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Price</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($000’s)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Outstanding</w:t>
            </w:r>
          </w:p>
        </w:tc>
        <w:tc>
          <w:tcPr>
            <w:tcW w:w="18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(Years)</w:t>
            </w:r>
          </w:p>
        </w:tc>
        <w:tc>
          <w:tcPr>
            <w:tcW w:w="140" w:type="dxa"/>
            <w:vAlign w:val="bottom"/>
          </w:tcPr>
          <w:p>
            <w:pPr>
              <w:spacing w:after="0"/>
              <w:rPr>
                <w:sz w:val="20"/>
                <w:szCs w:val="20"/>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Price</w:t>
            </w: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($000’s)</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$1.10 - $1.67</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981,093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1.60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676,542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6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$1.73 - $2.60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629,655</w:t>
            </w:r>
          </w:p>
        </w:tc>
        <w:tc>
          <w:tcPr>
            <w:tcW w:w="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9,336</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585,771</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8,683</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$2.67 - $4.01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1,809,746</w:t>
            </w:r>
          </w:p>
        </w:tc>
        <w:tc>
          <w:tcPr>
            <w:tcW w:w="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24,868</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1,012,271</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13,863</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$4.09 - $6.14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1,264,083</w:t>
            </w:r>
          </w:p>
        </w:tc>
        <w:tc>
          <w:tcPr>
            <w:tcW w:w="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14,913</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361,848</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4,312</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$6.54 - $9.81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307,828</w:t>
            </w:r>
          </w:p>
        </w:tc>
        <w:tc>
          <w:tcPr>
            <w:tcW w:w="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3,248</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$10.80 - $17.49</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149,111</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8.74</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14,000</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r>
      <w:tr>
        <w:trPr>
          <w:trHeight w:val="257"/>
        </w:trPr>
        <w:tc>
          <w:tcPr>
            <w:tcW w:w="3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5,141,516</w:t>
            </w:r>
          </w:p>
        </w:tc>
        <w:tc>
          <w:tcPr>
            <w:tcW w:w="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68,117</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2,657,932</w:t>
            </w:r>
          </w:p>
        </w:tc>
        <w:tc>
          <w:tcPr>
            <w:tcW w:w="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37,540</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80" w:firstLine="63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granted RSUs representing an aggregate of 3,278,688, 3,389,760 and 1,174,266 shares, respectively, to certain employees and consultants of the Company and to members of the Board. The RSUs generally vest annually over a period of four years for employees and semi-annually over a period of one year for directors.</w:t>
      </w:r>
    </w:p>
    <w:p>
      <w:pPr>
        <w:spacing w:after="0" w:line="17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2024, 2023 and 2022, 1,886,463, 1,199,445 and 2,727,412 shares, respectively, vested in connection with grants of RSUs. With respect to RSUs vested during the year ended December 31, 2024, 541,908 shares valued at approximately $5.0 million were withheld were withheld to cover employees’ tax liabilities. With respect to RSUs vested during the year ended December 31, 2023, 365,722 shares valued at approximately $1.3 million were withheld by the Company to cover employees’ tax liabilities. With respect to the RSUs vested during the year ended December 31, 2022, 918,851 shares valued at approximately $2.9 million were withheld by the Company to cover employees’ tax liabilities. All of these shares have been retired by the Company or were otherwise no longer outstanding as of December 31, 2024. A summary of the Company’s unvested RSU activity and related information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45"/>
        </w:trPr>
        <w:tc>
          <w:tcPr>
            <w:tcW w:w="8600" w:type="dxa"/>
            <w:vAlign w:val="bottom"/>
          </w:tcPr>
          <w:p>
            <w:pPr>
              <w:spacing w:after="0"/>
              <w:rPr>
                <w:sz w:val="21"/>
                <w:szCs w:val="21"/>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4,485,133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1,174,266</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(2,727,412)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2,866,987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3,389,760</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(1,199,445)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(400,005)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4,657,297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3,278,688</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(1,886,463)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(303,532)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56"/>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5,745,990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r>
    </w:tbl>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$25.3 million of unrecognized compensation expense related to unvested RSUs granted under the Company’s equity incentive plans, which is expected to be recognized over a weighted-average period of 3.1 years.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three of the Company’s employees and one of the Company’s non-employee directors received modifications to their outstanding stock option and RSU awards in connection with their departure from the Company or transition from an employee to a consulting role (see Note 9). The modifications allowed, among other things, the former employees to continue to participate in the Company’s equity incentive plans with respect to certain of their outstanding awards when they would otherwise not be eligible to do so. In connection with these modifications, the Company recognized an aggregate of $2.5 million of additional compensation expense in the year ended December 31, 2024. Total stock-based compensation expense for all awards granted under the Company’s equity incentive plans for the years ended December 31, 2024, 2023 and 2022 was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2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4,717</w:t>
            </w:r>
          </w:p>
        </w:tc>
      </w:tr>
      <w:tr>
        <w:trPr>
          <w:trHeight w:val="223"/>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r>
      <w:tr>
        <w:trPr>
          <w:trHeight w:val="257"/>
        </w:trPr>
        <w:tc>
          <w:tcPr>
            <w:tcW w:w="16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85"/>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34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RELATED PARTY TRANSACTIONS</w:t>
            </w: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The Company leases an office building and equipment from Areth, LLC (“Areth”) pursuant to an agreement for services effective as of January 1, 2016, as amended from time to time, and pays monthly rent on this facility in the amount of $10,000. On October 18, 2022, the Company amended the agreement to extend its term to December 31, 2026, with automatic successive one-year renewals thereafter. Either party may terminate the agreement by providing the other party with one year’s prior written notice. Rent expense for the years ended December 31, 2024, 2023 and 2022 amounted to $0.1 million. Areth is a company controlled by Dr. Jerrold B. Grossman, the Vice Chairman of the Board, and Adam S. Grossman, the Company’s President and Chief Executive Officer. The Company also reimburses Areth for office, warehousing and building related (common area) expenses, equipment and certain other operational expenses, which were not material to the consolidated financial statements for the years ended December 31, 2024, 2023 and 2022.</w:t>
      </w:r>
    </w:p>
    <w:p>
      <w:pPr>
        <w:spacing w:after="0" w:line="17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purchased certain specialized equipment and repair services used for the collection and processing of source plasma from GenesisBPS and its affiliates (“Genesis”) in the amount of $0.2 million, $0.4 million and $0.2 million, respectively. Genesis is owned by Dr. Grossman and Adam Grossman.</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November 19, 2024, the Company entered into an agreement with Bryant Fong whereby the Company agreed, in conjunction with Mr. Fong’s resignation from the Board, to immediately vest all of Mr. Fong’s 12,020 unvested RSUs. The agreement also extended the post-termination exercise period for his vested stock options from 90 days to two years (or earlier, if such options’ 10-year expiration date occurs sooner than November 19, 2026). All of Mr. Fong’s unvested stock options were forfeited in accordance with the terms of the 2022 Equity Plan. In connection with this modification of Mr. Fong’s equity awards, the Company recorded additional compensation expense of $0.3 million (see Note 8) in the year ended December 31, 2024.</w:t>
      </w:r>
    </w:p>
    <w:p>
      <w:pPr>
        <w:spacing w:after="0" w:line="183"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On April 1, 2024, the Company entered into a consulting agreement with Brian Lenz, the Company’s former Executive Vice President, Chief Financial Officer and General Manager, ADMA BioCenters, whereby Mr. Lenz’s outstanding equity awards were modified in connection with his transition to a consulting role. Under the terms of the consulting agreement, Mr. Lenz remained eligible to participate in the Company’s equity compensation plans with respect to continued vesting of the subject awards as set forth in the agreement. In addition, the post-termination exercise period for Mr. Lenz’s vested stock options was extended from 90 days to two years from the date of the consulting agreement (or earlier, if such options’ 10-year expiration date occurs sooner than March 31, 2026). In connection with this modification, the Company recorded $1.6 million of additional compensation expense for the year ended December 31, 2024.</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August 15, 2023, two of the Company’s executive officers exercised options to purchase 2,909,721 shares of the Company’s common stock on a cashless basis, and 688,657 shares of common stock were issued to these executive officers, net of 257,867 shares of common stock to cover a portion of their tax liabilities (see Note 8).</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See Note 7 for a discussion of the Company’s prior credit facility and related transactions with Perceptive, a holder of more than 5% of the Company’s common stock during the year ended December 31, 2022.</w:t>
      </w:r>
    </w:p>
    <w:p>
      <w:pPr>
        <w:spacing w:after="0" w:line="162"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2022 public offering of the Company’s common stock (see Note 8) on December 9, 2022: (i) Mr. Grossman purchased 14,983 shares of common stock directly and 14,982 shares of common stock indirectly through an entity he controls, and (ii) Mr. Lenz purchased 6,993 shares of common stock, all at the public offering price of $2.86 per share.</w:t>
      </w:r>
    </w:p>
    <w:p>
      <w:pPr>
        <w:spacing w:after="0" w:line="172"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Legal Matters</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 Systems Disruption</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June 19, 2023, the Company experienced an IT systems disruption, which rendered certain of the Company’s IT technology systems inaccessible for less than one week. The Company’s investigation of the disruption has essentially been completed with the assistance of third-party consultants, and no definitive root cause was identified. At the time of the disruption, the Company was in production of two batches of BIVIGAM, and after a prolonged hold time, it was deemed to be a prudent GMP quality decision to discard these two in-process production batches as these batches were no longer viable for further production or had any alternative use. As a result, the Company recorded a one-time, non-recurring charge of $2.1 million in the second quarter of 2023 for this inventory, which is reflected in Cost of product revenue in the accompanying consolidated statement of operations for the year ending December 31, 2023. In addition, the Company’s Plasma center operating expenses were adversely impacted by approximately $0.7 million due to the temporary closing of the Company’s plasma collection centers while their IT systems were restored.</w:t>
      </w:r>
    </w:p>
    <w:p>
      <w:pPr>
        <w:spacing w:after="0" w:line="19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carries appropriate insurance for these types of instances. During each of the years ended December 31, 2024 and 2023, the Company’s cybersecurity insurer paid the Company an aggregate of $0.2 million for approved restoration-related costs. During the first quarter of 2025, the Company’s cybersecurity insurer paid the Company $0.4 million in business interruption loss coverage.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Vendor Commitments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terms of a Plasma Purchase Agreement dated as of November 17, 2011 (the “2011 Plasma Purchase Agreement”), the Company agreed to purchase from its former contract manufacturer an annual minimum volume of source plasma containing antibodies to RSV to be used in the manufacture of ASCENIV. The Company must purchase a to-be-determined and agreed upon annual minimum volume from the counterparty, and under the original 2011 Plasma Purchase Agreement the Company was permitted to also collect high-titer plasma from up to five wholly-owned ADMA plasma collection facilities. During 2015, the Company amended the 2011 Plasma Purchase Agreement to (i) allow the Company to collect its raw material high-titer plasma from any number of wholly-owned ADMA plasma collection facilities and (ii) allow the Company to purchase its raw material high-titer plasma from other third-party collection organizations, in each case, provided that the annual minimum volumes from the Company’s former contract manufacturer were met, thus allowing the Company to expand its reach for raw material supply as it executes its commercialization plans for ASCENIV. On December 10, 2018, the Company’s former contract manufacturer assigned its rights and obligations under the 2011 Plasma Purchase Agreement to Grifols Worldwide Operations Limited (“Grifols”) as its successor-in-interest, effective January 1, 2019. Effective October 1, 2024, the Company entered into an Amended and Restated Plasma Purchase Agreement with Grifols (the “A&amp;R Grifols Agreement”) with a term expiring in September 2039, after which it may be renewed for two additional multi-year periods if agreed to by the parties. Pursuant to the A&amp;R Grifols Agreement, Grifols supplies, on a non-exclusive basis, to ADMA BioManufacturing a minimum of 35,000 liters of RSV plasma annually to be used in the manufacture of ASCENIV, with an escalating price per liter depending on the volume supplied in a given 12-month period, with a minimum annual price increase every 12 months. Additionally, Grifols will be entitled to receive a fixed bonus payment in the event that a specified liter amount of high-titer plasma is supplied to the Company in any 12-month period during the term of the A&amp;R Grifols Agreement.</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Effective August 6, 2024, the Company entered into a Plasma Purchase Agreement with KEDPlasma LLC (“KEDPlasma”) with a term expiring in July 2031, after which it may be renewed for an additional five-year period if agreed to by the parties (the “KEDPlasma Agreement”). Pursuant to the KEDPlasma Agreement, KEDPlasma supplies, on a non-exclusive basis, to ADMA BioManufacturing a minimum of 35,000 liters of RSV plasma annually commencing with the 12-month period ending July 31, 2026, with an escalating price per liter depending on the volume supplied in a given 12-month period. The price per liter of high-titer plasma supplied pursuant to the KEDPlasma Agreement is also scheduled to increase on an annual basis. Additionally, KEDPlasma will be entitled to receive a fixed bonus payment in the event that a specified liter amount of RSV plasma is supplied to the Company in any 12-month period during the term of the KEDPlasma Agreement.</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June 6, 2017, the Company entered into a Plasma Supply Agreement with its former contract manufacturer, pursuant to which the counterparty supplies, on an exclusive basis subject to certain exceptions, to ADMA BioManufacturing an annual minimum volume of hyperimmune plasma that contain antibodies to the Hepatitis B virus for the manufacture of Nabi-HB. The Plasma Supply Agreement has a 10-year term. On July 19, 2018, the Plasma Supply Agreement was amended to provide, among other things, that in the event the counterparty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the counterparty, then the counterparty shall reimburse ADMA BioManufacturing for the difference in price ADMA BioManufacturing incurs. On December 10, 2018, the Company’s former contract manufacturer assigned its rights and obligations under the Plasma Supply Agreement to Grifols, effective January 1, 2019.</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Post-Marketing Commitments</w:t>
      </w:r>
    </w:p>
    <w:p>
      <w:pPr>
        <w:spacing w:after="0" w:line="225"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FDA approval of ASCENIV on April 1, 2019, the Company is required to perform a pediatric study to evaluate the safety and efficacy of ASCENIV in children and adolescents, for which patient enrollment has been successfully completed. For the years ended December 31, 2024, 2023 and 2022, the Company incurred expenses related to this study in the amount of $1.2 million, $1.0 million and $0.5 million, respectively. The Company expects to incur expenses of approximately $1.0 million to complete this study, which is required to be completed by June of 2026.</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FDA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were required to be completed by June 30, 2023. Both studies have been completed and the study reports have been submitted to the FDA. ADMA had assumed the remaining obligations, and the costs of the studies were expensed as incurred as research and development expenses. The Company did not incur any expenses related to this commitment for the year ended December 31, 2024. For the years ended December 31, 2023 and 2022, the Company incurred expenses related to these studies of $1.7 million and $2.2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Commitments</w:t>
      </w:r>
    </w:p>
    <w:p>
      <w:pPr>
        <w:spacing w:after="0" w:line="225"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December 31, 2024. The Company does not anticipate recognizing any significant losses relating to these arrangements.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income tax expense (benefit)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7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w:t>
            </w:r>
          </w:p>
        </w:tc>
        <w:tc>
          <w:tcPr>
            <w:tcW w:w="2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w:t>
            </w:r>
          </w:p>
        </w:tc>
        <w:tc>
          <w:tcPr>
            <w:tcW w:w="25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benefit from income taxes</w:t>
            </w:r>
          </w:p>
        </w:tc>
        <w:tc>
          <w:tcPr>
            <w:tcW w:w="25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(71,959)</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8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A reconciliation of income taxes at the U.S. federal statutory rate to the benefit for income taxes is as follows: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7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7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(benefit) at U.S. federal statutory rate</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(1,773)</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benefits related to stock-based compensation</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15,117</w:t>
            </w: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r>
      <w:tr>
        <w:trPr>
          <w:trHeight w:val="257"/>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(71,959)</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760" w:type="dxa"/>
            <w:vAlign w:val="bottom"/>
          </w:tcPr>
          <w:p>
            <w:pPr>
              <w:spacing w:after="0"/>
              <w:rPr>
                <w:sz w:val="24"/>
                <w:szCs w:val="24"/>
                <w:color w:val="auto"/>
              </w:rPr>
            </w:pPr>
          </w:p>
        </w:tc>
        <w:tc>
          <w:tcPr>
            <w:tcW w:w="2800" w:type="dxa"/>
            <w:vAlign w:val="bottom"/>
            <w:gridSpan w:val="2"/>
          </w:tcPr>
          <w:p>
            <w:pPr>
              <w:jc w:val="right"/>
              <w:ind w:right="1710"/>
              <w:spacing w:after="0"/>
              <w:rPr>
                <w:sz w:val="20"/>
                <w:szCs w:val="20"/>
                <w:color w:val="auto"/>
              </w:rPr>
            </w:pPr>
            <w:r>
              <w:rPr>
                <w:rFonts w:ascii="Times New Roman" w:cs="Times New Roman" w:eastAsia="Times New Roman" w:hAnsi="Times New Roman"/>
                <w:sz w:val="14"/>
                <w:szCs w:val="14"/>
                <w:color w:val="auto"/>
              </w:rPr>
              <w:t>F-30</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76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6"/>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ADMA BIOLOGICS, INC. AND SUBSIDIARIES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are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18"/>
                <w:szCs w:val="18"/>
                <w:color w:val="auto"/>
              </w:rPr>
            </w:pPr>
          </w:p>
        </w:tc>
        <w:tc>
          <w:tcPr>
            <w:tcW w:w="1560" w:type="dxa"/>
            <w:vAlign w:val="bottom"/>
            <w:gridSpan w:val="3"/>
          </w:tcPr>
          <w:p>
            <w:pPr>
              <w:ind w:left="52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76,645</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limitation carryforwards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21,165</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1,795</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obligations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2,330</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93,981</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valuation allowance for deferred tax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(101,422)</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93,981</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(6,166)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(6,837)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8"/>
                <w:szCs w:val="18"/>
                <w:color w:val="auto"/>
              </w:rPr>
            </w:pPr>
          </w:p>
        </w:tc>
        <w:tc>
          <w:tcPr>
            <w:tcW w:w="1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(2,247)</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(2,077)</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(1,288)</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0" w:type="dxa"/>
            <w:vAlign w:val="bottom"/>
          </w:tcPr>
          <w:p>
            <w:pPr>
              <w:spacing w:after="0"/>
              <w:rPr>
                <w:sz w:val="19"/>
                <w:szCs w:val="19"/>
                <w:color w:val="auto"/>
              </w:rPr>
            </w:pPr>
          </w:p>
        </w:tc>
        <w:tc>
          <w:tcPr>
            <w:tcW w:w="1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(9,701)</w:t>
            </w: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(9,281)</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has federal and state (post-apportioned basis) net operating losses (“NOLs”) of $265.6 million and $204.0 million, respectively. Approximately $33.4 million and $62.0 million of the foregoing Federal and state NOLs, respectively, will expire at various dates from 2029 through 2043, if not limited by triggering events prior to such time. Under the provisions of the Internal Revenue Code, changes in ownership of the Company, in certain circumstances, would limit the amount of federal NOLs that can be utilized annually in the future to offset taxable income. In particular, Section 382 of the Internal Revenue Code (“Section 382”) imposes limitations on an entity’s ability to use NOLs upon certain changes in ownership. If the Company is limited in its ability to use its NOLs in future years in which it has taxable income, then the Company will pay more taxes than if it were otherwise able to fully utilize its NOLs. The Company may experience ownership changes in the future as a result of subsequent shifts in ownership of the Company’s capital stock that the Company cannot predict or control that could result in further limitations being placed on the Company’s ability to utilize its Federal NOLs. The annual amount of Federal NOLs that expire each year is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Expiration Date</w:t>
            </w:r>
          </w:p>
        </w:tc>
        <w:tc>
          <w:tcPr>
            <w:tcW w:w="820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Remaining Available</w:t>
            </w:r>
          </w:p>
        </w:tc>
      </w:tr>
      <w:tr>
        <w:trPr>
          <w:trHeight w:val="216"/>
        </w:trPr>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8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shd w:val="clear" w:color="auto" w:fill="CCEEFF"/>
          </w:tcPr>
          <w:p>
            <w:pPr>
              <w:spacing w:after="0"/>
              <w:rPr>
                <w:sz w:val="18"/>
                <w:szCs w:val="18"/>
                <w:color w:val="auto"/>
              </w:rPr>
            </w:pPr>
          </w:p>
        </w:tc>
      </w:tr>
      <w:tr>
        <w:trPr>
          <w:trHeight w:val="216"/>
        </w:trPr>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2032</w:t>
            </w:r>
          </w:p>
        </w:tc>
        <w:tc>
          <w:tcPr>
            <w:tcW w:w="8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00" w:type="dxa"/>
            <w:vAlign w:val="bottom"/>
          </w:tcPr>
          <w:p>
            <w:pPr>
              <w:spacing w:after="0"/>
              <w:rPr>
                <w:sz w:val="18"/>
                <w:szCs w:val="18"/>
                <w:color w:val="auto"/>
              </w:rPr>
            </w:pPr>
          </w:p>
        </w:tc>
      </w:tr>
      <w:tr>
        <w:trPr>
          <w:trHeight w:val="216"/>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8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100" w:type="dxa"/>
            <w:vAlign w:val="bottom"/>
            <w:shd w:val="clear" w:color="auto" w:fill="CCEEFF"/>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2034</w:t>
            </w:r>
          </w:p>
        </w:tc>
        <w:tc>
          <w:tcPr>
            <w:tcW w:w="8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8"/>
                <w:szCs w:val="18"/>
                <w:color w:val="auto"/>
              </w:rPr>
            </w:pPr>
          </w:p>
        </w:tc>
      </w:tr>
      <w:tr>
        <w:trPr>
          <w:trHeight w:val="216"/>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2035</w:t>
            </w:r>
          </w:p>
        </w:tc>
        <w:tc>
          <w:tcPr>
            <w:tcW w:w="8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c>
          <w:tcPr>
            <w:tcW w:w="8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8"/>
                <w:szCs w:val="18"/>
                <w:color w:val="auto"/>
              </w:rPr>
            </w:pPr>
          </w:p>
        </w:tc>
      </w:tr>
      <w:tr>
        <w:trPr>
          <w:trHeight w:val="216"/>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2037</w:t>
            </w:r>
          </w:p>
        </w:tc>
        <w:tc>
          <w:tcPr>
            <w:tcW w:w="8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00" w:type="dxa"/>
            <w:vAlign w:val="bottom"/>
            <w:shd w:val="clear" w:color="auto" w:fill="CCEEFF"/>
          </w:tcPr>
          <w:p>
            <w:pPr>
              <w:spacing w:after="0"/>
              <w:rPr>
                <w:sz w:val="18"/>
                <w:szCs w:val="18"/>
                <w:color w:val="auto"/>
              </w:rPr>
            </w:pPr>
          </w:p>
        </w:tc>
      </w:tr>
      <w:tr>
        <w:trPr>
          <w:trHeight w:val="223"/>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82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232,240</w:t>
            </w:r>
          </w:p>
        </w:tc>
        <w:tc>
          <w:tcPr>
            <w:tcW w:w="100" w:type="dxa"/>
            <w:vAlign w:val="bottom"/>
          </w:tcPr>
          <w:p>
            <w:pPr>
              <w:spacing w:after="0"/>
              <w:rPr>
                <w:sz w:val="19"/>
                <w:szCs w:val="19"/>
                <w:color w:val="auto"/>
              </w:rPr>
            </w:pPr>
          </w:p>
        </w:tc>
      </w:tr>
      <w:tr>
        <w:trPr>
          <w:trHeight w:val="257"/>
        </w:trPr>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8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265,606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 valuation allowance, if needed, reduces deferred tax assets to the amount expected to be realized. When determining the amount of net deferred tax assets that are more likely than not to be realized, the Company assesses all available positive and negative evidence. This evidence includes, but is not limited to, prior earnings history, expected future earnings, carry-back and carry-forward periods and the feasibility of ongoing tax strategies that could potentially enhance the likelihood of the realization of a deferred tax asset. The weight given to the positive and negative evidence is commensurate with the extent the evidence may be objectively verified.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believes it is more-likely-than-not that the Company’s federal and state deferred tax assets will be realized. The Company recorded a release of its valuation allowance associated with federal and state deferred tax assets which was due in part to achieving three years of cumulative taxable income and projected taxable income that is more than adequate to realize the Company’s federal and state deferred tax assets. As a result, the Company reversed the federal and state valuation allowance recorded as of December 31, 2023 of $88.0 million and $13.4 million, respectively, resulting in a tax benefit to the income tax provision for the year ended December 31, 2024.</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Derecognition of a tax benefit previously recognized could result in the Company recording a tax liability that would reduce net assets. The amount of the liability for which an exposure exists is measured as the largest amount of benefit determined on a cumulative probability basis that the Company believes is more likely than not to be realized upon ultimate settlement of the position. Components of the liability are classified as either a current or a long-term liability in the accompanying consolidated balance sheets based on when the Company expects each of the items to be settled. The Company does not have any unrecognized tax benefits as of December 31, 2024 and 2023 and does not anticipate a significant change in unrecognized tax benefits during the next 12 months.</w:t>
      </w:r>
    </w:p>
    <w:p>
      <w:pPr>
        <w:spacing w:after="0" w:line="18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jurisdictions. All net operating losses and tax credits generated to date are subject to adjustment for U.S. federal and state income tax purposes. The Company’s income tax returns are open to examination for tax years 2007 through 2023.</w:t>
      </w:r>
    </w:p>
    <w:p>
      <w:pPr>
        <w:spacing w:after="0" w:line="172" w:lineRule="exact"/>
        <w:rPr>
          <w:sz w:val="20"/>
          <w:szCs w:val="20"/>
          <w:color w:val="auto"/>
        </w:rPr>
      </w:pPr>
    </w:p>
    <w:p>
      <w:pPr>
        <w:ind w:left="500" w:hanging="492"/>
        <w:spacing w:after="0"/>
        <w:tabs>
          <w:tab w:leader="none" w:pos="5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 OBLIGATIONS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leases certain properties and equipment for its ADMA BioCenters and ADMA BioManufacturing subsidiaries,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 Upon adoption of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effective January 1, 2019, the Company elected the package of practical expedients, which permits the Company to not reassess under the new standard its prior conclusions about lease identification, lease classification and initial direct costs. In addition, the Company elected the short-term lease recognition exemption for all leases that qualify,</w:t>
      </w:r>
    </w:p>
    <w:p>
      <w:pPr>
        <w:spacing w:after="0" w:line="18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an operating lease or a financing lease at inception. Leases with an initial term of 12 months or less are not recorded on the balance sheet and lease expense for such leases are recognized on a straight-line basis over the lease term. All other leases are recorded on the balance sheet with assets representing the right to use the underlying asset for the lease term and lease liabilities representing the obligation to make lease payments arising from the lease. Right-of-use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estimated incremental borrowing rate as of the lease commencement date. There were no new material leases entered into during the year ended December 31, 2024. For the lease liabilities recognized during the years ended December 31, 2023 and 2022, the Company used discount rates of 13% to 16%, representing a weighted average discount rate of 13.02%, to determine the present value of its lease obligations. The Company’s operating lease expense is recognized on a straight-line basis over the lease term and is reflected in Plasma center operating expenses and Selling, general and administrative expenses in the accompanying consolidated statements of operations. Aggregate lease expense for the Company’s operating leases for the years ended December 31, 2024, 2023 and 2022 was $2.4 million, $2.4 million and $2.1 million, respectively. Aggregate cash paid on these leases for the years ended December 31, 2024, 2023 and 2022 was $2.4 million, $2.4 million and $1.8 million, respectively.</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one additional right-of-use asset and corresponding lease liability in the amount of $0.1 million for office equipment leased for the Boca Facility. During the year ended December 31, 2022, the Company recognized additional right-of-use assets and corresponding lease liabilities aggregating to approximately $4.0 million in connection with two new property leases where the Company has opened additional plasma collection facilities, a property lease for the storage of raw materials inventory and a property lease for the building that the Company utilizes as its corporate headquarters (see Note 9). The Company has aggregate lease liabilities of $9.8 million and $10.8 million as of December 31, 2024 and 2023, respectively, which are comprised primarily of the leases for the Company’s plasma collection centers. The Company’s operating leases have a weighted average remaining term of 6.8 years. Scheduled payments under the Company’s lease obligations are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payments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(5,078)</w:t>
            </w:r>
          </w:p>
        </w:tc>
      </w:tr>
      <w:tr>
        <w:trPr>
          <w:trHeight w:val="22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(1,218)</w:t>
            </w:r>
          </w:p>
        </w:tc>
      </w:tr>
      <w:tr>
        <w:trPr>
          <w:trHeight w:val="216"/>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tcBorders>
              <w:top w:val="single" w:sz="8" w:color="CCEEFF"/>
            </w:tcBorders>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SEGMENTS</w:t>
      </w:r>
    </w:p>
    <w:p>
      <w:pPr>
        <w:spacing w:after="0" w:line="229" w:lineRule="exact"/>
        <w:rPr>
          <w:sz w:val="20"/>
          <w:szCs w:val="20"/>
          <w:color w:val="auto"/>
        </w:rPr>
      </w:pPr>
    </w:p>
    <w:p>
      <w:pPr>
        <w:ind w:right="60" w:firstLine="607"/>
        <w:spacing w:after="0" w:line="253" w:lineRule="auto"/>
        <w:rPr>
          <w:sz w:val="20"/>
          <w:szCs w:val="20"/>
          <w:color w:val="auto"/>
        </w:rPr>
      </w:pPr>
      <w:r>
        <w:rPr>
          <w:rFonts w:ascii="Times New Roman" w:cs="Times New Roman" w:eastAsia="Times New Roman" w:hAnsi="Times New Roman"/>
          <w:sz w:val="18"/>
          <w:szCs w:val="18"/>
          <w:color w:val="auto"/>
        </w:rPr>
        <w:t>The Company is engaged in the manufacture, marketing and development of specialty plasma-derived biologics. The Company’s ADMA BioManufacturing operating segment reflects the Company’s immunoglobulin manufacturing, commercial and development operations in Boca Raton, FL. The Plasma Collection Centers operating segment consists of ten plasma collection facilities located throughout the United States, all of which are operational, collecting plasma and currently holding FDA licenses. The Company defines its operating segments as those business units whose operating results are regularly reviewed by the chief operating decision maker (“CODM”) to analyze performance and allocate resources. The Corporate information included in the reconciliations below generally consists of certain unallocated general and administrative overhead expenses and interest expense on the Company’s senior debt (see Note 7). The Company’s CODM is its President and Chief Executive Officer. For the Company’s two operating segments, the CODM uses income/loss before taxes as the measure of segment profit to determine the allocation of resources for each segment. Transactions between the two operating segments consist solely of the transfer of raw material plasma inventory at cost from the Plasma Collection Centers segment to the ADMA BioManufacturing segment with no markup or intercompany profit. Income tax benefit/expense is recorded at the Corporate entity and is not allocated to the operating segments. Summarized financial information concerning reportable segments is shown in the following tables: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8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580"/>
              <w:spacing w:after="0" w:line="201" w:lineRule="exact"/>
              <w:rPr>
                <w:sz w:val="20"/>
                <w:szCs w:val="20"/>
                <w:color w:val="auto"/>
              </w:rPr>
            </w:pPr>
            <w:r>
              <w:rPr>
                <w:rFonts w:ascii="Times New Roman" w:cs="Times New Roman" w:eastAsia="Times New Roman" w:hAnsi="Times New Roman"/>
                <w:sz w:val="18"/>
                <w:szCs w:val="18"/>
                <w:b w:val="1"/>
                <w:bCs w:val="1"/>
                <w:color w:val="auto"/>
              </w:rPr>
              <w:t>ADMA</w:t>
            </w:r>
          </w:p>
        </w:tc>
        <w:tc>
          <w:tcPr>
            <w:tcW w:w="1580" w:type="dxa"/>
            <w:vAlign w:val="bottom"/>
            <w:tcBorders>
              <w:top w:val="single" w:sz="8" w:color="auto"/>
            </w:tcBorders>
            <w:gridSpan w:val="4"/>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6840" w:type="dxa"/>
            <w:vAlign w:val="bottom"/>
          </w:tcPr>
          <w:p>
            <w:pPr>
              <w:ind w:left="28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426,311</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206,901</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18,683</w:t>
            </w: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26,001</w:t>
            </w: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168,097</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319,774</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426,311</w:t>
            </w:r>
          </w:p>
        </w:tc>
      </w:tr>
      <w:tr>
        <w:trPr>
          <w:trHeight w:val="223"/>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revenue (see Note 2 - Revenue Recognition)</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r>
      <w:tr>
        <w:trPr>
          <w:trHeight w:val="257"/>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revenues</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426,454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Segment selling, marketing and distribution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Segment general and administrative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575" w:hanging="575"/>
        <w:spacing w:after="0"/>
        <w:tabs>
          <w:tab w:leader="none" w:pos="5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18,683</w:t>
      </w:r>
    </w:p>
    <w:p>
      <w:pPr>
        <w:spacing w:after="0" w:line="27" w:lineRule="exact"/>
        <w:rPr>
          <w:rFonts w:ascii="Times New Roman" w:cs="Times New Roman" w:eastAsia="Times New Roman" w:hAnsi="Times New Roman"/>
          <w:sz w:val="18"/>
          <w:szCs w:val="18"/>
          <w:color w:val="auto"/>
        </w:rPr>
      </w:pPr>
    </w:p>
    <w:p>
      <w:pPr>
        <w:ind w:left="57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26,001</w:t>
      </w:r>
    </w:p>
    <w:p>
      <w:pPr>
        <w:spacing w:after="0" w:line="9" w:lineRule="exact"/>
        <w:rPr>
          <w:rFonts w:ascii="Times New Roman" w:cs="Times New Roman" w:eastAsia="Times New Roman" w:hAnsi="Times New Roman"/>
          <w:sz w:val="18"/>
          <w:szCs w:val="18"/>
          <w:color w:val="auto"/>
        </w:rPr>
      </w:pPr>
    </w:p>
    <w:p>
      <w:pPr>
        <w:ind w:left="57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7691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676910" cy="17145"/>
                    </a:xfrm>
                    <a:prstGeom prst="rect">
                      <a:avLst/>
                    </a:prstGeom>
                    <a:noFill/>
                  </pic:spPr>
                </pic:pic>
              </a:graphicData>
            </a:graphic>
          </wp:anchor>
        </w:drawing>
      </w:r>
    </w:p>
    <w:p>
      <w:pPr>
        <w:ind w:left="575" w:hanging="575"/>
        <w:spacing w:after="0"/>
        <w:tabs>
          <w:tab w:leader="none" w:pos="5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74,124</w:t>
      </w:r>
    </w:p>
    <w:p>
      <w:pPr>
        <w:spacing w:after="0" w:line="200" w:lineRule="exact"/>
        <w:rPr>
          <w:sz w:val="20"/>
          <w:szCs w:val="20"/>
          <w:color w:val="auto"/>
        </w:rPr>
      </w:pPr>
    </w:p>
    <w:p>
      <w:pPr>
        <w:sectPr>
          <w:pgSz w:w="11900" w:h="16838" w:orient="portrait"/>
          <w:cols w:equalWidth="0" w:num="2">
            <w:col w:w="9345" w:space="720"/>
            <w:col w:w="1175"/>
          </w:cols>
          <w:pgMar w:left="320" w:top="115"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shd w:val="clear" w:color="auto" w:fill="CCEEFF"/>
              </w:rPr>
              <w:t>Reconciliation of income (loss) before taxes:</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2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168,097</w:t>
            </w: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Unallocated interest expense, primarily related to interest on senior debt (see Note 7)</w:t>
            </w: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(13,930)</w:t>
            </w:r>
          </w:p>
        </w:tc>
      </w:tr>
      <w:tr>
        <w:trPr>
          <w:trHeight w:val="21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 (see Note 7)</w:t>
            </w: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(1,243)</w:t>
            </w:r>
          </w:p>
        </w:tc>
      </w:tr>
      <w:tr>
        <w:trPr>
          <w:trHeight w:val="21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Unallocated interest income</w:t>
            </w: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8"/>
                <w:szCs w:val="18"/>
                <w:color w:val="auto"/>
              </w:rPr>
            </w:pPr>
          </w:p>
        </w:tc>
      </w:tr>
      <w:tr>
        <w:trPr>
          <w:trHeight w:val="22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(29,440)</w:t>
            </w:r>
          </w:p>
        </w:tc>
      </w:tr>
      <w:tr>
        <w:trPr>
          <w:trHeight w:val="216"/>
        </w:trPr>
        <w:tc>
          <w:tcPr>
            <w:tcW w:w="81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Consolidated income before taxes</w:t>
            </w:r>
          </w:p>
        </w:tc>
        <w:tc>
          <w:tcPr>
            <w:tcW w:w="188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125,714</w:t>
            </w:r>
          </w:p>
        </w:tc>
        <w:tc>
          <w:tcPr>
            <w:tcW w:w="100" w:type="dxa"/>
            <w:vAlign w:val="bottom"/>
            <w:tcBorders>
              <w:top w:val="single" w:sz="8" w:color="CCEEFF"/>
            </w:tcBorders>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total assets:</w:t>
            </w: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assets</w:t>
            </w:r>
          </w:p>
        </w:tc>
        <w:tc>
          <w:tcPr>
            <w:tcW w:w="21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319,774</w:t>
            </w:r>
          </w:p>
        </w:tc>
        <w:tc>
          <w:tcPr>
            <w:tcW w:w="100" w:type="dxa"/>
            <w:vAlign w:val="bottom"/>
            <w:shd w:val="clear" w:color="auto" w:fill="CCEEFF"/>
          </w:tcPr>
          <w:p>
            <w:pPr>
              <w:spacing w:after="0"/>
              <w:rPr>
                <w:sz w:val="18"/>
                <w:szCs w:val="18"/>
                <w:color w:val="auto"/>
              </w:rPr>
            </w:pP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w:t>
            </w:r>
          </w:p>
        </w:tc>
        <w:tc>
          <w:tcPr>
            <w:tcW w:w="18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168,904</w:t>
            </w:r>
          </w:p>
        </w:tc>
        <w:tc>
          <w:tcPr>
            <w:tcW w:w="100" w:type="dxa"/>
            <w:vAlign w:val="bottom"/>
          </w:tcPr>
          <w:p>
            <w:pPr>
              <w:spacing w:after="0"/>
              <w:rPr>
                <w:sz w:val="19"/>
                <w:szCs w:val="19"/>
                <w:color w:val="auto"/>
              </w:rPr>
            </w:pPr>
          </w:p>
        </w:tc>
      </w:tr>
      <w:tr>
        <w:trPr>
          <w:trHeight w:val="257"/>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total assets</w:t>
            </w:r>
          </w:p>
        </w:tc>
        <w:tc>
          <w:tcPr>
            <w:tcW w:w="18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488,678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500" w:hanging="492"/>
        <w:spacing w:after="0" w:line="282"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includes compensation expense, including stock-based compensation expense, for certain executive officers and consultants, insurance, legal and investor relations expenses and accounting and tax fees that are not allocated to the Company’s operating segments.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consists of cash and deferred tax assets.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8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160"/>
              <w:spacing w:after="0" w:line="201" w:lineRule="exact"/>
              <w:rPr>
                <w:sz w:val="20"/>
                <w:szCs w:val="20"/>
                <w:color w:val="auto"/>
              </w:rPr>
            </w:pPr>
            <w:r>
              <w:rPr>
                <w:rFonts w:ascii="Times New Roman" w:cs="Times New Roman" w:eastAsia="Times New Roman" w:hAnsi="Times New Roman"/>
                <w:sz w:val="18"/>
                <w:szCs w:val="18"/>
                <w:b w:val="1"/>
                <w:bCs w:val="1"/>
                <w:color w:val="auto"/>
              </w:rPr>
              <w:t>ADMA</w:t>
            </w:r>
          </w:p>
        </w:tc>
        <w:tc>
          <w:tcPr>
            <w:tcW w:w="1600" w:type="dxa"/>
            <w:vAlign w:val="bottom"/>
            <w:tcBorders>
              <w:top w:val="single" w:sz="8" w:color="auto"/>
            </w:tcBorders>
            <w:gridSpan w:val="4"/>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6840" w:type="dxa"/>
            <w:vAlign w:val="bottom"/>
          </w:tcPr>
          <w:p>
            <w:pPr>
              <w:ind w:left="28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258,072</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169,273</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18,407</w:t>
            </w: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18,625</w:t>
            </w: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43,218</w:t>
            </w: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281,452</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258,072</w:t>
            </w:r>
          </w:p>
        </w:tc>
        <w:tc>
          <w:tcPr>
            <w:tcW w:w="100" w:type="dxa"/>
            <w:vAlign w:val="bottom"/>
            <w:shd w:val="clear" w:color="auto" w:fill="CCEEFF"/>
          </w:tcPr>
          <w:p>
            <w:pPr>
              <w:spacing w:after="0"/>
              <w:rPr>
                <w:sz w:val="18"/>
                <w:szCs w:val="18"/>
                <w:color w:val="auto"/>
              </w:rPr>
            </w:pPr>
          </w:p>
        </w:tc>
      </w:tr>
      <w:tr>
        <w:trPr>
          <w:trHeight w:val="223"/>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revenue (see Note 2 - Revenue Recognition)</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r>
      <w:tr>
        <w:trPr>
          <w:trHeight w:val="257"/>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revenues</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Segment selling, marketing and distribution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Segment general and administrative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shd w:val="clear" w:color="auto" w:fill="CCEEFF"/>
        </w:rPr>
        <w:t>Reconciliation of income (loss)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Segment 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License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Unallocated interest expense, primaril related to interest on senior debt (see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extinguishment of debt (see Note 7)</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Unallocated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income before taxes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580" w:hanging="575"/>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18,407</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18,625</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67691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676910" cy="17145"/>
                    </a:xfrm>
                    <a:prstGeom prst="rect">
                      <a:avLst/>
                    </a:prstGeom>
                    <a:noFill/>
                  </pic:spPr>
                </pic:pic>
              </a:graphicData>
            </a:graphic>
          </wp:anchor>
        </w:drawing>
      </w:r>
    </w:p>
    <w:p>
      <w:pPr>
        <w:ind w:left="580" w:hanging="575"/>
        <w:spacing w:after="0"/>
        <w:tabs>
          <w:tab w:leader="none" w:pos="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59,020</w:t>
      </w:r>
    </w:p>
    <w:p>
      <w:pPr>
        <w:spacing w:after="0" w:line="200" w:lineRule="exact"/>
        <w:rPr>
          <w:sz w:val="20"/>
          <w:szCs w:val="20"/>
          <w:color w:val="auto"/>
        </w:rPr>
      </w:pPr>
    </w:p>
    <w:p>
      <w:pPr>
        <w:spacing w:after="0" w:line="295" w:lineRule="exact"/>
        <w:rPr>
          <w:sz w:val="20"/>
          <w:szCs w:val="20"/>
          <w:color w:val="auto"/>
        </w:rPr>
      </w:pPr>
    </w:p>
    <w:p>
      <w:pPr>
        <w:ind w:left="580" w:hanging="575"/>
        <w:spacing w:after="0"/>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43,218</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(25,027)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(26,174)</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1,589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(21,988)</w:t>
      </w:r>
    </w:p>
    <w:p>
      <w:pPr>
        <w:spacing w:after="0" w:line="18" w:lineRule="exact"/>
        <w:rPr>
          <w:sz w:val="20"/>
          <w:szCs w:val="20"/>
          <w:color w:val="auto"/>
        </w:rPr>
      </w:pPr>
    </w:p>
    <w:p>
      <w:pPr>
        <w:ind w:left="520" w:hanging="515"/>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769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9340" w:space="720"/>
            <w:col w:w="118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10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total assets:</w:t>
            </w:r>
          </w:p>
        </w:tc>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assets</w:t>
            </w:r>
          </w:p>
        </w:tc>
        <w:tc>
          <w:tcPr>
            <w:tcW w:w="42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281,452</w:t>
            </w:r>
          </w:p>
        </w:tc>
        <w:tc>
          <w:tcPr>
            <w:tcW w:w="100" w:type="dxa"/>
            <w:vAlign w:val="bottom"/>
            <w:shd w:val="clear" w:color="auto" w:fill="CCEEFF"/>
          </w:tcPr>
          <w:p>
            <w:pPr>
              <w:spacing w:after="0"/>
              <w:rPr>
                <w:sz w:val="18"/>
                <w:szCs w:val="18"/>
                <w:color w:val="auto"/>
              </w:rPr>
            </w:pPr>
          </w:p>
        </w:tc>
      </w:tr>
      <w:tr>
        <w:trPr>
          <w:trHeight w:val="223"/>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w:t>
            </w:r>
          </w:p>
        </w:tc>
        <w:tc>
          <w:tcPr>
            <w:tcW w:w="3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47,730</w:t>
            </w:r>
          </w:p>
        </w:tc>
      </w:tr>
      <w:tr>
        <w:trPr>
          <w:trHeight w:val="256"/>
        </w:trPr>
        <w:tc>
          <w:tcPr>
            <w:tcW w:w="6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total assets</w:t>
            </w:r>
          </w:p>
        </w:tc>
        <w:tc>
          <w:tcPr>
            <w:tcW w:w="3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329,182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500" w:hanging="492"/>
        <w:spacing w:after="0" w:line="282"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includes compensation expense, including stock-based compensation expense, for certain executive officers and consultants, insurance, legal and investor relations expenses and accounting and tax fees that are not allocated to the Company’s operating segments.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consists of cash.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8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160"/>
              <w:spacing w:after="0" w:line="201" w:lineRule="exact"/>
              <w:rPr>
                <w:sz w:val="20"/>
                <w:szCs w:val="20"/>
                <w:color w:val="auto"/>
              </w:rPr>
            </w:pPr>
            <w:r>
              <w:rPr>
                <w:rFonts w:ascii="Times New Roman" w:cs="Times New Roman" w:eastAsia="Times New Roman" w:hAnsi="Times New Roman"/>
                <w:sz w:val="18"/>
                <w:szCs w:val="18"/>
                <w:b w:val="1"/>
                <w:bCs w:val="1"/>
                <w:color w:val="auto"/>
              </w:rPr>
              <w:t>ADMA</w:t>
            </w:r>
          </w:p>
        </w:tc>
        <w:tc>
          <w:tcPr>
            <w:tcW w:w="1600" w:type="dxa"/>
            <w:vAlign w:val="bottom"/>
            <w:tcBorders>
              <w:top w:val="single" w:sz="8" w:color="auto"/>
            </w:tcBorders>
            <w:gridSpan w:val="4"/>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6840" w:type="dxa"/>
            <w:vAlign w:val="bottom"/>
          </w:tcPr>
          <w:p>
            <w:pPr>
              <w:ind w:left="28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153,937</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118,815</w:t>
            </w: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17,843</w:t>
            </w: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13,667</w:t>
            </w: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7,113</w:t>
            </w: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16,312</w:t>
            </w: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(17,537)</w:t>
            </w: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275,230</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153,937</w:t>
            </w:r>
          </w:p>
        </w:tc>
        <w:tc>
          <w:tcPr>
            <w:tcW w:w="100" w:type="dxa"/>
            <w:vAlign w:val="bottom"/>
            <w:shd w:val="clear" w:color="auto" w:fill="CCEEFF"/>
          </w:tcPr>
          <w:p>
            <w:pPr>
              <w:spacing w:after="0"/>
              <w:rPr>
                <w:sz w:val="18"/>
                <w:szCs w:val="18"/>
                <w:color w:val="auto"/>
              </w:rPr>
            </w:pPr>
          </w:p>
        </w:tc>
      </w:tr>
      <w:tr>
        <w:trPr>
          <w:trHeight w:val="223"/>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revenue (see Note 2 - Revenue Recognition)</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r>
      <w:tr>
        <w:trPr>
          <w:trHeight w:val="257"/>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revenues</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Segment selling, marketing and distribution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Segment general and administrative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shd w:val="clear" w:color="auto" w:fill="CCEEFF"/>
        </w:rPr>
        <w:t>Reconciliation of income (loss)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Segment 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License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Unallocated interest expense, primaril related to interest on senior debt (see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extinguishment of debt (see Note 7)</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income before taxes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580" w:hanging="575"/>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13,667</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16,312</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67691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676910" cy="17145"/>
                    </a:xfrm>
                    <a:prstGeom prst="rect">
                      <a:avLst/>
                    </a:prstGeom>
                    <a:noFill/>
                  </pic:spPr>
                </pic:pic>
              </a:graphicData>
            </a:graphic>
          </wp:anchor>
        </w:drawing>
      </w:r>
    </w:p>
    <w:p>
      <w:pPr>
        <w:ind w:left="580" w:hanging="575"/>
        <w:spacing w:after="0"/>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52,458</w:t>
      </w:r>
    </w:p>
    <w:p>
      <w:pPr>
        <w:spacing w:after="0" w:line="200" w:lineRule="exact"/>
        <w:rPr>
          <w:sz w:val="20"/>
          <w:szCs w:val="20"/>
          <w:color w:val="auto"/>
        </w:rPr>
      </w:pPr>
    </w:p>
    <w:p>
      <w:pPr>
        <w:spacing w:after="0" w:line="295" w:lineRule="exact"/>
        <w:rPr>
          <w:sz w:val="20"/>
          <w:szCs w:val="20"/>
          <w:color w:val="auto"/>
        </w:rPr>
      </w:pPr>
    </w:p>
    <w:p>
      <w:pPr>
        <w:ind w:left="520" w:hanging="515"/>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(17,537)</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(19,276)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(6,670)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(22,479)</w:t>
      </w:r>
    </w:p>
    <w:p>
      <w:pPr>
        <w:spacing w:after="0" w:line="18" w:lineRule="exact"/>
        <w:rPr>
          <w:sz w:val="20"/>
          <w:szCs w:val="20"/>
          <w:color w:val="auto"/>
        </w:rPr>
      </w:pPr>
    </w:p>
    <w:p>
      <w:pPr>
        <w:ind w:left="520" w:hanging="515"/>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769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9340" w:space="720"/>
            <w:col w:w="118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10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total assets:</w:t>
            </w:r>
          </w:p>
        </w:tc>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assets</w:t>
            </w:r>
          </w:p>
        </w:tc>
        <w:tc>
          <w:tcPr>
            <w:tcW w:w="42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275,230</w:t>
            </w:r>
          </w:p>
        </w:tc>
        <w:tc>
          <w:tcPr>
            <w:tcW w:w="100" w:type="dxa"/>
            <w:vAlign w:val="bottom"/>
            <w:shd w:val="clear" w:color="auto" w:fill="CCEEFF"/>
          </w:tcPr>
          <w:p>
            <w:pPr>
              <w:spacing w:after="0"/>
              <w:rPr>
                <w:sz w:val="18"/>
                <w:szCs w:val="18"/>
                <w:color w:val="auto"/>
              </w:rPr>
            </w:pPr>
          </w:p>
        </w:tc>
      </w:tr>
      <w:tr>
        <w:trPr>
          <w:trHeight w:val="223"/>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w:t>
            </w:r>
          </w:p>
        </w:tc>
        <w:tc>
          <w:tcPr>
            <w:tcW w:w="3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73,231</w:t>
            </w:r>
          </w:p>
        </w:tc>
      </w:tr>
      <w:tr>
        <w:trPr>
          <w:trHeight w:val="256"/>
        </w:trPr>
        <w:tc>
          <w:tcPr>
            <w:tcW w:w="6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total assets</w:t>
            </w:r>
          </w:p>
        </w:tc>
        <w:tc>
          <w:tcPr>
            <w:tcW w:w="3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348,461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500" w:hanging="492"/>
        <w:spacing w:after="0" w:line="282" w:lineRule="auto"/>
        <w:tabs>
          <w:tab w:leader="none" w:pos="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includes compensation expense, including stock-based compensation expense, for certain executive officers and consultants, insurance, legal and investor relations expenses and accounting and tax fees that are not allocated to the Company’s operating segments.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consists of cash.</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revenues according to geographic area, based on the location of where the product is shipped,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ADMA</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Total Segment</w:t>
            </w:r>
          </w:p>
        </w:tc>
        <w:tc>
          <w:tcPr>
            <w:tcW w:w="220" w:type="dxa"/>
            <w:vAlign w:val="bottom"/>
          </w:tcPr>
          <w:p>
            <w:pPr>
              <w:spacing w:after="0"/>
              <w:rPr>
                <w:sz w:val="16"/>
                <w:szCs w:val="16"/>
                <w:color w:val="auto"/>
              </w:rPr>
            </w:pPr>
          </w:p>
        </w:tc>
        <w:tc>
          <w:tcPr>
            <w:tcW w:w="10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License</w:t>
            </w: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00" w:type="dxa"/>
            <w:vAlign w:val="bottom"/>
          </w:tcPr>
          <w:p>
            <w:pPr>
              <w:spacing w:after="0"/>
              <w:rPr>
                <w:sz w:val="16"/>
                <w:szCs w:val="16"/>
                <w:color w:val="auto"/>
              </w:rPr>
            </w:pPr>
          </w:p>
        </w:tc>
      </w:tr>
      <w:tr>
        <w:trPr>
          <w:trHeight w:val="245"/>
        </w:trPr>
        <w:tc>
          <w:tcPr>
            <w:tcW w:w="4340" w:type="dxa"/>
            <w:vAlign w:val="bottom"/>
          </w:tcPr>
          <w:p>
            <w:pPr>
              <w:spacing w:after="0"/>
              <w:rPr>
                <w:sz w:val="21"/>
                <w:szCs w:val="21"/>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Plasma Centers</w:t>
            </w:r>
          </w:p>
        </w:tc>
        <w:tc>
          <w:tcPr>
            <w:tcW w:w="16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1"/>
                <w:szCs w:val="21"/>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16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400,336</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410,005</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410,148</w:t>
            </w:r>
          </w:p>
        </w:tc>
        <w:tc>
          <w:tcPr>
            <w:tcW w:w="100" w:type="dxa"/>
            <w:vAlign w:val="bottom"/>
            <w:shd w:val="clear" w:color="auto" w:fill="CCEEFF"/>
          </w:tcPr>
          <w:p>
            <w:pPr>
              <w:spacing w:after="0"/>
              <w:rPr>
                <w:sz w:val="18"/>
                <w:szCs w:val="18"/>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15,470</w:t>
            </w:r>
          </w:p>
        </w:tc>
        <w:tc>
          <w:tcPr>
            <w:tcW w:w="3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836</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16,306</w:t>
            </w: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16,306</w:t>
            </w:r>
          </w:p>
        </w:tc>
      </w:tr>
      <w:tr>
        <w:trPr>
          <w:trHeight w:val="257"/>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415,806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426,311</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426,454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ADMA</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Total Segment</w:t>
            </w:r>
          </w:p>
        </w:tc>
        <w:tc>
          <w:tcPr>
            <w:tcW w:w="220" w:type="dxa"/>
            <w:vAlign w:val="bottom"/>
          </w:tcPr>
          <w:p>
            <w:pPr>
              <w:spacing w:after="0"/>
              <w:rPr>
                <w:sz w:val="16"/>
                <w:szCs w:val="16"/>
                <w:color w:val="auto"/>
              </w:rPr>
            </w:pPr>
          </w:p>
        </w:tc>
        <w:tc>
          <w:tcPr>
            <w:tcW w:w="10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License</w:t>
            </w: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00" w:type="dxa"/>
            <w:vAlign w:val="bottom"/>
          </w:tcPr>
          <w:p>
            <w:pPr>
              <w:spacing w:after="0"/>
              <w:rPr>
                <w:sz w:val="16"/>
                <w:szCs w:val="16"/>
                <w:color w:val="auto"/>
              </w:rPr>
            </w:pPr>
          </w:p>
        </w:tc>
      </w:tr>
      <w:tr>
        <w:trPr>
          <w:trHeight w:val="245"/>
        </w:trPr>
        <w:tc>
          <w:tcPr>
            <w:tcW w:w="4340" w:type="dxa"/>
            <w:vAlign w:val="bottom"/>
          </w:tcPr>
          <w:p>
            <w:pPr>
              <w:spacing w:after="0"/>
              <w:rPr>
                <w:sz w:val="21"/>
                <w:szCs w:val="21"/>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Plasma Centers</w:t>
            </w:r>
          </w:p>
        </w:tc>
        <w:tc>
          <w:tcPr>
            <w:tcW w:w="16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1"/>
                <w:szCs w:val="21"/>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16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237,454</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7,284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244,738</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244,881</w:t>
            </w:r>
          </w:p>
        </w:tc>
        <w:tc>
          <w:tcPr>
            <w:tcW w:w="100" w:type="dxa"/>
            <w:vAlign w:val="bottom"/>
            <w:shd w:val="clear" w:color="auto" w:fill="CCEEFF"/>
          </w:tcPr>
          <w:p>
            <w:pPr>
              <w:spacing w:after="0"/>
              <w:rPr>
                <w:sz w:val="18"/>
                <w:szCs w:val="18"/>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12,284</w:t>
            </w:r>
          </w:p>
        </w:tc>
        <w:tc>
          <w:tcPr>
            <w:tcW w:w="320" w:type="dxa"/>
            <w:vAlign w:val="bottom"/>
          </w:tcPr>
          <w:p>
            <w:pPr>
              <w:spacing w:after="0"/>
              <w:rPr>
                <w:sz w:val="19"/>
                <w:szCs w:val="19"/>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13,334</w:t>
            </w: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13,334</w:t>
            </w:r>
          </w:p>
        </w:tc>
      </w:tr>
      <w:tr>
        <w:trPr>
          <w:trHeight w:val="257"/>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249,738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8,334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258,072</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ADMA</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Total Segment</w:t>
            </w:r>
          </w:p>
        </w:tc>
        <w:tc>
          <w:tcPr>
            <w:tcW w:w="220" w:type="dxa"/>
            <w:vAlign w:val="bottom"/>
          </w:tcPr>
          <w:p>
            <w:pPr>
              <w:spacing w:after="0"/>
              <w:rPr>
                <w:sz w:val="16"/>
                <w:szCs w:val="16"/>
                <w:color w:val="auto"/>
              </w:rPr>
            </w:pPr>
          </w:p>
        </w:tc>
        <w:tc>
          <w:tcPr>
            <w:tcW w:w="10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License</w:t>
            </w: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00" w:type="dxa"/>
            <w:vAlign w:val="bottom"/>
          </w:tcPr>
          <w:p>
            <w:pPr>
              <w:spacing w:after="0"/>
              <w:rPr>
                <w:sz w:val="16"/>
                <w:szCs w:val="16"/>
                <w:color w:val="auto"/>
              </w:rPr>
            </w:pPr>
          </w:p>
        </w:tc>
      </w:tr>
      <w:tr>
        <w:trPr>
          <w:trHeight w:val="245"/>
        </w:trPr>
        <w:tc>
          <w:tcPr>
            <w:tcW w:w="4340" w:type="dxa"/>
            <w:vAlign w:val="bottom"/>
          </w:tcPr>
          <w:p>
            <w:pPr>
              <w:spacing w:after="0"/>
              <w:rPr>
                <w:sz w:val="21"/>
                <w:szCs w:val="21"/>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Plasma Centers</w:t>
            </w:r>
          </w:p>
        </w:tc>
        <w:tc>
          <w:tcPr>
            <w:tcW w:w="16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1"/>
                <w:szCs w:val="21"/>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16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136,827</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146,284</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146,427</w:t>
            </w:r>
          </w:p>
        </w:tc>
        <w:tc>
          <w:tcPr>
            <w:tcW w:w="100" w:type="dxa"/>
            <w:vAlign w:val="bottom"/>
            <w:shd w:val="clear" w:color="auto" w:fill="CCEEFF"/>
          </w:tcPr>
          <w:p>
            <w:pPr>
              <w:spacing w:after="0"/>
              <w:rPr>
                <w:sz w:val="18"/>
                <w:szCs w:val="18"/>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7,653</w:t>
            </w: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7,653</w:t>
            </w:r>
          </w:p>
        </w:tc>
      </w:tr>
      <w:tr>
        <w:trPr>
          <w:trHeight w:val="256"/>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left="500" w:hanging="492"/>
        <w:spacing w:after="0"/>
        <w:tabs>
          <w:tab w:leader="none" w:pos="5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EMPLOYEE BENEFITS</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The Company sponsors a 401(k) savings plan. Under the plan, employees may make contributions which are eligible for a Company discretionary percentage contribution as defined in the plan and determined by the Board. The Company recognized $1.5 million, $1.3 million and $1.3 million of related compensation expense for the years ended December 31, 2024, 2023 and 2022, respectively.</w:t>
      </w:r>
    </w:p>
    <w:p>
      <w:pPr>
        <w:spacing w:after="0" w:line="172" w:lineRule="exact"/>
        <w:rPr>
          <w:sz w:val="20"/>
          <w:szCs w:val="20"/>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SUPPLEMENTAL DISCLOSURE OF CASH FLOW INFORMATION</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Supplemental cash flow information for the years ended December 31, 2024, 2023 and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Equipment acquired reflected in accounts payable and accrued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Right-to-use assets in exchange for lease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 issued in connection with notes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and the Consolidated Statement of Stockholders’ Equity for cashless exercise activity related to the Company’s outstanding warrants.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ind w:left="500" w:hanging="492"/>
        <w:spacing w:after="0"/>
        <w:tabs>
          <w:tab w:leader="none" w:pos="5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CONCENTRATIONS</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accounts receivable. At December 31, 2024, three customers accounted for approximately 91% of the Company’s consolidated accounts receivable. At December 31, 2023, five customers accounted for approximately 98% of the Company’s consolidated accounts receivable.</w:t>
      </w:r>
    </w:p>
    <w:p>
      <w:pPr>
        <w:spacing w:after="0" w:line="176"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2023, two customers accounted for approximately 72% of the Company’s consolidated revenues. For the year ended December 31, 2022, two customers accounted for approximately 74% of the Company’s consolidated revenues. Revenues for both of these customers are attributable to the ADMA BioManufacturing business segment. There were no customers attributable to the Plasma Collections Center whose revenues exceeded 10% of the Company’s consolidated revenues.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8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5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Charged to costs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45"/>
        </w:trPr>
        <w:tc>
          <w:tcPr>
            <w:tcW w:w="3180" w:type="dxa"/>
            <w:vAlign w:val="bottom"/>
          </w:tcPr>
          <w:p>
            <w:pPr>
              <w:spacing w:after="0"/>
              <w:rPr>
                <w:sz w:val="21"/>
                <w:szCs w:val="21"/>
                <w:color w:val="auto"/>
              </w:rPr>
            </w:pP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 thousands) </w:t>
            </w:r>
            <w:r>
              <w:rPr>
                <w:rFonts w:ascii="Times New Roman" w:cs="Times New Roman" w:eastAsia="Times New Roman" w:hAnsi="Times New Roman"/>
                <w:sz w:val="18"/>
                <w:szCs w:val="18"/>
                <w:b w:val="1"/>
                <w:bCs w:val="1"/>
                <w:color w:val="auto"/>
              </w:rPr>
              <w:t>beginning of year</w:t>
            </w:r>
          </w:p>
        </w:tc>
        <w:tc>
          <w:tcPr>
            <w:tcW w:w="120" w:type="dxa"/>
            <w:vAlign w:val="bottom"/>
          </w:tcPr>
          <w:p>
            <w:pPr>
              <w:spacing w:after="0"/>
              <w:rPr>
                <w:sz w:val="21"/>
                <w:szCs w:val="21"/>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and expenses</w:t>
            </w:r>
          </w:p>
        </w:tc>
        <w:tc>
          <w:tcPr>
            <w:tcW w:w="240" w:type="dxa"/>
            <w:vAlign w:val="bottom"/>
          </w:tcPr>
          <w:p>
            <w:pPr>
              <w:spacing w:after="0"/>
              <w:rPr>
                <w:sz w:val="21"/>
                <w:szCs w:val="21"/>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Deductions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 of year</w:t>
            </w:r>
          </w:p>
        </w:tc>
      </w:tr>
      <w:tr>
        <w:trPr>
          <w:trHeight w:val="223"/>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rebates</w:t>
            </w:r>
          </w:p>
        </w:tc>
        <w:tc>
          <w:tcPr>
            <w:tcW w:w="1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16,608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8,349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4,155</w:t>
            </w:r>
          </w:p>
        </w:tc>
      </w:tr>
      <w:tr>
        <w:trPr>
          <w:trHeight w:val="216"/>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valuation allowance</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5,161</w:t>
            </w:r>
          </w:p>
        </w:tc>
      </w:tr>
      <w:tr>
        <w:trPr>
          <w:trHeight w:val="216"/>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101,421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(84,280)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17,141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rebates</w:t>
            </w:r>
          </w:p>
        </w:tc>
        <w:tc>
          <w:tcPr>
            <w:tcW w:w="1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11,437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8,448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16,608</w:t>
            </w:r>
          </w:p>
        </w:tc>
      </w:tr>
      <w:tr>
        <w:trPr>
          <w:trHeight w:val="216"/>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valuation allowance</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9,377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2,992</w:t>
            </w:r>
          </w:p>
        </w:tc>
      </w:tr>
      <w:tr>
        <w:trPr>
          <w:trHeight w:val="216"/>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101,421</w:t>
            </w:r>
          </w:p>
        </w:tc>
      </w:tr>
      <w:tr>
        <w:trPr>
          <w:trHeight w:val="216"/>
        </w:trPr>
        <w:tc>
          <w:tcPr>
            <w:tcW w:w="3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rebates</w:t>
            </w:r>
          </w:p>
        </w:tc>
        <w:tc>
          <w:tcPr>
            <w:tcW w:w="1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5,040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11,437</w:t>
            </w:r>
          </w:p>
        </w:tc>
      </w:tr>
      <w:tr>
        <w:trPr>
          <w:trHeight w:val="216"/>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valuation allowance</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8,577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5,921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5,400</w:t>
            </w:r>
          </w:p>
        </w:tc>
      </w:tr>
      <w:tr>
        <w:trPr>
          <w:trHeight w:val="216"/>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81,608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15,117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96,725</w:t>
            </w:r>
          </w:p>
        </w:tc>
      </w:tr>
      <w:tr>
        <w:trPr>
          <w:trHeight w:val="382"/>
        </w:trPr>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F-39</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4"/>
        </w:trPr>
        <w:tc>
          <w:tcPr>
            <w:tcW w:w="31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5" w:right="339" w:bottom="1440" w:gutter="0" w:footer="0" w:header="0"/>
        </w:sectPr>
      </w:pPr>
    </w:p>
    <w:bookmarkStart w:id="133" w:name="page134"/>
    <w:bookmarkEnd w:id="13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3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Information in this exhibit identified by [***] is confidential and has been excluded pursuant to Item 601(b)(10)(iv) of Regulation S-K because it is both (i) not material and (ii) would likely cause competitive harm to the registrant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PLASMA PURCHASE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AMENDED AND RESTATED PLASMA PURCHASE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between Grifols Worldwide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a corporation having a place of business at Grange Castle Business Park, Grange Castle, Clondalkin, Dublin 22, Ireland (“</w:t>
      </w:r>
      <w:r>
        <w:rPr>
          <w:rFonts w:ascii="Times New Roman" w:cs="Times New Roman" w:eastAsia="Times New Roman" w:hAnsi="Times New Roman"/>
          <w:sz w:val="18"/>
          <w:szCs w:val="18"/>
          <w:b w:val="1"/>
          <w:bCs w:val="1"/>
          <w:color w:val="auto"/>
        </w:rPr>
        <w:t>PLASMA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and ADMA BioManufacturing, LLC, a Delaware limited liability company, having a place of business at 5800 Park of Commerce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Boulevard, NW, Boca Raton, Florida 33487 (“</w:t>
      </w:r>
      <w:r>
        <w:rPr>
          <w:rFonts w:ascii="Times New Roman" w:cs="Times New Roman" w:eastAsia="Times New Roman" w:hAnsi="Times New Roman"/>
          <w:sz w:val="18"/>
          <w:szCs w:val="18"/>
          <w:b w:val="1"/>
          <w:bCs w:val="1"/>
          <w:color w:val="auto"/>
        </w:rPr>
        <w:t>ADMA</w:t>
      </w:r>
      <w:r>
        <w:rPr>
          <w:rFonts w:ascii="Times New Roman" w:cs="Times New Roman" w:eastAsia="Times New Roman" w:hAnsi="Times New Roman"/>
          <w:sz w:val="18"/>
          <w:szCs w:val="18"/>
          <w:color w:val="auto"/>
        </w:rPr>
        <w:t>”), shall be effective as of October 1,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PLASMA SUPPLIER and ADMA are each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PLASMA SUPPLIER (as successor-in-interest to Biotest Pharmaceuticals Corporation) and ADMA are parties to that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Agreement, effective as of November 17, 2011, as last amended on January 1, 2019, whereupon PLASMA SUPPLIER sold, and ADMA purchased, RSV Plasma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now desire to amend and restate the Prior Agreement on the terms set forth herein; and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PLASMA SUPPLIER desires to continue to sell, and ADMA desires to continue to purchase on a non-exclusive basis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quantities of source plasma containing certain levels of antibodies to Respiratory Syncytial Virus (“</w:t>
      </w:r>
      <w:r>
        <w:rPr>
          <w:rFonts w:ascii="Times New Roman" w:cs="Times New Roman" w:eastAsia="Times New Roman" w:hAnsi="Times New Roman"/>
          <w:sz w:val="18"/>
          <w:szCs w:val="18"/>
          <w:b w:val="1"/>
          <w:bCs w:val="1"/>
          <w:color w:val="auto"/>
        </w:rPr>
        <w:t>RSV</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RSV Plasma</w:t>
      </w:r>
      <w:r>
        <w:rPr>
          <w:rFonts w:ascii="Times New Roman" w:cs="Times New Roman" w:eastAsia="Times New Roman" w:hAnsi="Times New Roman"/>
          <w:sz w:val="18"/>
          <w:szCs w:val="18"/>
          <w:color w:val="auto"/>
        </w:rPr>
        <w:t>”) to be used by ADMA in the manufacturing and/or research and development of Human Immune Globulin(s)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solely on the terms and conditions set forth in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covenants and agreements contained herein, and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legal sufficiency of which are hereby acknowledged, and with the intent to be legally bound hereby, ADMA and PLASMA SUPPLIER agree as follows:</w:t>
      </w:r>
    </w:p>
    <w:p>
      <w:pPr>
        <w:spacing w:after="0" w:line="171"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PURCHASE AND SALE OF RSV PLASMA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20" w:firstLine="656"/>
        <w:spacing w:after="0" w:line="259" w:lineRule="auto"/>
        <w:tabs>
          <w:tab w:leader="none" w:pos="1233"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OF AGREEMENT</w:t>
      </w:r>
      <w:r>
        <w:rPr>
          <w:rFonts w:ascii="Times New Roman" w:cs="Times New Roman" w:eastAsia="Times New Roman" w:hAnsi="Times New Roman"/>
          <w:sz w:val="18"/>
          <w:szCs w:val="18"/>
          <w:color w:val="auto"/>
        </w:rPr>
        <w:t>. Unless terminated earlier as provided herein, the initial term of this Agreement shall commence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and expire on September 30, 2034 (the “</w:t>
      </w:r>
      <w:r>
        <w:rPr>
          <w:rFonts w:ascii="Times New Roman" w:cs="Times New Roman" w:eastAsia="Times New Roman" w:hAnsi="Times New Roman"/>
          <w:sz w:val="18"/>
          <w:szCs w:val="18"/>
          <w:b w:val="1"/>
          <w:bCs w:val="1"/>
          <w:color w:val="auto"/>
        </w:rPr>
        <w:t>Initial Term</w:t>
      </w:r>
      <w:r>
        <w:rPr>
          <w:rFonts w:ascii="Times New Roman" w:cs="Times New Roman" w:eastAsia="Times New Roman" w:hAnsi="Times New Roman"/>
          <w:sz w:val="18"/>
          <w:szCs w:val="18"/>
          <w:color w:val="auto"/>
        </w:rPr>
        <w:t>”, and together with any renewals,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After the Initial Term, this Agreement may be renewed for up to two (2) additional [***] ([***])-year periods (i.e., through [***] and [***], respectively) upon the mutual written consent of the Parties. Each Party agrees that it will endeavor, in good faith, to conclude any negotiations relating to such renewals no less than [***] ([***]) months ([***] calendar days) before the expiration of this Agreement or renewal term, as applicable.</w:t>
      </w:r>
    </w:p>
    <w:p>
      <w:pPr>
        <w:spacing w:after="0" w:line="354" w:lineRule="exact"/>
        <w:rPr>
          <w:rFonts w:ascii="Times New Roman" w:cs="Times New Roman" w:eastAsia="Times New Roman" w:hAnsi="Times New Roman"/>
          <w:sz w:val="18"/>
          <w:szCs w:val="18"/>
          <w:b w:val="1"/>
          <w:bCs w:val="1"/>
          <w:color w:val="auto"/>
        </w:rPr>
      </w:pPr>
    </w:p>
    <w:p>
      <w:pPr>
        <w:ind w:left="5580" w:hanging="76"/>
        <w:spacing w:after="0"/>
        <w:tabs>
          <w:tab w:leader="none" w:pos="5580" w:val="left"/>
        </w:tabs>
        <w:numPr>
          <w:ilvl w:val="2"/>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34" w:name="page135"/>
    <w:bookmarkEnd w:id="134"/>
    <w:p>
      <w:pPr>
        <w:ind w:left="584" w:hanging="584"/>
        <w:spacing w:after="0"/>
        <w:tabs>
          <w:tab w:leader="none" w:pos="58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PRICE AND VOLUMES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56" w:right="700" w:firstLine="1304"/>
        <w:spacing w:after="0" w:line="282" w:lineRule="auto"/>
        <w:tabs>
          <w:tab w:leader="none" w:pos="121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ADMA agrees to purchase, and PLASMA SUPPLIER agrees to sell, RSV Plasma, in quantities and prices as further described in this Agreement.</w:t>
      </w:r>
    </w:p>
    <w:p>
      <w:pPr>
        <w:spacing w:after="0" w:line="161" w:lineRule="exact"/>
        <w:rPr>
          <w:rFonts w:ascii="Times New Roman" w:cs="Times New Roman" w:eastAsia="Times New Roman" w:hAnsi="Times New Roman"/>
          <w:sz w:val="18"/>
          <w:szCs w:val="18"/>
          <w:color w:val="auto"/>
        </w:rPr>
      </w:pPr>
    </w:p>
    <w:p>
      <w:pPr>
        <w:ind w:left="-656" w:right="60" w:firstLine="1304"/>
        <w:spacing w:after="0" w:line="255" w:lineRule="auto"/>
        <w:tabs>
          <w:tab w:leader="none" w:pos="122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ADMA shall not be obligated to purchase any RSV Plasma in the event PLASMA SUPPLIER does not, or fails to, provide necessary plasma samples for testing and identifying donors. The Parties mutually agree and understand that identifying sufficient donors with naturally occurring RSV antibody levels vary. The Parties mutually agree that this naturally occurring variation may, due to no fault of PLASMA SUPPLIER or ADMA, affect total acceptable RSV Plasma volumes. This Agreement does not bind either Party to the other in an exclusive supply or purchase relationship; and for the avoidance of doubt, ADMA shall be free to purchase any quantity of plasma, including RSV Plasma, from other sources or obtain it from its own collection facilities. Notwithstanding the foregoing, PLASMA SUPPLIER covenants and agrees to use best efforts to provide ADMA with the volume of RSV Plasma set forth in subsection (d) below.</w:t>
      </w:r>
    </w:p>
    <w:p>
      <w:pPr>
        <w:spacing w:after="0" w:line="188" w:lineRule="exact"/>
        <w:rPr>
          <w:rFonts w:ascii="Times New Roman" w:cs="Times New Roman" w:eastAsia="Times New Roman" w:hAnsi="Times New Roman"/>
          <w:sz w:val="18"/>
          <w:szCs w:val="18"/>
          <w:color w:val="auto"/>
        </w:rPr>
      </w:pPr>
    </w:p>
    <w:p>
      <w:pPr>
        <w:ind w:left="-656" w:firstLine="1304"/>
        <w:spacing w:after="0" w:line="253" w:lineRule="auto"/>
        <w:tabs>
          <w:tab w:leader="none" w:pos="121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Effective Date PLASMA SUPPLIER agrees to use best efforts to collect as much RSV Plasma as possible, and in no event shall sell less than 35,000L per each Contract Year (as defined below) commencing with the Effective Date. From the Effective Date through the end of the first Contract Year, pricing for RSV Plasma will start at $[***] per liter, subject to escalation depending on the volume of RSV Plasma provided to ADMA, as further described in the table below. The price per liter of RSV Plasma shall increase on the anniversary of each Contract Year at the lesser of (i) [***] percent ([***]%) and (ii) [***] (the “</w:t>
      </w:r>
      <w:r>
        <w:rPr>
          <w:rFonts w:ascii="Times New Roman" w:cs="Times New Roman" w:eastAsia="Times New Roman" w:hAnsi="Times New Roman"/>
          <w:sz w:val="18"/>
          <w:szCs w:val="18"/>
          <w:b w:val="1"/>
          <w:bCs w:val="1"/>
          <w:color w:val="auto"/>
        </w:rPr>
        <w:t>Annual Increase</w:t>
      </w:r>
      <w:r>
        <w:rPr>
          <w:rFonts w:ascii="Times New Roman" w:cs="Times New Roman" w:eastAsia="Times New Roman" w:hAnsi="Times New Roman"/>
          <w:sz w:val="18"/>
          <w:szCs w:val="18"/>
          <w:color w:val="auto"/>
        </w:rPr>
        <w:t>”). Within [***] ([***]) business days following ADMA’s purchase of RSV Plasma from PLASMA SUPPLIER in excess of the high end of a range set forth in the table below, PLASMA SUPPLIER shall send a written notice to ADMA (e-mail being sufficient) notifying ADMA of the new price per liter of RSV Plasma on a go-forward basis in a given Contract Year. Additionally, in the event that PLASMA SUPPLIER provides ADMA with [***]L of RSV Plasma in a given Contract Year, at the end of such Contract Year PLASMA SUPPLIER shall invoice ADMA in the amount of $[***] (the “</w:t>
      </w:r>
      <w:r>
        <w:rPr>
          <w:rFonts w:ascii="Times New Roman" w:cs="Times New Roman" w:eastAsia="Times New Roman" w:hAnsi="Times New Roman"/>
          <w:sz w:val="18"/>
          <w:szCs w:val="18"/>
          <w:b w:val="1"/>
          <w:bCs w:val="1"/>
          <w:color w:val="auto"/>
        </w:rPr>
        <w:t>Bonus Amount</w:t>
      </w:r>
      <w:r>
        <w:rPr>
          <w:rFonts w:ascii="Times New Roman" w:cs="Times New Roman" w:eastAsia="Times New Roman" w:hAnsi="Times New Roman"/>
          <w:sz w:val="18"/>
          <w:szCs w:val="18"/>
          <w:color w:val="auto"/>
        </w:rPr>
        <w:t>”). For purposes of clarity, the price per Liter at the end of a Contract Year shall automatically reset to the base amount (i.e., the amount adjacent to “First 35,000L”) set forth in the table below at the beginning of the subsequent Contract Year, subject to Annual Increases. This price includes all required screening tests, and NAT for HIV, HBV, HCV, HAV and Parvo B-19. For purposes of this section A.2, “</w:t>
      </w:r>
      <w:r>
        <w:rPr>
          <w:rFonts w:ascii="Times New Roman" w:cs="Times New Roman" w:eastAsia="Times New Roman" w:hAnsi="Times New Roman"/>
          <w:sz w:val="18"/>
          <w:szCs w:val="18"/>
          <w:b w:val="1"/>
          <w:bCs w:val="1"/>
          <w:color w:val="auto"/>
        </w:rPr>
        <w:t>Contract Year</w:t>
      </w:r>
      <w:r>
        <w:rPr>
          <w:rFonts w:ascii="Times New Roman" w:cs="Times New Roman" w:eastAsia="Times New Roman" w:hAnsi="Times New Roman"/>
          <w:sz w:val="18"/>
          <w:szCs w:val="18"/>
          <w:color w:val="auto"/>
        </w:rPr>
        <w:t>” means the twelve (12)-month period beginning on the Effective Date and each subsequent twelve (12)-month period thereafter during the Term that commences on an anniversary of the Effective Date.</w:t>
      </w:r>
    </w:p>
    <w:p>
      <w:pPr>
        <w:spacing w:after="0" w:line="187" w:lineRule="exact"/>
        <w:rPr>
          <w:rFonts w:ascii="Times New Roman" w:cs="Times New Roman" w:eastAsia="Times New Roman" w:hAnsi="Times New Roman"/>
          <w:sz w:val="18"/>
          <w:szCs w:val="18"/>
          <w:color w:val="auto"/>
        </w:rPr>
      </w:pPr>
    </w:p>
    <w:p>
      <w:pPr>
        <w:ind w:left="1224" w:hanging="576"/>
        <w:spacing w:after="0"/>
        <w:tabs>
          <w:tab w:leader="none" w:pos="122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sets forth annual volume ranges of RSV Plasma and the corresponding price during the Term:</w:t>
      </w:r>
    </w:p>
    <w:p>
      <w:pPr>
        <w:spacing w:after="0" w:line="396" w:lineRule="exact"/>
        <w:rPr>
          <w:rFonts w:ascii="Times New Roman" w:cs="Times New Roman" w:eastAsia="Times New Roman" w:hAnsi="Times New Roman"/>
          <w:sz w:val="18"/>
          <w:szCs w:val="18"/>
          <w:color w:val="auto"/>
        </w:rPr>
      </w:pPr>
    </w:p>
    <w:p>
      <w:pPr>
        <w:ind w:left="4924" w:hanging="76"/>
        <w:spacing w:after="0"/>
        <w:tabs>
          <w:tab w:leader="none" w:pos="4924" w:val="left"/>
        </w:tabs>
        <w:numPr>
          <w:ilvl w:val="2"/>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135" w:name="page136"/>
    <w:bookmarkEnd w:id="135"/>
    <w:tbl>
      <w:tblPr>
        <w:tblLayout w:type="fixed"/>
        <w:tblInd w:w="10" w:type="dxa"/>
        <w:tblCellMar>
          <w:top w:w="0" w:type="dxa"/>
          <w:left w:w="0" w:type="dxa"/>
          <w:bottom w:w="0" w:type="dxa"/>
          <w:right w:w="0" w:type="dxa"/>
        </w:tblCellMar>
      </w:tblPr>
      <w:tr>
        <w:trPr>
          <w:trHeight w:val="261"/>
        </w:trPr>
        <w:tc>
          <w:tcPr>
            <w:tcW w:w="508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Annual Volume (L) (Subject to Section A.8 below)</w:t>
            </w:r>
          </w:p>
        </w:tc>
        <w:tc>
          <w:tcPr>
            <w:tcW w:w="61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Price (L) (Excluding Annual Increases)</w:t>
            </w:r>
          </w:p>
        </w:tc>
      </w:tr>
      <w:tr>
        <w:trPr>
          <w:trHeight w:val="205"/>
        </w:trPr>
        <w:tc>
          <w:tcPr>
            <w:tcW w:w="5080" w:type="dxa"/>
            <w:vAlign w:val="bottom"/>
            <w:tcBorders>
              <w:left w:val="single" w:sz="8" w:color="auto"/>
              <w:bottom w:val="single" w:sz="8" w:color="auto"/>
              <w:right w:val="single" w:sz="8" w:color="auto"/>
            </w:tcBorders>
          </w:tcPr>
          <w:p>
            <w:pPr>
              <w:spacing w:after="0"/>
              <w:rPr>
                <w:sz w:val="17"/>
                <w:szCs w:val="17"/>
                <w:color w:val="auto"/>
              </w:rPr>
            </w:pPr>
          </w:p>
        </w:tc>
        <w:tc>
          <w:tcPr>
            <w:tcW w:w="6160" w:type="dxa"/>
            <w:vAlign w:val="bottom"/>
            <w:tcBorders>
              <w:bottom w:val="single" w:sz="8" w:color="auto"/>
              <w:right w:val="single" w:sz="8" w:color="auto"/>
            </w:tcBorders>
          </w:tcPr>
          <w:p>
            <w:pPr>
              <w:spacing w:after="0"/>
              <w:rPr>
                <w:sz w:val="17"/>
                <w:szCs w:val="17"/>
                <w:color w:val="auto"/>
              </w:rPr>
            </w:pPr>
          </w:p>
        </w:tc>
      </w:tr>
      <w:tr>
        <w:trPr>
          <w:trHeight w:val="234"/>
        </w:trPr>
        <w:tc>
          <w:tcPr>
            <w:tcW w:w="50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First 35,000L</w:t>
            </w:r>
          </w:p>
        </w:tc>
        <w:tc>
          <w:tcPr>
            <w:tcW w:w="6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080" w:type="dxa"/>
            <w:vAlign w:val="bottom"/>
            <w:tcBorders>
              <w:left w:val="single" w:sz="8" w:color="auto"/>
              <w:bottom w:val="single" w:sz="8" w:color="auto"/>
              <w:right w:val="single" w:sz="8" w:color="auto"/>
            </w:tcBorders>
          </w:tcPr>
          <w:p>
            <w:pPr>
              <w:spacing w:after="0"/>
              <w:rPr>
                <w:sz w:val="17"/>
                <w:szCs w:val="17"/>
                <w:color w:val="auto"/>
              </w:rPr>
            </w:pPr>
          </w:p>
        </w:tc>
        <w:tc>
          <w:tcPr>
            <w:tcW w:w="6160" w:type="dxa"/>
            <w:vAlign w:val="bottom"/>
            <w:tcBorders>
              <w:bottom w:val="single" w:sz="8" w:color="auto"/>
              <w:right w:val="single" w:sz="8" w:color="auto"/>
            </w:tcBorders>
          </w:tcPr>
          <w:p>
            <w:pPr>
              <w:spacing w:after="0"/>
              <w:rPr>
                <w:sz w:val="17"/>
                <w:szCs w:val="17"/>
                <w:color w:val="auto"/>
              </w:rPr>
            </w:pPr>
          </w:p>
        </w:tc>
      </w:tr>
      <w:tr>
        <w:trPr>
          <w:trHeight w:val="234"/>
        </w:trPr>
        <w:tc>
          <w:tcPr>
            <w:tcW w:w="50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 – [***]L</w:t>
            </w:r>
          </w:p>
        </w:tc>
        <w:tc>
          <w:tcPr>
            <w:tcW w:w="6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080" w:type="dxa"/>
            <w:vAlign w:val="bottom"/>
            <w:tcBorders>
              <w:left w:val="single" w:sz="8" w:color="auto"/>
              <w:bottom w:val="single" w:sz="8" w:color="auto"/>
              <w:right w:val="single" w:sz="8" w:color="auto"/>
            </w:tcBorders>
          </w:tcPr>
          <w:p>
            <w:pPr>
              <w:spacing w:after="0"/>
              <w:rPr>
                <w:sz w:val="17"/>
                <w:szCs w:val="17"/>
                <w:color w:val="auto"/>
              </w:rPr>
            </w:pPr>
          </w:p>
        </w:tc>
        <w:tc>
          <w:tcPr>
            <w:tcW w:w="6160" w:type="dxa"/>
            <w:vAlign w:val="bottom"/>
            <w:tcBorders>
              <w:bottom w:val="single" w:sz="8" w:color="auto"/>
              <w:right w:val="single" w:sz="8" w:color="auto"/>
            </w:tcBorders>
          </w:tcPr>
          <w:p>
            <w:pPr>
              <w:spacing w:after="0"/>
              <w:rPr>
                <w:sz w:val="17"/>
                <w:szCs w:val="17"/>
                <w:color w:val="auto"/>
              </w:rPr>
            </w:pPr>
          </w:p>
        </w:tc>
      </w:tr>
      <w:tr>
        <w:trPr>
          <w:trHeight w:val="234"/>
        </w:trPr>
        <w:tc>
          <w:tcPr>
            <w:tcW w:w="50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 – [***]L</w:t>
            </w:r>
          </w:p>
        </w:tc>
        <w:tc>
          <w:tcPr>
            <w:tcW w:w="6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080" w:type="dxa"/>
            <w:vAlign w:val="bottom"/>
            <w:tcBorders>
              <w:left w:val="single" w:sz="8" w:color="auto"/>
              <w:bottom w:val="single" w:sz="8" w:color="auto"/>
              <w:right w:val="single" w:sz="8" w:color="auto"/>
            </w:tcBorders>
          </w:tcPr>
          <w:p>
            <w:pPr>
              <w:spacing w:after="0"/>
              <w:rPr>
                <w:sz w:val="17"/>
                <w:szCs w:val="17"/>
                <w:color w:val="auto"/>
              </w:rPr>
            </w:pPr>
          </w:p>
        </w:tc>
        <w:tc>
          <w:tcPr>
            <w:tcW w:w="6160" w:type="dxa"/>
            <w:vAlign w:val="bottom"/>
            <w:tcBorders>
              <w:bottom w:val="single" w:sz="8" w:color="auto"/>
              <w:right w:val="single" w:sz="8" w:color="auto"/>
            </w:tcBorders>
          </w:tcPr>
          <w:p>
            <w:pPr>
              <w:spacing w:after="0"/>
              <w:rPr>
                <w:sz w:val="17"/>
                <w:szCs w:val="17"/>
                <w:color w:val="auto"/>
              </w:rPr>
            </w:pPr>
          </w:p>
        </w:tc>
      </w:tr>
      <w:tr>
        <w:trPr>
          <w:trHeight w:val="234"/>
        </w:trPr>
        <w:tc>
          <w:tcPr>
            <w:tcW w:w="50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 – [***]L</w:t>
            </w:r>
          </w:p>
        </w:tc>
        <w:tc>
          <w:tcPr>
            <w:tcW w:w="6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080" w:type="dxa"/>
            <w:vAlign w:val="bottom"/>
            <w:tcBorders>
              <w:left w:val="single" w:sz="8" w:color="auto"/>
              <w:bottom w:val="single" w:sz="8" w:color="auto"/>
              <w:right w:val="single" w:sz="8" w:color="auto"/>
            </w:tcBorders>
          </w:tcPr>
          <w:p>
            <w:pPr>
              <w:spacing w:after="0"/>
              <w:rPr>
                <w:sz w:val="17"/>
                <w:szCs w:val="17"/>
                <w:color w:val="auto"/>
              </w:rPr>
            </w:pPr>
          </w:p>
        </w:tc>
        <w:tc>
          <w:tcPr>
            <w:tcW w:w="6160" w:type="dxa"/>
            <w:vAlign w:val="bottom"/>
            <w:tcBorders>
              <w:bottom w:val="single" w:sz="8" w:color="auto"/>
              <w:right w:val="single" w:sz="8" w:color="auto"/>
            </w:tcBorders>
          </w:tcPr>
          <w:p>
            <w:pPr>
              <w:spacing w:after="0"/>
              <w:rPr>
                <w:sz w:val="17"/>
                <w:szCs w:val="17"/>
                <w:color w:val="auto"/>
              </w:rPr>
            </w:pPr>
          </w:p>
        </w:tc>
      </w:tr>
      <w:tr>
        <w:trPr>
          <w:trHeight w:val="234"/>
        </w:trPr>
        <w:tc>
          <w:tcPr>
            <w:tcW w:w="50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 – [***]L</w:t>
            </w:r>
          </w:p>
        </w:tc>
        <w:tc>
          <w:tcPr>
            <w:tcW w:w="6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080" w:type="dxa"/>
            <w:vAlign w:val="bottom"/>
            <w:tcBorders>
              <w:left w:val="single" w:sz="8" w:color="auto"/>
              <w:bottom w:val="single" w:sz="8" w:color="auto"/>
              <w:right w:val="single" w:sz="8" w:color="auto"/>
            </w:tcBorders>
          </w:tcPr>
          <w:p>
            <w:pPr>
              <w:spacing w:after="0"/>
              <w:rPr>
                <w:sz w:val="17"/>
                <w:szCs w:val="17"/>
                <w:color w:val="auto"/>
              </w:rPr>
            </w:pPr>
          </w:p>
        </w:tc>
        <w:tc>
          <w:tcPr>
            <w:tcW w:w="6160" w:type="dxa"/>
            <w:vAlign w:val="bottom"/>
            <w:tcBorders>
              <w:bottom w:val="single" w:sz="8" w:color="auto"/>
              <w:right w:val="single" w:sz="8" w:color="auto"/>
            </w:tcBorders>
          </w:tcPr>
          <w:p>
            <w:pPr>
              <w:spacing w:after="0"/>
              <w:rPr>
                <w:sz w:val="17"/>
                <w:szCs w:val="17"/>
                <w:color w:val="auto"/>
              </w:rPr>
            </w:pPr>
          </w:p>
        </w:tc>
      </w:tr>
      <w:tr>
        <w:trPr>
          <w:trHeight w:val="234"/>
        </w:trPr>
        <w:tc>
          <w:tcPr>
            <w:tcW w:w="50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 +</w:t>
            </w:r>
          </w:p>
        </w:tc>
        <w:tc>
          <w:tcPr>
            <w:tcW w:w="6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(plus the Bonus Amount described above)</w:t>
            </w:r>
          </w:p>
        </w:tc>
      </w:tr>
      <w:tr>
        <w:trPr>
          <w:trHeight w:val="205"/>
        </w:trPr>
        <w:tc>
          <w:tcPr>
            <w:tcW w:w="5080" w:type="dxa"/>
            <w:vAlign w:val="bottom"/>
            <w:tcBorders>
              <w:left w:val="single" w:sz="8" w:color="auto"/>
              <w:bottom w:val="single" w:sz="8" w:color="auto"/>
              <w:right w:val="single" w:sz="8" w:color="auto"/>
            </w:tcBorders>
          </w:tcPr>
          <w:p>
            <w:pPr>
              <w:spacing w:after="0"/>
              <w:rPr>
                <w:sz w:val="17"/>
                <w:szCs w:val="17"/>
                <w:color w:val="auto"/>
              </w:rPr>
            </w:pPr>
          </w:p>
        </w:tc>
        <w:tc>
          <w:tcPr>
            <w:tcW w:w="6160" w:type="dxa"/>
            <w:vAlign w:val="bottom"/>
            <w:tcBorders>
              <w:bottom w:val="single" w:sz="8" w:color="auto"/>
              <w:right w:val="single" w:sz="8" w:color="auto"/>
            </w:tcBorders>
          </w:tcPr>
          <w:p>
            <w:pPr>
              <w:spacing w:after="0"/>
              <w:rPr>
                <w:sz w:val="17"/>
                <w:szCs w:val="17"/>
                <w:color w:val="auto"/>
              </w:rPr>
            </w:pPr>
          </w:p>
        </w:tc>
      </w:tr>
    </w:tbl>
    <w:p>
      <w:pPr>
        <w:spacing w:after="0" w:line="198" w:lineRule="exact"/>
        <w:rPr>
          <w:sz w:val="20"/>
          <w:szCs w:val="20"/>
          <w:color w:val="auto"/>
        </w:rPr>
      </w:pPr>
    </w:p>
    <w:p>
      <w:pPr>
        <w:ind w:right="20" w:firstLine="1304"/>
        <w:spacing w:after="0" w:line="266" w:lineRule="auto"/>
        <w:tabs>
          <w:tab w:leader="none" w:pos="187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 SUPPLIER agrees to provide commercially reasonable efforts to make necessary U.S. Food and Drug Administration (FDA) submissions, as needed (and amendments thereto, as applicable), to ensure continuous FDA approval of the Centers (as such term is defined below), at PLASMA SUPPLIER’s sole cost and expense.</w:t>
      </w:r>
    </w:p>
    <w:p>
      <w:pPr>
        <w:spacing w:after="0" w:line="175" w:lineRule="exact"/>
        <w:rPr>
          <w:rFonts w:ascii="Times New Roman" w:cs="Times New Roman" w:eastAsia="Times New Roman" w:hAnsi="Times New Roman"/>
          <w:sz w:val="18"/>
          <w:szCs w:val="18"/>
          <w:color w:val="auto"/>
        </w:rPr>
      </w:pPr>
    </w:p>
    <w:p>
      <w:pPr>
        <w:ind w:right="160" w:firstLine="1304"/>
        <w:spacing w:after="0" w:line="255" w:lineRule="auto"/>
        <w:tabs>
          <w:tab w:leader="none" w:pos="185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change to existing law, guidance or industry standard applicable to the plasma to be supplied pursuant to this Agreement or any one or more new government regulations, tests, quality procedure or change in the specifications requested by ADMA (any of the foregoing being a “</w:t>
      </w:r>
      <w:r>
        <w:rPr>
          <w:rFonts w:ascii="Times New Roman" w:cs="Times New Roman" w:eastAsia="Times New Roman" w:hAnsi="Times New Roman"/>
          <w:sz w:val="18"/>
          <w:szCs w:val="18"/>
          <w:b w:val="1"/>
          <w:bCs w:val="1"/>
          <w:color w:val="auto"/>
        </w:rPr>
        <w:t>Required Change</w:t>
      </w:r>
      <w:r>
        <w:rPr>
          <w:rFonts w:ascii="Times New Roman" w:cs="Times New Roman" w:eastAsia="Times New Roman" w:hAnsi="Times New Roman"/>
          <w:sz w:val="18"/>
          <w:szCs w:val="18"/>
          <w:color w:val="auto"/>
        </w:rPr>
        <w:t>”) is recommended but is not contemplated in this Agreement and results in a material increase to PLASMA SUPPLIER’s actual costs to procure, store, provide and supply the RSV Plasma, both Parties shall re-negotiate the change in the purchase price in good faith within [***] ([***]) days of the Required Change and the Parties’ obligations hereunder shall be suspended until such time as the Parties agree on a purchase price and, if not, this Agreement shall automatically terminate at the end of such [***] ([***])-day period without any penalties or further obligations by either Party, except for those specifically stated as surviving termination pursuant to Section D(4) below.</w:t>
      </w:r>
    </w:p>
    <w:p>
      <w:pPr>
        <w:spacing w:after="0" w:line="188" w:lineRule="exact"/>
        <w:rPr>
          <w:rFonts w:ascii="Times New Roman" w:cs="Times New Roman" w:eastAsia="Times New Roman" w:hAnsi="Times New Roman"/>
          <w:sz w:val="18"/>
          <w:szCs w:val="18"/>
          <w:color w:val="auto"/>
        </w:rPr>
      </w:pPr>
    </w:p>
    <w:p>
      <w:pPr>
        <w:ind w:right="80" w:firstLine="1304"/>
        <w:spacing w:after="0" w:line="274" w:lineRule="auto"/>
        <w:tabs>
          <w:tab w:leader="none" w:pos="188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demand for ADMA’s ASCENIV™ (immune globulin intravenous, human – slra 10% liquid) materially changes from the demand on the Effective Date, both Parties shall re-negotiate the annual volume requirements and price set forth in this </w:t>
      </w:r>
      <w:r>
        <w:rPr>
          <w:rFonts w:ascii="Times New Roman" w:cs="Times New Roman" w:eastAsia="Times New Roman" w:hAnsi="Times New Roman"/>
          <w:sz w:val="17"/>
          <w:szCs w:val="17"/>
          <w:u w:val="single" w:color="auto"/>
          <w:color w:val="auto"/>
        </w:rPr>
        <w:t>Section A.2</w:t>
      </w:r>
      <w:r>
        <w:rPr>
          <w:rFonts w:ascii="Times New Roman" w:cs="Times New Roman" w:eastAsia="Times New Roman" w:hAnsi="Times New Roman"/>
          <w:sz w:val="17"/>
          <w:szCs w:val="17"/>
          <w:color w:val="auto"/>
        </w:rPr>
        <w:t xml:space="preserve"> in good faith within [***] ([***]) days of ADMA’s written notice to PLASMA SUPPLIER of such material change in demand. ADMA shall continue to purchase RSV Plasma from PLASMA SUPPLIER on the existing terms set forth herein until such time as the Parties agree on updated volumes of RSV Plasma to be provided hereunder and, if an agreement is not reached, this Agreement shall automatically terminate at the end of such [***] ([***])-day period without any penalties or further obligations by either Party, except for those specifically stated as surviving termination pursuant to Section D(4) below.</w:t>
      </w:r>
    </w:p>
    <w:p>
      <w:pPr>
        <w:spacing w:after="0" w:line="168" w:lineRule="exact"/>
        <w:rPr>
          <w:rFonts w:ascii="Times New Roman" w:cs="Times New Roman" w:eastAsia="Times New Roman" w:hAnsi="Times New Roman"/>
          <w:sz w:val="17"/>
          <w:szCs w:val="17"/>
          <w:color w:val="auto"/>
        </w:rPr>
      </w:pPr>
    </w:p>
    <w:p>
      <w:pPr>
        <w:ind w:right="40" w:firstLine="656"/>
        <w:spacing w:after="0" w:line="257" w:lineRule="auto"/>
        <w:tabs>
          <w:tab w:leader="none" w:pos="1233"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TERMS</w:t>
      </w:r>
      <w:r>
        <w:rPr>
          <w:rFonts w:ascii="Times New Roman" w:cs="Times New Roman" w:eastAsia="Times New Roman" w:hAnsi="Times New Roman"/>
          <w:sz w:val="18"/>
          <w:szCs w:val="18"/>
          <w:color w:val="auto"/>
        </w:rPr>
        <w:t>. ADMA shall deliver payment in full to PLASMA SUPPLIER for all RSV Plasma shipped to ADMA within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days from ADMA’s receipt of the corresponding invoice. PLASMA SUPPLIER shall issue invoices promptly after ADMA or its carrier takes possession of the RSV Plasma from the Designated Location (as defined below) or, in the event PLASMA SUPPLIER earns the Bonus Amount, such invoice shall be issued promptly following the end of the applicable Contract Year. All payments due hereunder from ADMA to PLASMA SUPPLIER shall be sent to PLASMA SUPPLIER at the times set forth herein delivered in the form of wire transfer or check to such accounts as PLASMA SUPPLIER may designate to ADMA.</w:t>
      </w:r>
    </w:p>
    <w:p>
      <w:pPr>
        <w:spacing w:after="0" w:line="357" w:lineRule="exact"/>
        <w:rPr>
          <w:rFonts w:ascii="Times New Roman" w:cs="Times New Roman" w:eastAsia="Times New Roman" w:hAnsi="Times New Roman"/>
          <w:sz w:val="18"/>
          <w:szCs w:val="18"/>
          <w:b w:val="1"/>
          <w:bCs w:val="1"/>
          <w:color w:val="auto"/>
        </w:rPr>
      </w:pPr>
    </w:p>
    <w:p>
      <w:pPr>
        <w:ind w:left="5580" w:hanging="76"/>
        <w:spacing w:after="0"/>
        <w:tabs>
          <w:tab w:leader="none" w:pos="5580" w:val="left"/>
        </w:tabs>
        <w:numPr>
          <w:ilvl w:val="2"/>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6" w:name="page137"/>
    <w:bookmarkEnd w:id="136"/>
    <w:p>
      <w:pPr>
        <w:ind w:left="1300"/>
        <w:spacing w:after="0"/>
        <w:rPr>
          <w:sz w:val="20"/>
          <w:szCs w:val="20"/>
          <w:color w:val="auto"/>
        </w:rPr>
      </w:pPr>
      <w:r>
        <w:rPr>
          <w:rFonts w:ascii="Times New Roman" w:cs="Times New Roman" w:eastAsia="Times New Roman" w:hAnsi="Times New Roman"/>
          <w:sz w:val="18"/>
          <w:szCs w:val="18"/>
          <w:u w:val="single" w:color="auto"/>
          <w:color w:val="auto"/>
        </w:rPr>
        <w:t>Invoices to ADMA, and inquiries and correspondence regarding payment, shall be directed to</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ADMA Biologics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Accounts Payable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5800 Park of Commerce Blvd., NW</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Boca Raton, FL 33487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Wire transfer instructions and a check mailing address will be provided to ADMA by PLASMA SUPPLIER under separate written notice, e-mail being sufficient. Modifications of bank account information, including wiring instructions, and any payment address shall be confirmed pursuant to written notice (email being sufficient) and verbally confirmed by the Parties.</w:t>
      </w:r>
    </w:p>
    <w:p>
      <w:pPr>
        <w:spacing w:after="0" w:line="172" w:lineRule="exact"/>
        <w:rPr>
          <w:sz w:val="20"/>
          <w:szCs w:val="20"/>
          <w:color w:val="auto"/>
        </w:rPr>
      </w:pPr>
    </w:p>
    <w:p>
      <w:pPr>
        <w:ind w:left="1240" w:hanging="584"/>
        <w:spacing w:after="0"/>
        <w:tabs>
          <w:tab w:leader="none" w:pos="12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INSPECTION AND ACCEPTANCE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1304"/>
        <w:spacing w:after="0" w:line="255" w:lineRule="auto"/>
        <w:tabs>
          <w:tab w:leader="none" w:pos="187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 SUPPLIER shall make RSV Plasma available for pickup at PLASMA SUPPLIER’s approved GPLCE [***] and GPLCW [***] (the “</w:t>
      </w:r>
      <w:r>
        <w:rPr>
          <w:rFonts w:ascii="Times New Roman" w:cs="Times New Roman" w:eastAsia="Times New Roman" w:hAnsi="Times New Roman"/>
          <w:sz w:val="18"/>
          <w:szCs w:val="18"/>
          <w:b w:val="1"/>
          <w:bCs w:val="1"/>
          <w:color w:val="auto"/>
        </w:rPr>
        <w:t>Designated Location</w:t>
      </w:r>
      <w:r>
        <w:rPr>
          <w:rFonts w:ascii="Times New Roman" w:cs="Times New Roman" w:eastAsia="Times New Roman" w:hAnsi="Times New Roman"/>
          <w:sz w:val="18"/>
          <w:szCs w:val="18"/>
          <w:color w:val="auto"/>
        </w:rPr>
        <w:t xml:space="preserve">”), as set forth in a delivery schedule to be mutually agreed to by the Parties from time to time as hereinafter provided herein, unless otherwise mutually agreed between the Parties. Title and risk of loss shall pass upon transfer of the RSV Plasma to ADMA at [***]. ADMA shall inspect each shipment of RSV Plasma for conformity with the specifications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ADMA Specifications</w:t>
      </w:r>
      <w:r>
        <w:rPr>
          <w:rFonts w:ascii="Times New Roman" w:cs="Times New Roman" w:eastAsia="Times New Roman" w:hAnsi="Times New Roman"/>
          <w:sz w:val="18"/>
          <w:szCs w:val="18"/>
          <w:color w:val="auto"/>
        </w:rPr>
        <w:t>”) within [***] ([***]) days following delivery of RSV Plasma to ADMA’s Boca Raton, Florida campus. ADMA shall promptly notify PLASMA SUPPLIER in writing of its determination of any non-conformity of the RSV Plasma with ADMA Specifications within such aforementioned [***] ([***])-day period (“</w:t>
      </w:r>
      <w:r>
        <w:rPr>
          <w:rFonts w:ascii="Times New Roman" w:cs="Times New Roman" w:eastAsia="Times New Roman" w:hAnsi="Times New Roman"/>
          <w:sz w:val="18"/>
          <w:szCs w:val="18"/>
          <w:b w:val="1"/>
          <w:bCs w:val="1"/>
          <w:color w:val="auto"/>
        </w:rPr>
        <w:t>Non-Conformity Notice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60" w:firstLine="1304"/>
        <w:spacing w:after="0" w:line="254" w:lineRule="auto"/>
        <w:tabs>
          <w:tab w:leader="none" w:pos="188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Non-Conformity Notice is received by PLASMA SUPPLIER within the time period specified in </w:t>
      </w:r>
      <w:r>
        <w:rPr>
          <w:rFonts w:ascii="Times New Roman" w:cs="Times New Roman" w:eastAsia="Times New Roman" w:hAnsi="Times New Roman"/>
          <w:sz w:val="18"/>
          <w:szCs w:val="18"/>
          <w:u w:val="single" w:color="auto"/>
          <w:color w:val="auto"/>
        </w:rPr>
        <w:t>Section A.4(a)</w:t>
      </w:r>
      <w:r>
        <w:rPr>
          <w:rFonts w:ascii="Times New Roman" w:cs="Times New Roman" w:eastAsia="Times New Roman" w:hAnsi="Times New Roman"/>
          <w:sz w:val="18"/>
          <w:szCs w:val="18"/>
          <w:color w:val="auto"/>
        </w:rPr>
        <w:t xml:space="preserve"> above, the Parties shall meet within [***] ([***]) business days following PLASMA SUPPLIER’s receipt of the Non-Conformity Notice to determine whether such RSV Plasma meets the ADMA Specifications. If it is determined by both Parties that the RSV Plasma does not meet the ADMA Specifications, PLASMA SUPPLIER shall replace any non-conforming RSV Plasma, as promptly as possible, taking into account the time required to produce such quantities of RSV Plasma. In the event the Parties fail to agree whether or not any given shipment of RSV Plasma conforms with the ADMA Specifications, then the matter will be promptly referred to an independent expert agreed upon in good faith by both Parties, whose decision shall be binding on the Parties. The cost of referral to the expert will be borne by the Party determined to have been in error as to conformity, or lack thereof, with the ADMA Specifications. ADMA shall not be required to pay for any non-conforming RSV Plasma.</w:t>
      </w:r>
    </w:p>
    <w:p>
      <w:pPr>
        <w:spacing w:after="0" w:line="19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shipment of RSV Plasma delivered, PLASMA SUPPLIER shall provide to ADMA all documents required in ADMA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Specifications.</w:t>
      </w:r>
    </w:p>
    <w:p>
      <w:pPr>
        <w:spacing w:after="0" w:line="377"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2"/>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ind w:left="-8" w:firstLine="656"/>
        <w:spacing w:after="0" w:line="259" w:lineRule="auto"/>
        <w:tabs>
          <w:tab w:leader="none" w:pos="122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SHIPMENT TERMS</w:t>
      </w:r>
      <w:r>
        <w:rPr>
          <w:rFonts w:ascii="Times New Roman" w:cs="Times New Roman" w:eastAsia="Times New Roman" w:hAnsi="Times New Roman"/>
          <w:sz w:val="18"/>
          <w:szCs w:val="18"/>
          <w:color w:val="auto"/>
        </w:rPr>
        <w:t>. PLASMA SUPPLIER shall pay for all shipments to the Designated Location in accordance with the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agreed to by the Parties. ADMA will take ownership and bear all risk of loss upon pick up by ADMA or ADMA’s designated carrier from [***]. ADMA shall use commercially reasonable efforts to arrange to have the RSV Plasma picked up at least [***] ([***]) times a year in approximately equally spaced intervals. ADMA shall, at its own expense, be responsible for freight charges, insurance, handling and forwarding agent’s fees, taxes, storage and all other charges applicable to the RSV Plasma from that Designated Location.</w:t>
      </w:r>
    </w:p>
    <w:p>
      <w:pPr>
        <w:spacing w:after="0" w:line="17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b w:val="1"/>
          <w:bCs w:val="1"/>
          <w:u w:val="single" w:color="auto"/>
          <w:color w:val="auto"/>
        </w:rPr>
        <w:t>QUALITY OF RSV PLASMA.</w:t>
      </w:r>
    </w:p>
    <w:p>
      <w:pPr>
        <w:spacing w:after="0" w:line="229" w:lineRule="exact"/>
        <w:rPr>
          <w:sz w:val="20"/>
          <w:szCs w:val="20"/>
          <w:color w:val="auto"/>
        </w:rPr>
      </w:pPr>
    </w:p>
    <w:p>
      <w:pPr>
        <w:ind w:left="-8" w:right="100" w:firstLine="656"/>
        <w:spacing w:after="0" w:line="252" w:lineRule="auto"/>
        <w:tabs>
          <w:tab w:leader="none" w:pos="1225"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PLASMA SUPPLIER shall provide ADMA, at no cost to ADMA, plasma samples in amounts and at times mutually agreed upon by ADMA and PLASMA SUPPLIER to enable ADMA to test and identify plasma donors suitable for producing RSV Plasma for ADMA in accordance with the ADMA Specifications (“</w:t>
      </w:r>
      <w:r>
        <w:rPr>
          <w:rFonts w:ascii="Times New Roman" w:cs="Times New Roman" w:eastAsia="Times New Roman" w:hAnsi="Times New Roman"/>
          <w:sz w:val="18"/>
          <w:szCs w:val="18"/>
          <w:b w:val="1"/>
          <w:bCs w:val="1"/>
          <w:color w:val="auto"/>
        </w:rPr>
        <w:t>Source Plasma Specifications</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incorporated herein by reference. ADMA shall bear the cost of freight for such samples to their designation location. For the avoidance of doubt, ADMA will bear all costs associated with the testing of the samples. Based on said testing, ADMA shall identify plasma donors whom ADMA has tested as suitable for producing RSV Plasma in accordance with ADMA Specifications (“</w:t>
      </w:r>
      <w:r>
        <w:rPr>
          <w:rFonts w:ascii="Times New Roman" w:cs="Times New Roman" w:eastAsia="Times New Roman" w:hAnsi="Times New Roman"/>
          <w:sz w:val="18"/>
          <w:szCs w:val="18"/>
          <w:b w:val="1"/>
          <w:bCs w:val="1"/>
          <w:color w:val="auto"/>
        </w:rPr>
        <w:t>Acceptable Donors</w:t>
      </w:r>
      <w:r>
        <w:rPr>
          <w:rFonts w:ascii="Times New Roman" w:cs="Times New Roman" w:eastAsia="Times New Roman" w:hAnsi="Times New Roman"/>
          <w:sz w:val="18"/>
          <w:szCs w:val="18"/>
          <w:color w:val="auto"/>
        </w:rPr>
        <w:t>”). PLASMA SUPPLIER shall produce RSV Plasma for ADMA based on the number of Acceptable Donors identified by ADMA. ADMA’s acceptance of the donor shall not constitute ADMA’s acceptance of RSV Plasma. PLASMA SUPPLIER will use commercially reasonable efforts in-line with industry standard incentive programs and donor retention programs to provide plasma from as many of the Acceptable Donors identified by ADMA as possible. In particular, PLASMA SUPPLIER covenants and agrees, unless otherwise permitted by ADMA in writing (e-mail being acceptable), to provide samples for RSV donor testing from: (i) [***] Centers from the Effective Date through [***]; (ii) [***] Centers from [***] through [***]; (iii) [***] Centers from [***] through [***]; (iv) [***] Centers from [***] through [***]; and (v) [***] Centers from</w:t>
      </w:r>
    </w:p>
    <w:p>
      <w:pPr>
        <w:spacing w:after="0" w:line="3" w:lineRule="exact"/>
        <w:rPr>
          <w:rFonts w:ascii="Times New Roman" w:cs="Times New Roman" w:eastAsia="Times New Roman" w:hAnsi="Times New Roman"/>
          <w:sz w:val="18"/>
          <w:szCs w:val="18"/>
          <w:b w:val="1"/>
          <w:bCs w:val="1"/>
          <w:color w:val="auto"/>
        </w:rPr>
      </w:pPr>
    </w:p>
    <w:p>
      <w:pPr>
        <w:ind w:left="432" w:hanging="432"/>
        <w:spacing w:after="0"/>
        <w:tabs>
          <w:tab w:leader="none" w:pos="43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remainder of the Term.</w:t>
      </w:r>
    </w:p>
    <w:p>
      <w:pPr>
        <w:spacing w:after="0" w:line="206" w:lineRule="exact"/>
        <w:rPr>
          <w:rFonts w:ascii="Times New Roman" w:cs="Times New Roman" w:eastAsia="Times New Roman" w:hAnsi="Times New Roman"/>
          <w:sz w:val="18"/>
          <w:szCs w:val="18"/>
          <w:color w:val="auto"/>
        </w:rPr>
      </w:pPr>
    </w:p>
    <w:p>
      <w:pPr>
        <w:ind w:left="-8" w:right="80" w:firstLine="656"/>
        <w:spacing w:after="0" w:line="254" w:lineRule="auto"/>
        <w:tabs>
          <w:tab w:leader="none" w:pos="1225"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Once ADMA has identified a donor as an Acceptable Donor and notified PLASMA SUPPLIER in writing of such designation (e-mail being sufficient), ADMA agrees to purchase all RSV Plasma collected from the Acceptable Donor until it notifies PLASMA SUPPLIER in writing (e-mail being sufficient) that the donor is no longer an Acceptable Donor. ADMA is obligated to purchase all RSV Plasma, on a monthly basis, from Acceptable Donors that PLASMA SUPPLIER has collected and delivered in conformity with the ADMA Specifications. ADMA may, upon [***] ([***]) business days’ prior written notice (e-mail being sufficient), terminate Acceptable Donor status for any donor at any time at its sole discretion. ADMA will not be obligated to purchase RSV Plasma from donors who are not Acceptable Donors or have been dropped as Acceptable Donors following ADMA’s [***] ([***]) business days’ written drop notification. ADMA will be obligated to purchase any RSV Plasma collected through the drop notification period. Business days are defined as Monday through Friday 9am to 5pm Eastern Standard Time, with weekends and holidays (applicable to each Center) specifically excluded.</w:t>
      </w:r>
    </w:p>
    <w:p>
      <w:pPr>
        <w:spacing w:after="0" w:line="188" w:lineRule="exact"/>
        <w:rPr>
          <w:rFonts w:ascii="Times New Roman" w:cs="Times New Roman" w:eastAsia="Times New Roman" w:hAnsi="Times New Roman"/>
          <w:sz w:val="18"/>
          <w:szCs w:val="18"/>
          <w:b w:val="1"/>
          <w:bCs w:val="1"/>
          <w:color w:val="auto"/>
        </w:rPr>
      </w:pPr>
    </w:p>
    <w:p>
      <w:pPr>
        <w:ind w:left="-8" w:right="40" w:firstLine="656"/>
        <w:spacing w:after="0" w:line="266" w:lineRule="auto"/>
        <w:tabs>
          <w:tab w:leader="none" w:pos="1225"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PLASMA SUPPLIER shall have no obligation to provide RSV Plasma to ADMA in the event the failure to provide RSV Plasma is due to a Force Majeure Event described in </w:t>
      </w:r>
      <w:r>
        <w:rPr>
          <w:rFonts w:ascii="Times New Roman" w:cs="Times New Roman" w:eastAsia="Times New Roman" w:hAnsi="Times New Roman"/>
          <w:sz w:val="18"/>
          <w:szCs w:val="18"/>
          <w:u w:val="single" w:color="auto"/>
          <w:color w:val="auto"/>
        </w:rPr>
        <w:t>Article F</w:t>
      </w:r>
      <w:r>
        <w:rPr>
          <w:rFonts w:ascii="Times New Roman" w:cs="Times New Roman" w:eastAsia="Times New Roman" w:hAnsi="Times New Roman"/>
          <w:sz w:val="18"/>
          <w:szCs w:val="18"/>
          <w:color w:val="auto"/>
        </w:rPr>
        <w:t xml:space="preserve"> or the unavailability of Acceptable Donors. Additionally, ADMA shall have no obligation to purchase RSV Plasma from PLASMA SUPPLIER in the event of a Force Majeure Event affecting ADMA.</w:t>
      </w:r>
    </w:p>
    <w:p>
      <w:pPr>
        <w:spacing w:after="0" w:line="346" w:lineRule="exact"/>
        <w:rPr>
          <w:rFonts w:ascii="Times New Roman" w:cs="Times New Roman" w:eastAsia="Times New Roman" w:hAnsi="Times New Roman"/>
          <w:sz w:val="18"/>
          <w:szCs w:val="18"/>
          <w:b w:val="1"/>
          <w:bCs w:val="1"/>
          <w:color w:val="auto"/>
        </w:rPr>
      </w:pPr>
    </w:p>
    <w:p>
      <w:pPr>
        <w:ind w:left="5572" w:hanging="76"/>
        <w:spacing w:after="0"/>
        <w:tabs>
          <w:tab w:leader="none" w:pos="5572"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38" w:name="page139"/>
    <w:bookmarkEnd w:id="138"/>
    <w:p>
      <w:pPr>
        <w:ind w:left="-656" w:right="80" w:firstLine="656"/>
        <w:spacing w:after="0" w:line="266" w:lineRule="auto"/>
        <w:tabs>
          <w:tab w:leader="none" w:pos="57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Following donor acceptance and receipt of such RSV Plasma units into ADMA’s inventory in accordance with </w:t>
      </w:r>
      <w:r>
        <w:rPr>
          <w:rFonts w:ascii="Times New Roman" w:cs="Times New Roman" w:eastAsia="Times New Roman" w:hAnsi="Times New Roman"/>
          <w:sz w:val="18"/>
          <w:szCs w:val="18"/>
          <w:u w:val="single" w:color="auto"/>
          <w:color w:val="auto"/>
        </w:rPr>
        <w:t>Section A.4</w:t>
      </w:r>
      <w:r>
        <w:rPr>
          <w:rFonts w:ascii="Times New Roman" w:cs="Times New Roman" w:eastAsia="Times New Roman" w:hAnsi="Times New Roman"/>
          <w:sz w:val="18"/>
          <w:szCs w:val="18"/>
          <w:color w:val="auto"/>
        </w:rPr>
        <w:t xml:space="preserve"> (Inspection and Acceptance), ADMA shall bear the expense of unusable RSV Plasma due to a recall, or the destruction of any RSV Plasma due to post-donation “look back” issues in accordance with FDA regulations and guidance.</w:t>
      </w:r>
    </w:p>
    <w:p>
      <w:pPr>
        <w:spacing w:after="0" w:line="175" w:lineRule="exact"/>
        <w:rPr>
          <w:rFonts w:ascii="Times New Roman" w:cs="Times New Roman" w:eastAsia="Times New Roman" w:hAnsi="Times New Roman"/>
          <w:sz w:val="18"/>
          <w:szCs w:val="18"/>
          <w:b w:val="1"/>
          <w:bCs w:val="1"/>
          <w:color w:val="auto"/>
        </w:rPr>
      </w:pPr>
    </w:p>
    <w:p>
      <w:pPr>
        <w:ind w:left="-656" w:right="480" w:firstLine="656"/>
        <w:spacing w:after="0" w:line="261" w:lineRule="auto"/>
        <w:tabs>
          <w:tab w:leader="none" w:pos="66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PLASMA SUPPLIER shall supply to ADMA, for the Term, RSV Plasma to be derived from automated plasmapheresis procedures conducted at plasma centers approved by ADMA and specified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Centers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be updated from time to time to reflect additional Centers approved by ADMA to be built or otherwise collecting RSV Plasma by PLASMA SUPPLIER or its affiliates/subsidiaries which PLASMA SUPPLIER will utilize to supply RSV Plasma pursuant to the terms of this Agreement.</w:t>
      </w:r>
    </w:p>
    <w:p>
      <w:pPr>
        <w:spacing w:after="0" w:line="179" w:lineRule="exact"/>
        <w:rPr>
          <w:rFonts w:ascii="Times New Roman" w:cs="Times New Roman" w:eastAsia="Times New Roman" w:hAnsi="Times New Roman"/>
          <w:sz w:val="18"/>
          <w:szCs w:val="18"/>
          <w:b w:val="1"/>
          <w:bCs w:val="1"/>
          <w:color w:val="auto"/>
        </w:rPr>
      </w:pPr>
    </w:p>
    <w:p>
      <w:pPr>
        <w:ind w:left="-656" w:right="40" w:firstLine="656"/>
        <w:spacing w:after="0" w:line="254" w:lineRule="auto"/>
        <w:tabs>
          <w:tab w:leader="none" w:pos="65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ADMA Biologics, Inc. and PLASMA SUPPLIER shall execute a mutually agreeable Amended and Restated Source Plasma Specifications and Quality Agreement within [***] ([***]) days of the Effective Date, which shall be attached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A&amp;R Quality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Until such time that the A&amp;R Quality Agreement is fully executed, that certain Source Plasma Specification and Quality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November 17, 2011, by and between ADMA Biologics, Inc. and PLASMA SUPPLIER (as successor-in-interest to Biotest Pharmaceuticals Corporation), shall remain in effect. In the event of a conflict between any of the provisions of this Agreement and the Quality Agreement or A&amp;R Quality Agreement, as applicable, with respect to quality-related activities, including compliance with applicable laws, the provisions of the Quality Agreement or A&amp;R Quality Agreement, as applicable, shall prevail. In the event of a conflict between any of the provisions of this Agreement and the Quality Agreement or A&amp;R Quality Agreement, as applicable, with respect to any commercial matters, including allocation of risk, liability, and financial responsibility, the provisions of this Agreement shall prevail.</w:t>
      </w:r>
    </w:p>
    <w:p>
      <w:pPr>
        <w:spacing w:after="0" w:line="188" w:lineRule="exact"/>
        <w:rPr>
          <w:rFonts w:ascii="Times New Roman" w:cs="Times New Roman" w:eastAsia="Times New Roman" w:hAnsi="Times New Roman"/>
          <w:sz w:val="18"/>
          <w:szCs w:val="18"/>
          <w:b w:val="1"/>
          <w:bCs w:val="1"/>
          <w:color w:val="auto"/>
        </w:rPr>
      </w:pPr>
    </w:p>
    <w:p>
      <w:pPr>
        <w:ind w:left="-656" w:firstLine="656"/>
        <w:spacing w:after="0" w:line="253" w:lineRule="auto"/>
        <w:tabs>
          <w:tab w:leader="none" w:pos="62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ADMA shall have the right to conduct inspections of PLASMA SUPPLIER’s Centers and facilities pertaining to the RSV Plasma at times mutually agreeable to the Parties. Such inspections shall be limited to matters directly related to this Agreement and shall be conducted in conformance with generally accepted industry practices. ADMA will provide PLASMA SUPPLIER with not less than [***] ([***]) days’ notice prior to any of its inspections, unless mutually agreed otherwise by the Parties. Upon receipt of ADMA’s inspection report, PLASMA SUPPLIER shall have [***] ([***]) days to send a written response to ADMA, outlining the corrective actions that PLASMA SUPPLIER will take at its expense, to correct the inspection deficiencies. Further, PLASMA SUPPLIER agrees to provide ADMA with copies of all written reports (including FDA 483s) and correspondence between PLASMA SUPPLIER and any governmental agency regarding any such inspection or review of records within [***] ([***]) days of (i) receipt of any such report or correspondence from the governmental agency or (ii) the issuance or delivery of any response or correspondence by PLASMA SUPPLIER; provided, however, that in the event the report or correspondence relates to a material problem that could effect the continuous supply, or quality of the Plasma, then PLASMA SUPPLIER agrees to use all reasonable efforts to notify ADMA within [***] ([***]) days of receipt of such report or correspondence and to promptly provide ADMA with a copy of such report or correspondence.</w:t>
      </w:r>
    </w:p>
    <w:p>
      <w:pPr>
        <w:spacing w:after="0" w:line="362" w:lineRule="exact"/>
        <w:rPr>
          <w:rFonts w:ascii="Times New Roman" w:cs="Times New Roman" w:eastAsia="Times New Roman" w:hAnsi="Times New Roman"/>
          <w:sz w:val="18"/>
          <w:szCs w:val="18"/>
          <w:b w:val="1"/>
          <w:bCs w:val="1"/>
          <w:color w:val="auto"/>
        </w:rPr>
      </w:pPr>
    </w:p>
    <w:p>
      <w:pPr>
        <w:ind w:left="4924" w:hanging="76"/>
        <w:spacing w:after="0"/>
        <w:tabs>
          <w:tab w:leader="none" w:pos="4924"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39" w:name="page140"/>
    <w:bookmarkEnd w:id="139"/>
    <w:p>
      <w:pPr>
        <w:ind w:left="-8" w:firstLine="656"/>
        <w:spacing w:after="0" w:line="258" w:lineRule="auto"/>
        <w:tabs>
          <w:tab w:leader="none" w:pos="1270"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PLASMA SUPPLIER, in compliance with 21 CFR §640.69(f), agrees to hold all RSV Plasma units for a minimum of [***] ([***]) calendar days from the collection date prior to delivery of the RSV Plasma to the Designated Location. ADMA further agrees that if ADMA is informed by PLASMA SUPPLIER (through the established lookback process) that a donor has been subsequently deferred pursuant to 21 CFR §610.41 or subsequently determined to be ineligible under 21 CFR §630.10 due to risk factors closely associated with exposure to, or clinical evidence of, infection due to a relevant transfusion-transmitted infection, all donations on hold from that donor will not be used in the further manufacturing of injectable products.</w:t>
      </w:r>
    </w:p>
    <w:p>
      <w:pPr>
        <w:spacing w:after="0" w:line="179"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8" w:right="120" w:firstLine="656"/>
        <w:spacing w:after="0" w:line="255" w:lineRule="auto"/>
        <w:tabs>
          <w:tab w:leader="none" w:pos="1225"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hereto hereby represents and warrants to the other as follows: (i) such Party hereto has all requisite power and authority to enter into this Agreement and to consummate the transactions contemplated hereby, (ii) such Party is validly organized and existing and in good standing under the laws of the jurisdiction of its incorporation or organization, (iii) such Party is duly qualified to do business and is in good standing as a foreign entity in each jurisdiction where the nature of its business requires such qualification, (iv) the execution and delivery of this Agreement and the consummation by such Party of the transactions contemplated hereby have been duly authorized by all necessary action on the part of such Party, and (v) this Agreement has been duly and validly executed and delivered by such Party and constitutes the valid and binding obligation of such Party, enforceable against such Party in accordance with its terms.</w:t>
      </w:r>
    </w:p>
    <w:p>
      <w:pPr>
        <w:spacing w:after="0" w:line="188" w:lineRule="exact"/>
        <w:rPr>
          <w:rFonts w:ascii="Times New Roman" w:cs="Times New Roman" w:eastAsia="Times New Roman" w:hAnsi="Times New Roman"/>
          <w:sz w:val="18"/>
          <w:szCs w:val="18"/>
          <w:b w:val="1"/>
          <w:bCs w:val="1"/>
          <w:color w:val="auto"/>
        </w:rPr>
      </w:pPr>
    </w:p>
    <w:p>
      <w:pPr>
        <w:ind w:left="-8" w:firstLine="656"/>
        <w:spacing w:after="0" w:line="261" w:lineRule="auto"/>
        <w:tabs>
          <w:tab w:leader="none" w:pos="1225"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PLASMA SUPPLIER represents and warrants that it will only release RSV Plasma to ADMA or its loading dock under this Agreement from the Designated Location that have the requisite FDA approval at the time of such release, and that it shall thereafter maintain such approval during the Term of this Agreement. All information provided by PLASMA SUPPLIER to ADMA with respect to the RSV Plasma is complete and accurate in all material respects.</w:t>
      </w:r>
    </w:p>
    <w:p>
      <w:pPr>
        <w:spacing w:after="0" w:line="179" w:lineRule="exact"/>
        <w:rPr>
          <w:rFonts w:ascii="Times New Roman" w:cs="Times New Roman" w:eastAsia="Times New Roman" w:hAnsi="Times New Roman"/>
          <w:sz w:val="18"/>
          <w:szCs w:val="18"/>
          <w:b w:val="1"/>
          <w:bCs w:val="1"/>
          <w:color w:val="auto"/>
        </w:rPr>
      </w:pPr>
    </w:p>
    <w:p>
      <w:pPr>
        <w:ind w:left="-8" w:right="20" w:firstLine="656"/>
        <w:spacing w:after="0" w:line="272" w:lineRule="auto"/>
        <w:tabs>
          <w:tab w:leader="none" w:pos="1225" w:val="left"/>
        </w:tabs>
        <w:numPr>
          <w:ilvl w:val="1"/>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PLASMA SUPPLIER represents and warrants to ADMA that RSV Plasma will be collected, produced, packaged, labeled, handled, stored and shipped in accordance with ADMA Specifications, the Quality Agreement or A&amp;R Quality Agreement, as applicable, and PLASMA SUPPLIER approved standard operating procedures. PLASMA SUPPLIER represents, warrants and agrees that any and all RSV Plasma shall be collected, produced and packaged, labeled, handled, stored and shipped in accordance with all applicable local, state and federal laws, regulations, and requirements. ADMA shall have all rights and remedies available to it under this Agreement and shall not be obligated to buy or pay for any RSV Plasma which does not, in all respects, comply with the ADMA Specifications and applicable law, rules and regulations and as otherwise required by this Agreement, provided ADMA must submit notification of rejection within [***] ([***]) days of receipt of such RSV Plasma. PLASMA SUPPLIER represents and warrants that its collection and supply of RSV Plasma under this Agreement will not breach or misappropriate the intellectual property rights of any third party.</w:t>
      </w:r>
    </w:p>
    <w:p>
      <w:pPr>
        <w:spacing w:after="0" w:line="171" w:lineRule="exact"/>
        <w:rPr>
          <w:rFonts w:ascii="Times New Roman" w:cs="Times New Roman" w:eastAsia="Times New Roman" w:hAnsi="Times New Roman"/>
          <w:sz w:val="17"/>
          <w:szCs w:val="17"/>
          <w:b w:val="1"/>
          <w:bCs w:val="1"/>
          <w:color w:val="auto"/>
        </w:rPr>
      </w:pPr>
    </w:p>
    <w:p>
      <w:pPr>
        <w:ind w:left="-8" w:right="20" w:firstLine="656"/>
        <w:spacing w:after="0" w:line="266" w:lineRule="auto"/>
        <w:tabs>
          <w:tab w:leader="none" w:pos="1225"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SET FORTH HEREIN, PLASMA SUPPLIER MAKES NO REPRESENTATIONS NOR EXTENDS ANY WARRANTIES OR CONDITIONS OF ANY KIND, EITHER EXPRESS OR IMPLIED, WITH RESPECT TO RSV PLASMA, INCLUDING, BUT NOT LIMITED TO, WARRANTIES OF MERCHANTABILITY.</w:t>
      </w:r>
    </w:p>
    <w:p>
      <w:pPr>
        <w:spacing w:after="0" w:line="346" w:lineRule="exact"/>
        <w:rPr>
          <w:rFonts w:ascii="Times New Roman" w:cs="Times New Roman" w:eastAsia="Times New Roman" w:hAnsi="Times New Roman"/>
          <w:sz w:val="18"/>
          <w:szCs w:val="18"/>
          <w:b w:val="1"/>
          <w:bCs w:val="1"/>
          <w:color w:val="auto"/>
        </w:rPr>
      </w:pPr>
    </w:p>
    <w:p>
      <w:pPr>
        <w:ind w:left="5572" w:hanging="76"/>
        <w:spacing w:after="0"/>
        <w:tabs>
          <w:tab w:leader="none" w:pos="5572" w:val="left"/>
        </w:tabs>
        <w:numPr>
          <w:ilvl w:val="2"/>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140" w:name="page141"/>
    <w:bookmarkEnd w:id="140"/>
    <w:p>
      <w:pPr>
        <w:ind w:left="652" w:hanging="652"/>
        <w:spacing w:after="0"/>
        <w:tabs>
          <w:tab w:leader="none" w:pos="652"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232" w:hanging="584"/>
        <w:spacing w:after="0"/>
        <w:tabs>
          <w:tab w:leader="none" w:pos="1232"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8" w:right="20" w:firstLine="1304"/>
        <w:spacing w:after="0" w:line="253" w:lineRule="auto"/>
        <w:tabs>
          <w:tab w:leader="none" w:pos="1862"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to maintain the confidentiality of the contents of this Agreement, the dealings between the Parties under this Agreement and any other confidential, non-public or proprietary information disclosed by the other Party during the Term, whether or not such information is labeled or otherwise identified as “confidential,” including that obtained through documents (whether written or electronic), observations, inspections or audits, and discussions (collectively,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with the same degree of care as they use to protect their own proprietary, confidential or trade secret information. A receiving Party shall not disclose to any third party, excluding such Party’s affiliates, agents, attorneys, consultants, advisors, and other representatives with a need-to-know such information and that is under an obligation of confidentiality therewith, any Confidential Information received from the disclosing Party hereunder without that disclosing Party’s prior written consent and shall use it only for the purpose of this Agreement. Said obligation of secrecy shall not apply to any information which (a) was in the public domain at the time of its disclosure or thereafter becomes part of the public domain by publication or otherwise subsequent to the time of disclosure under this Agreement through no fault of the receiving Party; (b) was known to the receiving Party or in its possession prior to or at the time of disclosure as shown by written records; (c) is independently developed by the receiving Party without use of the other Party’s Confidential Information as shown by written documentation; (d) is disclosed with the written approval of the disclosing Party; or (e) is rightfully furnished to the receiving Party by a third party having the authority to disclose such Confidential Information without restrictions.</w:t>
      </w:r>
    </w:p>
    <w:p>
      <w:pPr>
        <w:spacing w:after="0" w:line="187" w:lineRule="exact"/>
        <w:rPr>
          <w:rFonts w:ascii="Times New Roman" w:cs="Times New Roman" w:eastAsia="Times New Roman" w:hAnsi="Times New Roman"/>
          <w:sz w:val="18"/>
          <w:szCs w:val="18"/>
          <w:color w:val="auto"/>
        </w:rPr>
      </w:pPr>
    </w:p>
    <w:p>
      <w:pPr>
        <w:ind w:left="-8" w:right="40" w:firstLine="1304"/>
        <w:spacing w:after="0" w:line="256" w:lineRule="auto"/>
        <w:tabs>
          <w:tab w:leader="none" w:pos="1873"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is required to disclose the other Party’s Confidential Information by law or regulation or in response to a valid order of a court or other governmental body, or for registration of a product by competent authorities, such disclosure is permissible under this Section C.1, but only to the extent required under such law, regulation, order or registration, and only if the receiving Party, to the extent legally permissible, first notifies the disclosing Party of the required disclosure and permits the disclosing Party, at its expense, to seek an appropriate legal remedy to maintain the confidentiality of the Confidential Information to the maximum extent possible. All Confidential Information is provided “AS IS” and without any warranty, express, implied or otherwise regarding its accuracy or performance.</w:t>
      </w:r>
    </w:p>
    <w:p>
      <w:pPr>
        <w:spacing w:after="0" w:line="187" w:lineRule="exact"/>
        <w:rPr>
          <w:rFonts w:ascii="Times New Roman" w:cs="Times New Roman" w:eastAsia="Times New Roman" w:hAnsi="Times New Roman"/>
          <w:sz w:val="18"/>
          <w:szCs w:val="18"/>
          <w:color w:val="auto"/>
        </w:rPr>
      </w:pPr>
    </w:p>
    <w:p>
      <w:pPr>
        <w:ind w:left="-8" w:right="200" w:firstLine="1304"/>
        <w:spacing w:after="0" w:line="282" w:lineRule="auto"/>
        <w:tabs>
          <w:tab w:leader="none" w:pos="1862"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obligations shall survive the termination of this Agreement and shall continue with respect to donor information and trade secrets without limit of time and in respect of other Confidential Information for a period of [***] ([***]) years.</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81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 SUPPLIER recognizes that in the course of performing under this Agreement, PLASMA SUPPLIER may receive from ADMA or others information that may be considered “material, nonpublic information” concerning a public company that is subject to the reporting requirements of the Securities and Exchange Act of 1934, as amended. PLASMA SUPPLIER represents, warrants and covenants to NOT: (a) purchase or sell, directly or indirectly, any securities of ADMA or any company while in possession of relevant material, nonpublic information relating to ADMA or such company; or (b) communicate any material, nonpublic information to any other person in which it is reasonably foreseeable that such person is likely to (i) purchase or sell securities of ADMA or any such company with respect to which such information relates, or (ii) otherwise directly or indirectly benefit from such information. Without limiting any of the confidentiality obligations and restrictions on insider trading included in this Agreement or in any other confidentiality agreement between the Parties, PLASMA SUPPLIER shall not discuss any information concerning ADMA obtained by PLASMA SUPPLIER in the course of performing this Agreement with any financial, securities or industry analyst or with the media without the prior written consent of ADMA.</w:t>
      </w:r>
    </w:p>
    <w:p>
      <w:pPr>
        <w:spacing w:after="0" w:line="365" w:lineRule="exact"/>
        <w:rPr>
          <w:rFonts w:ascii="Times New Roman" w:cs="Times New Roman" w:eastAsia="Times New Roman" w:hAnsi="Times New Roman"/>
          <w:sz w:val="18"/>
          <w:szCs w:val="18"/>
          <w:color w:val="auto"/>
        </w:rPr>
      </w:pPr>
    </w:p>
    <w:p>
      <w:pPr>
        <w:ind w:left="5572" w:hanging="76"/>
        <w:spacing w:after="0"/>
        <w:tabs>
          <w:tab w:leader="none" w:pos="5572" w:val="left"/>
        </w:tabs>
        <w:numPr>
          <w:ilvl w:val="3"/>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41" w:name="page142"/>
    <w:bookmarkEnd w:id="141"/>
    <w:p>
      <w:pPr>
        <w:ind w:left="-656" w:right="60" w:firstLine="656"/>
        <w:spacing w:after="0" w:line="262" w:lineRule="auto"/>
        <w:tabs>
          <w:tab w:leader="none" w:pos="577"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RELATIONSHIP OF THE PARTIES</w:t>
      </w:r>
      <w:r>
        <w:rPr>
          <w:rFonts w:ascii="Times New Roman" w:cs="Times New Roman" w:eastAsia="Times New Roman" w:hAnsi="Times New Roman"/>
          <w:sz w:val="18"/>
          <w:szCs w:val="18"/>
          <w:color w:val="auto"/>
        </w:rPr>
        <w:t>. The relationship between ADMA and PLASMA SUPPLIER during the Term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solely that of independent contractors. Neither Party is, in any way, the legal representative, agent, joint venture or partner of the other Party for any purpose whatsoever and neither Party has any control or authority whatsoever to bind the other Party or any other person with respect to the other Party or incur any obligations on the other Party’s behalf.</w:t>
      </w:r>
    </w:p>
    <w:p>
      <w:pPr>
        <w:spacing w:after="0" w:line="176" w:lineRule="exact"/>
        <w:rPr>
          <w:rFonts w:ascii="Times New Roman" w:cs="Times New Roman" w:eastAsia="Times New Roman" w:hAnsi="Times New Roman"/>
          <w:sz w:val="18"/>
          <w:szCs w:val="18"/>
          <w:b w:val="1"/>
          <w:bCs w:val="1"/>
          <w:color w:val="auto"/>
        </w:rPr>
      </w:pPr>
    </w:p>
    <w:p>
      <w:pPr>
        <w:ind w:left="-656" w:firstLine="656"/>
        <w:spacing w:after="0" w:line="252" w:lineRule="auto"/>
        <w:tabs>
          <w:tab w:leader="none" w:pos="577"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PLASMA SUPPLIER and ADMA hereby agree to indemnify, defend and hold harmless each other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subsidiaries, members, managers, lenders, agents, employees, officers and directors, from and against any and all third-party claims, losses, liabilities, damages, reasonable attorneys’ fees, costs and expenses (hereinafter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xml:space="preserve">”) which may be sustained by and/or claimed against a Party by virtue of (i) their negligent acts, negligent omissions or the negligent handling or furnishing of materials or performance of services rendered by the other Party, (ii) failure by the other Party to materially comply with its obligations under this Agreement, (iii) the willful misconduct by the other Party or its directors, officers, employees or agents, or (iv) the other Party’s material breach of any representation, warranty or term contained in this Agreement. The indemnifying Party’s liability shall be reduced to the extent any such Claims arise as a result of the indemnified Party’s own misconduct, breach or negligence. To the extent RSV Plasma is being used to manufacture Products to be used in research or for commercial purposes, ADMA specifically shall indemnify, defend and hold harmless PLASMA SUPPLIER, its affiliates, subsidiaries, directors, officers, agents and employees, from any and all Claims arising from the use of Product or any procedure required by the research protocol or related to the commercial sale of such Product, provided that the RSV Plasma is not the direct or contributing cause of such liability, loss or damage. The Party from whom indemnity is sought under this </w:t>
      </w:r>
      <w:r>
        <w:rPr>
          <w:rFonts w:ascii="Times New Roman" w:cs="Times New Roman" w:eastAsia="Times New Roman" w:hAnsi="Times New Roman"/>
          <w:sz w:val="18"/>
          <w:szCs w:val="18"/>
          <w:u w:val="single" w:color="auto"/>
          <w:color w:val="auto"/>
        </w:rPr>
        <w:t>Section C.3</w:t>
      </w:r>
      <w:r>
        <w:rPr>
          <w:rFonts w:ascii="Times New Roman" w:cs="Times New Roman" w:eastAsia="Times New Roman" w:hAnsi="Times New Roman"/>
          <w:sz w:val="18"/>
          <w:szCs w:val="18"/>
          <w:color w:val="auto"/>
        </w:rPr>
        <w:t xml:space="preserve"> shall be entitled at its option to defend or control the defense and/or settlement of any such Claims; provided that the indemnifying Party shall not settle any such Claim without the prior written consent of the indemnified Party (which consent shall not be unreasonably withheld or delayed). Each Party shall notify the other Party in writing of any Claim or potential Claim as soon as it becomes aware that such Claim or potential Claim has arisen and shall provide to the other Party, all reasonable assistance in respect thereof; provided that the failure of the indemnified Party to provide timely notice shall only relieve the indemnifying Party of liability to the extent the indemnifying Party can demonstrate that it actually was prejudiced by any delayed notification. The indemnified Party shall have the right to be represented by legal counsel of its choice, at its sole cost and expense.</w:t>
      </w:r>
    </w:p>
    <w:p>
      <w:pPr>
        <w:spacing w:after="0" w:line="368" w:lineRule="exact"/>
        <w:rPr>
          <w:rFonts w:ascii="Times New Roman" w:cs="Times New Roman" w:eastAsia="Times New Roman" w:hAnsi="Times New Roman"/>
          <w:sz w:val="18"/>
          <w:szCs w:val="18"/>
          <w:b w:val="1"/>
          <w:bCs w:val="1"/>
          <w:color w:val="auto"/>
        </w:rPr>
      </w:pPr>
    </w:p>
    <w:p>
      <w:pPr>
        <w:ind w:left="4924" w:hanging="76"/>
        <w:spacing w:after="0"/>
        <w:tabs>
          <w:tab w:leader="none" w:pos="4924"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142" w:name="page143"/>
    <w:bookmarkEnd w:id="142"/>
    <w:p>
      <w:pPr>
        <w:ind w:left="-8" w:right="200" w:firstLine="656"/>
        <w:spacing w:after="0" w:line="255" w:lineRule="auto"/>
        <w:tabs>
          <w:tab w:leader="none" w:pos="1225"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EXCEPT FOR ANY BREACH OF CONFIDENTIALITY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C.1</w:t>
      </w:r>
      <w:r>
        <w:rPr>
          <w:rFonts w:ascii="Times New Roman" w:cs="Times New Roman" w:eastAsia="Times New Roman" w:hAnsi="Times New Roman"/>
          <w:sz w:val="18"/>
          <w:szCs w:val="18"/>
          <w:color w:val="auto"/>
        </w:rPr>
        <w:t>, IN NO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EITHER PARTY HAVE ANY LIABILITY FOR ANY LOSS OF INCOME, PROFIT, INTEREST OR SAVINGS BY THE OTHER PARTY OR FOR ANY INDIRECT, INCIDENTAL, CONSEQUENTIAL, PUNITIVE OR SPECIAL DAMAGES SUFFERED BY THE OTHER PARTY, ARISING FROM OR RELATED TO THIS AGREEMENT, INCLUDING WITHOUT LIMITATION, THE SALE OR USE OF ANY RSV PLASMA, REGARDLESS OF THE FORM OF ACTION, AND WHETHER IN CONTRACT, INDEMNITY, WARRANTY OR TORT, INCLUDING WITHOUT LIMITATION, STRICT LIABILITY AND NEGLIGENCE OR ANY OTHER LEGAL OR EQUITABLE GROUNDS, EVEN IF SUCH PARTY HAS BEEN ADVISED OF THE POSSIBILITY OF SUCH LOSSES OR DAMAGES. THIS LIMITATION WILL NOT APPLY TO ANY LIABILITY FOR DAMAGES THAT MAY RESULT FROM THE GROSS NEGLIGENCE OR WILLFUL MISCONDUCT OF A PARTY.</w:t>
      </w:r>
    </w:p>
    <w:p>
      <w:pPr>
        <w:spacing w:after="0" w:line="184" w:lineRule="exact"/>
        <w:rPr>
          <w:rFonts w:ascii="Times New Roman" w:cs="Times New Roman" w:eastAsia="Times New Roman" w:hAnsi="Times New Roman"/>
          <w:sz w:val="18"/>
          <w:szCs w:val="18"/>
          <w:b w:val="1"/>
          <w:bCs w:val="1"/>
          <w:color w:val="auto"/>
        </w:rPr>
      </w:pPr>
    </w:p>
    <w:p>
      <w:pPr>
        <w:ind w:left="-8" w:firstLine="656"/>
        <w:spacing w:after="0" w:line="253" w:lineRule="auto"/>
        <w:tabs>
          <w:tab w:leader="none" w:pos="1225"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ADMA and PLASMA SUPPLIER shall each be required to maintain general and product liability insurance in an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at least [***] Dollars ($[***]) during the Term and to promptly furnish certificates evidencing the insurance required by this Section upon the other Party’s written request. The Parties shall provide [***] ([***]) days’ advance written notice in the event the insurance required by this </w:t>
      </w:r>
      <w:r>
        <w:rPr>
          <w:rFonts w:ascii="Times New Roman" w:cs="Times New Roman" w:eastAsia="Times New Roman" w:hAnsi="Times New Roman"/>
          <w:sz w:val="18"/>
          <w:szCs w:val="18"/>
          <w:u w:val="single" w:color="auto"/>
          <w:color w:val="auto"/>
        </w:rPr>
        <w:t>Section C.5</w:t>
      </w:r>
      <w:r>
        <w:rPr>
          <w:rFonts w:ascii="Times New Roman" w:cs="Times New Roman" w:eastAsia="Times New Roman" w:hAnsi="Times New Roman"/>
          <w:sz w:val="18"/>
          <w:szCs w:val="18"/>
          <w:color w:val="auto"/>
        </w:rPr>
        <w:t xml:space="preserve"> is materially modified, cancelled or otherwise terminated for any reason. The Parties intend that any and all damages, losses, liabilities, penalties, judgments, settlements, payments, costs and expenses, whether or not resulting from third-party claims, including the costs and expenses of any such claims subject to indemnification or reimbursement pursuant to </w:t>
      </w:r>
      <w:r>
        <w:rPr>
          <w:rFonts w:ascii="Times New Roman" w:cs="Times New Roman" w:eastAsia="Times New Roman" w:hAnsi="Times New Roman"/>
          <w:sz w:val="18"/>
          <w:szCs w:val="18"/>
          <w:u w:val="single" w:color="auto"/>
          <w:color w:val="auto"/>
        </w:rPr>
        <w:t>Section C.3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will be net of insurance proceeds that actually reduce the amount of the Loss. Accordingly, the amount which any Party (an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is required to pay to any Person entitled to indemnification hereunder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will be reduced by any insurance proceeds theretofore actually recovered by or on behalf of the Indemnitee in respect of the related Loss. If an Indemnitee receives a payment (an “</w:t>
      </w:r>
      <w:r>
        <w:rPr>
          <w:rFonts w:ascii="Times New Roman" w:cs="Times New Roman" w:eastAsia="Times New Roman" w:hAnsi="Times New Roman"/>
          <w:sz w:val="18"/>
          <w:szCs w:val="18"/>
          <w:b w:val="1"/>
          <w:bCs w:val="1"/>
          <w:color w:val="auto"/>
        </w:rPr>
        <w:t>Indemnity Payment</w:t>
      </w:r>
      <w:r>
        <w:rPr>
          <w:rFonts w:ascii="Times New Roman" w:cs="Times New Roman" w:eastAsia="Times New Roman" w:hAnsi="Times New Roman"/>
          <w:sz w:val="18"/>
          <w:szCs w:val="18"/>
          <w:color w:val="auto"/>
        </w:rPr>
        <w:t>”) required by this Agreement from an Indemnifying Party in respect of any Loss and subsequently receives insurance proceeds, then the Indemnitee will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189"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8" w:right="40" w:firstLine="656"/>
        <w:spacing w:after="0" w:line="266" w:lineRule="auto"/>
        <w:tabs>
          <w:tab w:leader="none" w:pos="1225"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any other remedy it may have, either Party shall have the right to terminate this Agreement if the other Party fails to remedy and make good any default in the performance of any material condition or obligation under this Agreement within a cure period of [***] ([***]) days of written notice thereof.</w:t>
      </w:r>
    </w:p>
    <w:p>
      <w:pPr>
        <w:spacing w:after="0" w:line="175" w:lineRule="exact"/>
        <w:rPr>
          <w:rFonts w:ascii="Times New Roman" w:cs="Times New Roman" w:eastAsia="Times New Roman" w:hAnsi="Times New Roman"/>
          <w:sz w:val="18"/>
          <w:szCs w:val="18"/>
          <w:b w:val="1"/>
          <w:bCs w:val="1"/>
          <w:color w:val="auto"/>
        </w:rPr>
      </w:pPr>
    </w:p>
    <w:p>
      <w:pPr>
        <w:ind w:left="-8" w:right="400" w:firstLine="656"/>
        <w:spacing w:after="0" w:line="282" w:lineRule="auto"/>
        <w:tabs>
          <w:tab w:leader="none" w:pos="1225"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ADMA shall have the right to terminate this Agreement on [***] ([***]) days’ written notice in the event that the FDA withdraws its approval of ASCENIV™ during the Term, or in the event that ASCENIV™ is otherwise unable to be commercially sold.</w:t>
      </w:r>
    </w:p>
    <w:p>
      <w:pPr>
        <w:spacing w:after="0" w:line="161" w:lineRule="exact"/>
        <w:rPr>
          <w:rFonts w:ascii="Times New Roman" w:cs="Times New Roman" w:eastAsia="Times New Roman" w:hAnsi="Times New Roman"/>
          <w:sz w:val="18"/>
          <w:szCs w:val="18"/>
          <w:b w:val="1"/>
          <w:bCs w:val="1"/>
          <w:color w:val="auto"/>
        </w:rPr>
      </w:pPr>
    </w:p>
    <w:p>
      <w:pPr>
        <w:ind w:left="-8" w:right="40" w:firstLine="656"/>
        <w:spacing w:after="0" w:line="261" w:lineRule="auto"/>
        <w:tabs>
          <w:tab w:leader="none" w:pos="1225"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giving the appropriate written notice, either Party may terminate this Agreement upon the occurrence of a proceeding under any bankruptcy, reorganization, arrangement of debts, insolvency or receivership law is filed by or against the other Party, and is not dismissed or stayed within [***] ([***]) days, or a receiver or trustee is appointed for all or a substantial portion of the assets of the other Party, or if the other Party makes an assignment for the benefit of its creditors or becomes insolvent.</w:t>
      </w:r>
    </w:p>
    <w:p>
      <w:pPr>
        <w:spacing w:after="0" w:line="350" w:lineRule="exact"/>
        <w:rPr>
          <w:rFonts w:ascii="Times New Roman" w:cs="Times New Roman" w:eastAsia="Times New Roman" w:hAnsi="Times New Roman"/>
          <w:sz w:val="18"/>
          <w:szCs w:val="18"/>
          <w:b w:val="1"/>
          <w:bCs w:val="1"/>
          <w:color w:val="auto"/>
        </w:rPr>
      </w:pPr>
    </w:p>
    <w:p>
      <w:pPr>
        <w:ind w:left="5552" w:hanging="92"/>
        <w:spacing w:after="0"/>
        <w:tabs>
          <w:tab w:leader="none" w:pos="5552" w:val="left"/>
        </w:tabs>
        <w:numPr>
          <w:ilvl w:val="2"/>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143" w:name="page144"/>
    <w:bookmarkEnd w:id="143"/>
    <w:p>
      <w:pPr>
        <w:ind w:right="620" w:firstLine="656"/>
        <w:spacing w:after="0" w:line="266" w:lineRule="auto"/>
        <w:tabs>
          <w:tab w:leader="none" w:pos="1233"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termination of this Agreement, ADMA must pay for any RSV Plasma already delivered to ADMA and for any RSV Plasma collected and scheduled for delivery under the terms of this Agreement, provided, in each case that such RSV Plasma conforms to the ADMA Specifications.</w:t>
      </w:r>
    </w:p>
    <w:p>
      <w:pPr>
        <w:spacing w:after="0" w:line="175" w:lineRule="exact"/>
        <w:rPr>
          <w:rFonts w:ascii="Times New Roman" w:cs="Times New Roman" w:eastAsia="Times New Roman" w:hAnsi="Times New Roman"/>
          <w:sz w:val="18"/>
          <w:szCs w:val="18"/>
          <w:b w:val="1"/>
          <w:bCs w:val="1"/>
          <w:color w:val="auto"/>
        </w:rPr>
      </w:pPr>
    </w:p>
    <w:p>
      <w:pPr>
        <w:ind w:right="160" w:firstLine="656"/>
        <w:spacing w:after="0" w:line="282" w:lineRule="auto"/>
        <w:tabs>
          <w:tab w:leader="none" w:pos="1233"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anything to the contrary set forth herein, the Parties’ obligations under this Agreement in </w:t>
      </w:r>
      <w:r>
        <w:rPr>
          <w:rFonts w:ascii="Times New Roman" w:cs="Times New Roman" w:eastAsia="Times New Roman" w:hAnsi="Times New Roman"/>
          <w:sz w:val="18"/>
          <w:szCs w:val="18"/>
          <w:u w:val="single" w:color="auto"/>
          <w:color w:val="auto"/>
        </w:rPr>
        <w:t>Sections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shall survive the termination of this Agreement to the extent necessary to give effect to their reasonable intentions.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340" w:firstLine="656"/>
        <w:spacing w:after="0" w:line="258" w:lineRule="auto"/>
        <w:tabs>
          <w:tab w:leader="none" w:pos="1233"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Party shall be liable for any failure to perform its obligations under this Agreement caused by strikes, fires, explosions, acts of God, riots, civil or international war, future widespread outbreaks of illness or a pandemic acts of terrorism, an unexpected downturn in the acceptable donor population adversely affecting the industry as a whole, an inability to fully test samples of RSV Plasma or any other similar cause beyond the reasonable control of either Party (including any such events at a Center or third-party testing laboratory) which prevents the performance of a Party’s obligations under this Agreement or the Quality Agreement or A&amp;R Quality Agreement, as applicable (each, a “</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right="80" w:firstLine="656"/>
        <w:spacing w:after="0" w:line="258" w:lineRule="auto"/>
        <w:tabs>
          <w:tab w:leader="none" w:pos="1233"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affected Party shall immediately inform the other Party of a Force Majeure Event, including a full description of the nature of the Force Majeure Event, and its cause and possible consequences of such occurrences. Upon giving notice to the other Party, the Party affected by a Force Majeure Event shall be released without any liability on its part from the performance of its obligations under this Agreement, except for the obligation to pay any amounts due and owing hereunder, but only to the extent and only for the period that its performance of such obligations is prevented by the Force Majeure Event. The Party claiming Force Majeure shall promptly notify the other Party of the termination of such event.</w:t>
      </w:r>
    </w:p>
    <w:p>
      <w:pPr>
        <w:spacing w:after="0" w:line="183" w:lineRule="exact"/>
        <w:rPr>
          <w:rFonts w:ascii="Times New Roman" w:cs="Times New Roman" w:eastAsia="Times New Roman" w:hAnsi="Times New Roman"/>
          <w:sz w:val="18"/>
          <w:szCs w:val="18"/>
          <w:b w:val="1"/>
          <w:bCs w:val="1"/>
          <w:color w:val="auto"/>
        </w:rPr>
      </w:pPr>
    </w:p>
    <w:p>
      <w:pPr>
        <w:ind w:right="140" w:firstLine="656"/>
        <w:spacing w:after="0" w:line="282" w:lineRule="auto"/>
        <w:tabs>
          <w:tab w:leader="none" w:pos="1233"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Should the period of Force Majeure continue for more than [***] ([***]) days, then the Party not suffering the Force Majeure Event may terminate this Agreement immediately upon giving written notice to the other Party.</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DONOR INFORMATION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PLASMA SUPPLIER agrees that all donor information supplied by ADMA and antibody test results supplied by ADMA are the property of</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ADMA and that PLASMA SUPPLIER has no right to share this information with any other party or use the information for its own commercial use, but may use the information to comply with regulatory requirements and for its own record keeping requirements. This information shall be considered ADMA’s Confidential Information.</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PLASMA SUPPLIER agrees to provide ADMA, on a monthly basis during the Term, with certain aggregate and deidentified information about Acceptable Donors in PLASMA SUPPLIER’s RSV Plasma program [***], provided that it complies with the applicable data protection legislation and [***].</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DISCLOSURES AND PUBLICITY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Neither Party shall, without the approval of the other Party, make any press release or other public announcement concerning the transactions contemplated by this Agreement, except as and to the extent that any such Party shall be so obligated by law, in which case the other Party shall be advised and the Parties shall use their commercially reasonable efforts to cause a mutually agreeable release or announcement to be issued; provided, however, that the foregoing shall not preclude communications or disclosures necessary to implement the provisions of this Agreement or to comply with the accounting and disclosure obligations of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the rules of any stock exchange. Notwithstanding any contrary term contained in the confidentiality provisions of this Agreement, to the extent that either Party determines that it or the other Party is required to publicly file or register this Agreement, a summary thereof, or a notification thereof, and/or descriptions related thereto, to comply with the requirements of an applicable stock exchange, SEC regulation, or any governmental authority, including the SEC, or to enable either Party to obtain debt or equity financing, such Party shall use its best efforts to provide the maximum amount of advance written notice of any such required disclosure to the other Party, to the extent practicable, with a minimum advance notice period of [***] ([***]) business days. Prior to making any such filing, registration or notification, the Parties shall consult with respect thereto regarding confidentiality. The Parties shall cooperate, each at its own expense, in such filing, registration or notification, including such confidential treatment request, if applicable, and shall execute all documents reasonably required in connection therewith.</w:t>
      </w:r>
    </w:p>
    <w:p>
      <w:pPr>
        <w:spacing w:after="0" w:line="186"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Party shall assign this Agreement or any of its rights or obligations hereunder without the express written consent of the other Party, except as hereinafter provided. Any such consent shall not be unreasonably delayed, conditioned, or withheld. With notice to the other Party, either Party without the other Party’s consent may assign this Agreement to (i) its affiliates, or (ii) a successor to all or substantially all of the assets or equity ownership relating to the business of that Party which is involved in the fulfillment of its obligations under this Agreement, and such successor or assignee (if such successor or assignee is not a Party hereto) shall expressly assume in writing the performance of all of the terms and conditions of this Agreement then to be performed by such successor or assignee as if it were named herein as a Party.</w:t>
      </w:r>
    </w:p>
    <w:p>
      <w:pPr>
        <w:spacing w:after="0" w:line="183" w:lineRule="exact"/>
        <w:rPr>
          <w:sz w:val="20"/>
          <w:szCs w:val="20"/>
          <w:color w:val="auto"/>
        </w:rPr>
      </w:pPr>
    </w:p>
    <w:p>
      <w:pPr>
        <w:ind w:left="660" w:right="20" w:hanging="652"/>
        <w:spacing w:after="0" w:line="262" w:lineRule="auto"/>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Except as otherwise provided in this Agreement, all notices, demands, requests, consents or approvals furnished by a Party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must be in writing and delivered personally to the other Party or sent by overnight courier service, registered or certified mail, or electronic mail (“</w:t>
      </w: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 addressed to such Party as set forth below (or to such other (physical or e-mail) address(es) as such Party may hereafter specify for the purpose by notice to the other Party in accordance herewith):</w:t>
      </w:r>
    </w:p>
    <w:p>
      <w:pPr>
        <w:spacing w:after="0" w:line="18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To PLASMA SUPPLIER</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Grifols Worldwide Operations Limited</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Grange Castle Business Park, Grange Castle</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Clondalkin, Dublin 22, Ireland</w:t>
            </w:r>
          </w:p>
        </w:tc>
      </w:tr>
      <w:tr>
        <w:trPr>
          <w:trHeight w:val="234"/>
        </w:trPr>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E-mail: [***]</w:t>
            </w:r>
          </w:p>
        </w:tc>
      </w:tr>
      <w:tr>
        <w:trPr>
          <w:trHeight w:val="391"/>
        </w:trPr>
        <w:tc>
          <w:tcPr>
            <w:tcW w:w="66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ADMA:</w:t>
            </w:r>
          </w:p>
        </w:tc>
        <w:tc>
          <w:tcPr>
            <w:tcW w:w="9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9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ADMA Biologics</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5800 Park of Commerce Boulevard, NW</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Boca Raton, FL 33487</w:t>
            </w:r>
          </w:p>
        </w:tc>
      </w:tr>
      <w:tr>
        <w:trPr>
          <w:trHeight w:val="234"/>
        </w:trPr>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E-mail: [***]</w:t>
            </w:r>
          </w:p>
        </w:tc>
      </w:tr>
      <w:tr>
        <w:trPr>
          <w:trHeight w:val="557"/>
        </w:trPr>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0" w:type="dxa"/>
            <w:vAlign w:val="bottom"/>
          </w:tcPr>
          <w:p>
            <w:pPr>
              <w:ind w:left="3420"/>
              <w:spacing w:after="0"/>
              <w:rPr>
                <w:sz w:val="20"/>
                <w:szCs w:val="20"/>
                <w:color w:val="auto"/>
              </w:rPr>
            </w:pPr>
            <w:r>
              <w:rPr>
                <w:rFonts w:ascii="Times New Roman" w:cs="Times New Roman" w:eastAsia="Times New Roman" w:hAnsi="Times New Roman"/>
                <w:sz w:val="14"/>
                <w:szCs w:val="14"/>
                <w:color w:val="auto"/>
              </w:rPr>
              <w:t>- 12 -</w:t>
            </w:r>
          </w:p>
        </w:tc>
      </w:tr>
      <w:tr>
        <w:trPr>
          <w:trHeight w:val="44"/>
        </w:trPr>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45" w:name="page146"/>
    <w:bookmarkEnd w:id="1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notices, requests, consents and other communications hereunder shall be deemed to have been properly given (a) if by hand, at the time of the delivery thereof to the receiving Party at the address of such Party set forth above, (b) if sent by overnight courier, on the next business day following the day such notice is delivered to the courier service, (c) if sent by registered or certified mail, on the fifth business day following the day such mailing is made, or (d) if sent via e-mail, upon written confirmation of receipt (whether from an automated confirmation of delivery or “read receipt” or otherwise).</w:t>
      </w:r>
    </w:p>
    <w:p>
      <w:pPr>
        <w:spacing w:after="0" w:line="176"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INTEGRATION; AMENDMENT; EFFECT OF AMENDMENT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including all attachments, schedules or other agreements specifically incorporated by reference, constitute the entire agreement between the Parties with respect to the subject matter of this Agreement and supersede any and all other prior written or oral agreements, understandings, negotiations or discussions among the Parties with respect to the subject matter of this Agreement. This Agreement may not be modified or amended in any respect except by an instrument in writing signed by both Parties.</w:t>
      </w:r>
    </w:p>
    <w:p>
      <w:pPr>
        <w:spacing w:after="0" w:line="176"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and construed under laws of the State of [***], without regard to its conflict of laws principles and is subject to exclusive jurisdiction of the courts of State of [***].</w:t>
      </w:r>
    </w:p>
    <w:p>
      <w:pPr>
        <w:spacing w:after="0" w:line="158"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failure or delay on the part of any Party exercising any power or right hereunder shall not operate as a waiver thereof, nor shall any single or partial exercise of any such right or power preclude any other or further exercise thereof or the exercise of any other right or power hereunder or otherwise available in law or in equity.</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SUBCONTRACTORS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PLASMA SUPPLIER covenants and agrees to not use any vendors, suppliers, contractors or subcontractors, in each case without ADMA’s prior written consent, in order to perform its obligations hereunder.</w:t>
      </w:r>
    </w:p>
    <w:p>
      <w:pPr>
        <w:spacing w:after="0" w:line="158"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may be executed in any number of original counterparts or other electronic means, each of which when executed and delivered will be deemed to be an original and all of which taken together will constitute but one and the same instrument. One or more counterparts of this Agreement may be delivered by facsimile or other electronic means, with the intention that delivery by such means shall have the same effect as delivery of an original counterpart 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 signature page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by their duly authorized officers as of the Effective Date.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ADMA BIOMANUFACTURING, LLC</w:t>
            </w:r>
          </w:p>
        </w:tc>
        <w:tc>
          <w:tcPr>
            <w:tcW w:w="6980" w:type="dxa"/>
            <w:vAlign w:val="bottom"/>
            <w:gridSpan w:val="3"/>
          </w:tcPr>
          <w:p>
            <w:pPr>
              <w:ind w:left="1680"/>
              <w:spacing w:after="0"/>
              <w:rPr>
                <w:sz w:val="20"/>
                <w:szCs w:val="20"/>
                <w:color w:val="auto"/>
              </w:rPr>
            </w:pPr>
            <w:r>
              <w:rPr>
                <w:rFonts w:ascii="Times New Roman" w:cs="Times New Roman" w:eastAsia="Times New Roman" w:hAnsi="Times New Roman"/>
                <w:sz w:val="18"/>
                <w:szCs w:val="18"/>
                <w:b w:val="1"/>
                <w:bCs w:val="1"/>
                <w:color w:val="auto"/>
              </w:rPr>
              <w:t>GRIFOLS WORLDWIDE</w:t>
            </w:r>
          </w:p>
        </w:tc>
      </w:tr>
      <w:tr>
        <w:trPr>
          <w:trHeight w:val="238"/>
        </w:trPr>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980" w:type="dxa"/>
            <w:vAlign w:val="bottom"/>
            <w:gridSpan w:val="3"/>
          </w:tcPr>
          <w:p>
            <w:pPr>
              <w:ind w:left="1680"/>
              <w:spacing w:after="0"/>
              <w:rPr>
                <w:sz w:val="20"/>
                <w:szCs w:val="20"/>
                <w:color w:val="auto"/>
              </w:rPr>
            </w:pPr>
            <w:r>
              <w:rPr>
                <w:rFonts w:ascii="Times New Roman" w:cs="Times New Roman" w:eastAsia="Times New Roman" w:hAnsi="Times New Roman"/>
                <w:sz w:val="18"/>
                <w:szCs w:val="18"/>
                <w:b w:val="1"/>
                <w:bCs w:val="1"/>
                <w:color w:val="auto"/>
              </w:rPr>
              <w:t>OPERATIONS LIMITED</w:t>
            </w:r>
          </w:p>
        </w:tc>
      </w:tr>
      <w:tr>
        <w:trPr>
          <w:trHeight w:val="391"/>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Adam Grossman</w:t>
            </w:r>
          </w:p>
        </w:tc>
        <w:tc>
          <w:tcPr>
            <w:tcW w:w="698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By: /s/ Shane O’Brien</w:t>
            </w:r>
          </w:p>
        </w:tc>
      </w:tr>
      <w:tr>
        <w:trPr>
          <w:trHeight w:val="20"/>
        </w:trPr>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53"/>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Adam Grossman</w:t>
            </w:r>
          </w:p>
        </w:tc>
        <w:tc>
          <w:tcPr>
            <w:tcW w:w="698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Name: Shane O'Brien</w:t>
            </w:r>
          </w:p>
        </w:tc>
      </w:tr>
      <w:tr>
        <w:trPr>
          <w:trHeight w:val="432"/>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President and CEO</w:t>
            </w:r>
          </w:p>
        </w:tc>
        <w:tc>
          <w:tcPr>
            <w:tcW w:w="698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432"/>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October 1, 2024</w:t>
            </w:r>
          </w:p>
        </w:tc>
        <w:tc>
          <w:tcPr>
            <w:tcW w:w="698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Date: October 2, 2024</w:t>
            </w:r>
          </w:p>
        </w:tc>
      </w:tr>
      <w:tr>
        <w:trPr>
          <w:trHeight w:val="557"/>
        </w:trPr>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8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- 15 -</w:t>
            </w:r>
          </w:p>
        </w:tc>
        <w:tc>
          <w:tcPr>
            <w:tcW w:w="12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Source Plasma Specifications and Quality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attached within [***] days of the Effective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Plasma Supplier Plasma Centers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66675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0" w:name="page151"/>
    <w:bookmarkEnd w:id="150"/>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10.8</w:t>
      </w:r>
    </w:p>
    <w:p>
      <w:pPr>
        <w:spacing w:after="0" w:line="23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Information in this exhibit identified by [***] is confidential and has been excluded pursuant to Item 601(b)(10)(iv) of Regulation S-K because it is both (i) not material and (ii) would likely cause competitive harm to the registrant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PLASMA PURCHASE AGREEMENT</w:t>
      </w:r>
    </w:p>
    <w:p>
      <w:pPr>
        <w:spacing w:after="0" w:line="22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THIS PLASMA PURCHASE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between KEDPlasma LLC, a Delaware limited liability company, having a 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business at Parker Plaza, 400 Kelby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Fort Lee, New Jersey 07024 (“</w:t>
      </w:r>
      <w:r>
        <w:rPr>
          <w:rFonts w:ascii="Times New Roman" w:cs="Times New Roman" w:eastAsia="Times New Roman" w:hAnsi="Times New Roman"/>
          <w:sz w:val="18"/>
          <w:szCs w:val="18"/>
          <w:b w:val="1"/>
          <w:bCs w:val="1"/>
          <w:color w:val="auto"/>
        </w:rPr>
        <w:t>PLASMA SUPPLIER</w:t>
      </w:r>
      <w:r>
        <w:rPr>
          <w:rFonts w:ascii="Times New Roman" w:cs="Times New Roman" w:eastAsia="Times New Roman" w:hAnsi="Times New Roman"/>
          <w:sz w:val="18"/>
          <w:szCs w:val="18"/>
          <w:color w:val="auto"/>
        </w:rPr>
        <w:t>”), and ADMA BioManufacturing, LLC, a Delaware limited liability company, having a place of business at 5800 Park of Commerce Boulevard, NW, Boca Raton, Florida 33487 (“</w:t>
      </w:r>
      <w:r>
        <w:rPr>
          <w:rFonts w:ascii="Times New Roman" w:cs="Times New Roman" w:eastAsia="Times New Roman" w:hAnsi="Times New Roman"/>
          <w:sz w:val="18"/>
          <w:szCs w:val="18"/>
          <w:b w:val="1"/>
          <w:bCs w:val="1"/>
          <w:color w:val="auto"/>
        </w:rPr>
        <w:t>ADMA</w:t>
      </w:r>
      <w:r>
        <w:rPr>
          <w:rFonts w:ascii="Times New Roman" w:cs="Times New Roman" w:eastAsia="Times New Roman" w:hAnsi="Times New Roman"/>
          <w:sz w:val="18"/>
          <w:szCs w:val="18"/>
          <w:color w:val="auto"/>
        </w:rPr>
        <w:t>”), shall be effective as of the last date of signature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PLASMA SUPPLIER and ADMA are each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PLASMA SUPPLIER desires to sell, and ADMA desires to purchase on a non-exclusive basis certain quantities of source plasma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containing certain levels of antibodies to Respiratory Syncytial Virus (“</w:t>
      </w:r>
      <w:r>
        <w:rPr>
          <w:rFonts w:ascii="Times New Roman" w:cs="Times New Roman" w:eastAsia="Times New Roman" w:hAnsi="Times New Roman"/>
          <w:sz w:val="18"/>
          <w:szCs w:val="18"/>
          <w:b w:val="1"/>
          <w:bCs w:val="1"/>
          <w:color w:val="auto"/>
        </w:rPr>
        <w:t>RSV</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RSV Plasma</w:t>
      </w:r>
      <w:r>
        <w:rPr>
          <w:rFonts w:ascii="Times New Roman" w:cs="Times New Roman" w:eastAsia="Times New Roman" w:hAnsi="Times New Roman"/>
          <w:sz w:val="18"/>
          <w:szCs w:val="18"/>
          <w:color w:val="auto"/>
        </w:rPr>
        <w:t>”) to be used by ADMA in the manufacturing and/or research and development of Human Immune Globulin(s)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solely on the terms and conditions set forth in this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covenants and agreements contained herein, and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legal sufficiency of which are hereby acknowledged, and with the intent to be legally bound hereby, ADMA and PLASMA SUPPLIER agree as follows:</w:t>
      </w:r>
    </w:p>
    <w:p>
      <w:pPr>
        <w:spacing w:after="0" w:line="171"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PURCHASE AND SALE OF RSV PLASMA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200" w:firstLine="656"/>
        <w:spacing w:after="0" w:line="259" w:lineRule="auto"/>
        <w:tabs>
          <w:tab w:leader="none" w:pos="1233"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OF AGREEMENT</w:t>
      </w:r>
      <w:r>
        <w:rPr>
          <w:rFonts w:ascii="Times New Roman" w:cs="Times New Roman" w:eastAsia="Times New Roman" w:hAnsi="Times New Roman"/>
          <w:sz w:val="18"/>
          <w:szCs w:val="18"/>
          <w:color w:val="auto"/>
        </w:rPr>
        <w:t>. Unless terminated earlier as provided herein, the initial term of this Agreement shall commence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and expire on July 31, 2031 (the “</w:t>
      </w:r>
      <w:r>
        <w:rPr>
          <w:rFonts w:ascii="Times New Roman" w:cs="Times New Roman" w:eastAsia="Times New Roman" w:hAnsi="Times New Roman"/>
          <w:sz w:val="18"/>
          <w:szCs w:val="18"/>
          <w:b w:val="1"/>
          <w:bCs w:val="1"/>
          <w:color w:val="auto"/>
        </w:rPr>
        <w:t>Initial Term</w:t>
      </w:r>
      <w:r>
        <w:rPr>
          <w:rFonts w:ascii="Times New Roman" w:cs="Times New Roman" w:eastAsia="Times New Roman" w:hAnsi="Times New Roman"/>
          <w:sz w:val="18"/>
          <w:szCs w:val="18"/>
          <w:color w:val="auto"/>
        </w:rPr>
        <w:t>”, and together with any renewal,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After the Initial Term, this Agreement may be renewed for one (1) additional [***] ([***])-year period (i.e., through [***]) upon the mutual written consent of the Parties. Each Party agrees that it will endeavor, in good faith, to conclude any negotiations relating to such renewal no less than [***] ([***]) months ([***] calendar days) before the expiration of this Agreement.</w:t>
      </w:r>
    </w:p>
    <w:p>
      <w:pPr>
        <w:spacing w:after="0" w:line="179" w:lineRule="exact"/>
        <w:rPr>
          <w:rFonts w:ascii="Times New Roman" w:cs="Times New Roman" w:eastAsia="Times New Roman" w:hAnsi="Times New Roman"/>
          <w:sz w:val="18"/>
          <w:szCs w:val="18"/>
          <w:b w:val="1"/>
          <w:bCs w:val="1"/>
          <w:color w:val="auto"/>
        </w:rPr>
      </w:pPr>
    </w:p>
    <w:p>
      <w:pPr>
        <w:ind w:left="1240" w:hanging="584"/>
        <w:spacing w:after="0"/>
        <w:tabs>
          <w:tab w:leader="none" w:pos="124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PRICE AND VOLUMES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160" w:firstLine="1304"/>
        <w:spacing w:after="0" w:line="282" w:lineRule="auto"/>
        <w:tabs>
          <w:tab w:leader="none" w:pos="1871"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of this Agreement, ADMA agrees to purchase, and PLASMA SUPPLIER agrees to sell, RSV Plasma, in quantities and prices as further described in this Agreement.</w:t>
      </w:r>
    </w:p>
    <w:p>
      <w:pPr>
        <w:spacing w:after="0" w:line="161" w:lineRule="exact"/>
        <w:rPr>
          <w:rFonts w:ascii="Times New Roman" w:cs="Times New Roman" w:eastAsia="Times New Roman" w:hAnsi="Times New Roman"/>
          <w:sz w:val="18"/>
          <w:szCs w:val="18"/>
          <w:color w:val="auto"/>
        </w:rPr>
      </w:pPr>
    </w:p>
    <w:p>
      <w:pPr>
        <w:ind w:right="60" w:firstLine="1304"/>
        <w:spacing w:after="0" w:line="255" w:lineRule="auto"/>
        <w:tabs>
          <w:tab w:leader="none" w:pos="1881"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ADMA shall not be obligated to purchase any RSV Plasma in the event PLASMA SUPPLIER does not, or fails to, provide necessary plasma samples for testing and identifying donors. The Parties mutually agree and understand that identifying sufficient donors with naturally occurring RSV antibody levels vary. The Parties mutually agree that this naturally occurring variation may, due to no fault of PLASMA SUPPLIER or ADMA, affect total acceptable RSV Plasma volumes. This Agreement does not bind either Party to the other in an exclusive supply or purchase relationship; and for the avoidance of doubt, ADMA shall be free to purchase any quantity of plasma, including RSV Plasma, from other sources or obtain it from its own collection facilities. Notwithstanding the foregoing, PLASMA SUPPLIER covenants and agrees to use reasonable best efforts to provide ADMA with the volume of RSV Plasma set forth in subsection (d) below.</w:t>
      </w:r>
    </w:p>
    <w:p>
      <w:pPr>
        <w:spacing w:after="0" w:line="359"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3"/>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51" w:name="page152"/>
    <w:bookmarkEnd w:id="151"/>
    <w:p>
      <w:pPr>
        <w:ind w:left="-8" w:firstLine="1304"/>
        <w:spacing w:after="0" w:line="254" w:lineRule="auto"/>
        <w:tabs>
          <w:tab w:leader="none" w:pos="186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Effective Date of the Agreement, PLASMA SUPPLIER agrees to use reasonable best efforts to collect as much RSV Plasma as possible. In no event shall PLASMA SUPPLIER sell less than 35,000L per each Contract Year (as defined below) commencing with the Contract Year ending July 31, 2026. From the Effective Date through the end of the first Contract Year, pricing for RSV Plasma will start at $[***] per liter, subject to escalation depending on the volume of RSV Plasma provided to ADMA, as further described in the table below. The price per liter of RSV Plasma shall increase on the anniversary of each Contract Year at the lesser of (i) [***] percent ([***]%) or (ii) [***] (the “</w:t>
      </w:r>
      <w:r>
        <w:rPr>
          <w:rFonts w:ascii="Times New Roman" w:cs="Times New Roman" w:eastAsia="Times New Roman" w:hAnsi="Times New Roman"/>
          <w:sz w:val="18"/>
          <w:szCs w:val="18"/>
          <w:b w:val="1"/>
          <w:bCs w:val="1"/>
          <w:color w:val="auto"/>
        </w:rPr>
        <w:t>Annual Increase</w:t>
      </w:r>
      <w:r>
        <w:rPr>
          <w:rFonts w:ascii="Times New Roman" w:cs="Times New Roman" w:eastAsia="Times New Roman" w:hAnsi="Times New Roman"/>
          <w:sz w:val="18"/>
          <w:szCs w:val="18"/>
          <w:color w:val="auto"/>
        </w:rPr>
        <w:t>”). Within</w:t>
      </w:r>
    </w:p>
    <w:p>
      <w:pPr>
        <w:spacing w:after="0" w:line="3" w:lineRule="exact"/>
        <w:rPr>
          <w:rFonts w:ascii="Times New Roman" w:cs="Times New Roman" w:eastAsia="Times New Roman" w:hAnsi="Times New Roman"/>
          <w:sz w:val="18"/>
          <w:szCs w:val="18"/>
          <w:color w:val="auto"/>
        </w:rPr>
      </w:pPr>
    </w:p>
    <w:p>
      <w:pPr>
        <w:ind w:left="-8" w:right="100" w:firstLine="8"/>
        <w:spacing w:after="0" w:line="268" w:lineRule="auto"/>
        <w:tabs>
          <w:tab w:leader="none" w:pos="427"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business days following ADMA’s purchase of RSV from PLASMA SUPPLIER in excess of the high end of the range set forth in the table below, PLASMA SUPPLIER shall send a written notice to ADMA (e-mail being sufficient) notifying ADMA of the new price per liter of RSV Plasma on a go-forward basis in a given Contract Year. Additionally, in the event that PLASMA SUPPLIER provides ADMA with [***]L of RSV Plasma in a given Contract Year, at the end of such Contract Year PLASMA SUPPLIER shall invoice ADMA in the amount of $[***] (the “</w:t>
      </w:r>
      <w:r>
        <w:rPr>
          <w:rFonts w:ascii="Times New Roman" w:cs="Times New Roman" w:eastAsia="Times New Roman" w:hAnsi="Times New Roman"/>
          <w:sz w:val="17"/>
          <w:szCs w:val="17"/>
          <w:b w:val="1"/>
          <w:bCs w:val="1"/>
          <w:color w:val="auto"/>
        </w:rPr>
        <w:t>Bonus Amount</w:t>
      </w:r>
      <w:r>
        <w:rPr>
          <w:rFonts w:ascii="Times New Roman" w:cs="Times New Roman" w:eastAsia="Times New Roman" w:hAnsi="Times New Roman"/>
          <w:sz w:val="17"/>
          <w:szCs w:val="17"/>
          <w:color w:val="auto"/>
        </w:rPr>
        <w:t>”). For purposes of clarity, the price per Liter at the end of a Contract Year shall automatically reset to the base amount (i.e., the amount adjacent to “First 35,000L”) set forth in the table below at the beginning of the subsequent Contract Year, subject to Annual Increases. This price includes all required screening tests, and NAT for HIV, HBV, HCV, HAV and Parvo B-19. For purposes of this section A.2(c), “</w:t>
      </w:r>
      <w:r>
        <w:rPr>
          <w:rFonts w:ascii="Times New Roman" w:cs="Times New Roman" w:eastAsia="Times New Roman" w:hAnsi="Times New Roman"/>
          <w:sz w:val="17"/>
          <w:szCs w:val="17"/>
          <w:b w:val="1"/>
          <w:bCs w:val="1"/>
          <w:color w:val="auto"/>
        </w:rPr>
        <w:t>Contract Year</w:t>
      </w:r>
      <w:r>
        <w:rPr>
          <w:rFonts w:ascii="Times New Roman" w:cs="Times New Roman" w:eastAsia="Times New Roman" w:hAnsi="Times New Roman"/>
          <w:sz w:val="17"/>
          <w:szCs w:val="17"/>
          <w:color w:val="auto"/>
        </w:rPr>
        <w:t>” means the twelve (12)-month period beginning on the Effective Date and each subsequent twelve (12)-month period thereafter during the Term that commences on an anniversary of the Effective Date.</w:t>
      </w:r>
    </w:p>
    <w:p>
      <w:pPr>
        <w:spacing w:after="0" w:line="350" w:lineRule="exact"/>
        <w:rPr>
          <w:rFonts w:ascii="Times New Roman" w:cs="Times New Roman" w:eastAsia="Times New Roman" w:hAnsi="Times New Roman"/>
          <w:sz w:val="17"/>
          <w:szCs w:val="17"/>
          <w:color w:val="auto"/>
        </w:rPr>
      </w:pPr>
    </w:p>
    <w:p>
      <w:pPr>
        <w:ind w:left="5572" w:hanging="76"/>
        <w:spacing w:after="0"/>
        <w:tabs>
          <w:tab w:leader="none" w:pos="5572" w:val="left"/>
        </w:tabs>
        <w:numPr>
          <w:ilvl w:val="2"/>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52" w:name="page153"/>
    <w:bookmarkEnd w:id="152"/>
    <w:p>
      <w:pPr>
        <w:ind w:left="1940" w:hanging="636"/>
        <w:spacing w:after="0"/>
        <w:tabs>
          <w:tab w:leader="none" w:pos="19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sets forth annual volume ranges of RSV Plasma and the corresponding price during the Term:</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566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Annual Volume (L) (Subject to Section A.9 below)</w:t>
            </w:r>
          </w:p>
        </w:tc>
        <w:tc>
          <w:tcPr>
            <w:tcW w:w="55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Price (L) (Excluding Annual Increases)</w:t>
            </w:r>
          </w:p>
        </w:tc>
        <w:tc>
          <w:tcPr>
            <w:tcW w:w="0" w:type="dxa"/>
            <w:vAlign w:val="bottom"/>
          </w:tcPr>
          <w:p>
            <w:pPr>
              <w:spacing w:after="0"/>
              <w:rPr>
                <w:sz w:val="1"/>
                <w:szCs w:val="1"/>
                <w:color w:val="auto"/>
              </w:rPr>
            </w:pPr>
          </w:p>
        </w:tc>
      </w:tr>
      <w:tr>
        <w:trPr>
          <w:trHeight w:val="205"/>
        </w:trPr>
        <w:tc>
          <w:tcPr>
            <w:tcW w:w="5660" w:type="dxa"/>
            <w:vAlign w:val="bottom"/>
            <w:tcBorders>
              <w:left w:val="single" w:sz="8" w:color="auto"/>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First 35,000L</w:t>
            </w:r>
          </w:p>
        </w:tc>
        <w:tc>
          <w:tcPr>
            <w:tcW w:w="5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660" w:type="dxa"/>
            <w:vAlign w:val="bottom"/>
            <w:tcBorders>
              <w:left w:val="single" w:sz="8" w:color="auto"/>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 – [***]L</w:t>
            </w:r>
          </w:p>
        </w:tc>
        <w:tc>
          <w:tcPr>
            <w:tcW w:w="5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660" w:type="dxa"/>
            <w:vAlign w:val="bottom"/>
            <w:tcBorders>
              <w:left w:val="single" w:sz="8" w:color="auto"/>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 – [***]L</w:t>
            </w:r>
          </w:p>
        </w:tc>
        <w:tc>
          <w:tcPr>
            <w:tcW w:w="5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660" w:type="dxa"/>
            <w:vAlign w:val="bottom"/>
            <w:tcBorders>
              <w:left w:val="single" w:sz="8" w:color="auto"/>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[***]L – [***]L</w:t>
            </w:r>
          </w:p>
        </w:tc>
        <w:tc>
          <w:tcPr>
            <w:tcW w:w="55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5660" w:type="dxa"/>
            <w:vAlign w:val="bottom"/>
            <w:tcBorders>
              <w:left w:val="single" w:sz="8" w:color="auto"/>
              <w:right w:val="single" w:sz="8" w:color="auto"/>
            </w:tcBorders>
            <w:vMerge w:val="continue"/>
          </w:tcPr>
          <w:p>
            <w:pPr>
              <w:spacing w:after="0"/>
              <w:rPr>
                <w:sz w:val="10"/>
                <w:szCs w:val="10"/>
                <w:color w:val="auto"/>
              </w:rPr>
            </w:pPr>
          </w:p>
        </w:tc>
        <w:tc>
          <w:tcPr>
            <w:tcW w:w="55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(plus the Bonus Amount described above)</w:t>
            </w:r>
          </w:p>
        </w:tc>
        <w:tc>
          <w:tcPr>
            <w:tcW w:w="0" w:type="dxa"/>
            <w:vAlign w:val="bottom"/>
          </w:tcPr>
          <w:p>
            <w:pPr>
              <w:spacing w:after="0"/>
              <w:rPr>
                <w:sz w:val="1"/>
                <w:szCs w:val="1"/>
                <w:color w:val="auto"/>
              </w:rPr>
            </w:pPr>
          </w:p>
        </w:tc>
      </w:tr>
      <w:tr>
        <w:trPr>
          <w:trHeight w:val="108"/>
        </w:trPr>
        <w:tc>
          <w:tcPr>
            <w:tcW w:w="5660" w:type="dxa"/>
            <w:vAlign w:val="bottom"/>
            <w:tcBorders>
              <w:left w:val="single" w:sz="8" w:color="auto"/>
              <w:right w:val="single" w:sz="8" w:color="auto"/>
            </w:tcBorders>
          </w:tcPr>
          <w:p>
            <w:pPr>
              <w:spacing w:after="0"/>
              <w:rPr>
                <w:sz w:val="9"/>
                <w:szCs w:val="9"/>
                <w:color w:val="auto"/>
              </w:rPr>
            </w:pPr>
          </w:p>
        </w:tc>
        <w:tc>
          <w:tcPr>
            <w:tcW w:w="5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660" w:type="dxa"/>
            <w:vAlign w:val="bottom"/>
            <w:tcBorders>
              <w:left w:val="single" w:sz="8" w:color="auto"/>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w:t>
            </w:r>
          </w:p>
        </w:tc>
        <w:tc>
          <w:tcPr>
            <w:tcW w:w="5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660" w:type="dxa"/>
            <w:vAlign w:val="bottom"/>
            <w:tcBorders>
              <w:left w:val="single" w:sz="8" w:color="auto"/>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1304"/>
        <w:spacing w:after="0" w:line="266" w:lineRule="auto"/>
        <w:tabs>
          <w:tab w:leader="none" w:pos="187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 SUPPLIER agrees to make reasonable best efforts to make necessary U.S. Food and Drug Administration (FDA) submissions, as needed (and amendments thereto, as applicable), to ensure continuous FDA approval of the Centers, at PLASMA SUPPLIER’s sole cost and expense.</w:t>
      </w:r>
    </w:p>
    <w:p>
      <w:pPr>
        <w:spacing w:after="0" w:line="175" w:lineRule="exact"/>
        <w:rPr>
          <w:rFonts w:ascii="Times New Roman" w:cs="Times New Roman" w:eastAsia="Times New Roman" w:hAnsi="Times New Roman"/>
          <w:sz w:val="18"/>
          <w:szCs w:val="18"/>
          <w:color w:val="auto"/>
        </w:rPr>
      </w:pPr>
    </w:p>
    <w:p>
      <w:pPr>
        <w:ind w:right="160" w:firstLine="1304"/>
        <w:spacing w:after="0" w:line="255" w:lineRule="auto"/>
        <w:tabs>
          <w:tab w:leader="none" w:pos="185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change to existing law, guidance or industry standard applicable to the plasma to be supplied pursuant to this Agreement or any one or more new government regulations, tests, quality procedure or change in the specifications requested by ADMA (any of the foregoing being a “</w:t>
      </w:r>
      <w:r>
        <w:rPr>
          <w:rFonts w:ascii="Times New Roman" w:cs="Times New Roman" w:eastAsia="Times New Roman" w:hAnsi="Times New Roman"/>
          <w:sz w:val="18"/>
          <w:szCs w:val="18"/>
          <w:b w:val="1"/>
          <w:bCs w:val="1"/>
          <w:color w:val="auto"/>
        </w:rPr>
        <w:t>Required Change</w:t>
      </w:r>
      <w:r>
        <w:rPr>
          <w:rFonts w:ascii="Times New Roman" w:cs="Times New Roman" w:eastAsia="Times New Roman" w:hAnsi="Times New Roman"/>
          <w:sz w:val="18"/>
          <w:szCs w:val="18"/>
          <w:color w:val="auto"/>
        </w:rPr>
        <w:t>”) is recommended but is not contemplated in this Agreement and results in a material increase to PLASMA SUPPLIER’s actual costs to procure, store, provide and supply the RSV Plasma, both Parties shall re-negotiate the change in the purchase price in good faith within [***] ([***]) days of the Required Change and the Parties’ obligations hereunder shall be suspended until such time as the Parties agree on a purchase price and, if not, this Agreement shall automatically terminate at the end of such [***] ([***])-day period without any penalties or further obligations by either Party, except for those specifically stated as surviving termination pursuant to Section D(4) below.</w:t>
      </w:r>
    </w:p>
    <w:p>
      <w:pPr>
        <w:spacing w:after="0" w:line="188" w:lineRule="exact"/>
        <w:rPr>
          <w:rFonts w:ascii="Times New Roman" w:cs="Times New Roman" w:eastAsia="Times New Roman" w:hAnsi="Times New Roman"/>
          <w:sz w:val="18"/>
          <w:szCs w:val="18"/>
          <w:color w:val="auto"/>
        </w:rPr>
      </w:pPr>
    </w:p>
    <w:p>
      <w:pPr>
        <w:ind w:right="40" w:firstLine="1304"/>
        <w:spacing w:after="0" w:line="277" w:lineRule="auto"/>
        <w:tabs>
          <w:tab w:leader="none" w:pos="1881"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demand for ADMA’s ASCENIV™ materially changes from the demand on the Effective Date, both Parties shall re-negotiate the annual volume requirements set forth in this </w:t>
      </w:r>
      <w:r>
        <w:rPr>
          <w:rFonts w:ascii="Times New Roman" w:cs="Times New Roman" w:eastAsia="Times New Roman" w:hAnsi="Times New Roman"/>
          <w:sz w:val="17"/>
          <w:szCs w:val="17"/>
          <w:u w:val="single" w:color="auto"/>
          <w:color w:val="auto"/>
        </w:rPr>
        <w:t>Section A.2</w:t>
      </w:r>
      <w:r>
        <w:rPr>
          <w:rFonts w:ascii="Times New Roman" w:cs="Times New Roman" w:eastAsia="Times New Roman" w:hAnsi="Times New Roman"/>
          <w:sz w:val="17"/>
          <w:szCs w:val="17"/>
          <w:color w:val="auto"/>
        </w:rPr>
        <w:t xml:space="preserve"> in good faith within [***] ([***]) days of ADMA’s written notice to PLASMA SUPPLIER of such material change in demand. Both Parties’ obligations hereunder shall be suspended until such time as the Parties agree on updated volumes of RSV Plasma to be provided hereunder and, if not, this Agreement shall automatically terminate at the end of such [***] ([***])-day period without any penalties or further obligations by either Party, except for those specifically stated as surviving termination pursuant to Section D.5 below.</w:t>
      </w:r>
    </w:p>
    <w:p>
      <w:pPr>
        <w:spacing w:after="0" w:line="339" w:lineRule="exact"/>
        <w:rPr>
          <w:rFonts w:ascii="Times New Roman" w:cs="Times New Roman" w:eastAsia="Times New Roman" w:hAnsi="Times New Roman"/>
          <w:sz w:val="17"/>
          <w:szCs w:val="17"/>
          <w:color w:val="auto"/>
        </w:rPr>
      </w:pPr>
    </w:p>
    <w:p>
      <w:pPr>
        <w:ind w:left="5580" w:hanging="76"/>
        <w:spacing w:after="0"/>
        <w:tabs>
          <w:tab w:leader="none" w:pos="558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ind w:right="60" w:firstLine="656"/>
        <w:spacing w:after="0" w:line="257" w:lineRule="auto"/>
        <w:tabs>
          <w:tab w:leader="none" w:pos="1233"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TERMS</w:t>
      </w:r>
      <w:r>
        <w:rPr>
          <w:rFonts w:ascii="Times New Roman" w:cs="Times New Roman" w:eastAsia="Times New Roman" w:hAnsi="Times New Roman"/>
          <w:sz w:val="18"/>
          <w:szCs w:val="18"/>
          <w:color w:val="auto"/>
        </w:rPr>
        <w:t>. ADMA shall deliver payment in full to PLASMA SUPPLIER for all RSV Plasma shipped to ADMA within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days from ADMA’s receipt of the corresponding invoice. PLASMA SUPPLIER shall issue invoices promptly after ADMA or its carrier takes possession of the RSV Plasma from the Designated Location (as defined below) or, in the event PLASMA SUPPLIER earns the Bonus Amount, such invoice shall be issued promptly following the end of the applicable Calendar Year. All payments due hereunder from ADMA to PLASMA SUPPLIER shall be sent to PLASMA SUPPLIER at the times set forth herein delivered in the form of wire transfer or check to such accounts as PLASMA SUPPLIER may designate to ADMA.</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Invoices to ADMA, and inquiries and correspondence regarding payment, shall be directed to</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ADMA Biologics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5800 Park of Commerce Blvd., NW</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Boca Raton, FL 33487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Wire transfer instructions and a check mailing address will be provided to ADMA by PLASMA SUPPLIER under separate written notice, e-mail being sufficient. Modifications of bank account information, including wiring instructions, and any payment address shall be confirmed pursuant to written notice (email being sufficient) and verbally confirmed by the Parties.</w:t>
      </w:r>
    </w:p>
    <w:p>
      <w:pPr>
        <w:spacing w:after="0" w:line="172" w:lineRule="exact"/>
        <w:rPr>
          <w:sz w:val="20"/>
          <w:szCs w:val="20"/>
          <w:color w:val="auto"/>
        </w:rPr>
      </w:pPr>
    </w:p>
    <w:p>
      <w:pPr>
        <w:ind w:left="1240" w:hanging="584"/>
        <w:spacing w:after="0"/>
        <w:tabs>
          <w:tab w:leader="none" w:pos="12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INSPECTION AND ACCEPTANCE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1304"/>
        <w:spacing w:after="0" w:line="256" w:lineRule="auto"/>
        <w:tabs>
          <w:tab w:leader="none" w:pos="187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 SUPPLIER shall make RSV Plasma available for pickup at PLASMA SUPPLIER’s approved plasma warehouse, [***], at [***] (the “</w:t>
      </w:r>
      <w:r>
        <w:rPr>
          <w:rFonts w:ascii="Times New Roman" w:cs="Times New Roman" w:eastAsia="Times New Roman" w:hAnsi="Times New Roman"/>
          <w:sz w:val="18"/>
          <w:szCs w:val="18"/>
          <w:b w:val="1"/>
          <w:bCs w:val="1"/>
          <w:color w:val="auto"/>
        </w:rPr>
        <w:t>Designated Location</w:t>
      </w:r>
      <w:r>
        <w:rPr>
          <w:rFonts w:ascii="Times New Roman" w:cs="Times New Roman" w:eastAsia="Times New Roman" w:hAnsi="Times New Roman"/>
          <w:sz w:val="18"/>
          <w:szCs w:val="18"/>
          <w:color w:val="auto"/>
        </w:rPr>
        <w:t xml:space="preserve">”), as set forth in a delivery schedule to be mutually agreed to by the Parties from time to time as hereinafter provided herein, unless otherwise mutually agreed between the Parties. Title and risk of loss shall pass upon transfer of the RSV Plasma to ADMA at [***]. ADMA shall inspect each shipment of RSV Plasma for conformity with the specifications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ADMA Specifications</w:t>
      </w:r>
      <w:r>
        <w:rPr>
          <w:rFonts w:ascii="Times New Roman" w:cs="Times New Roman" w:eastAsia="Times New Roman" w:hAnsi="Times New Roman"/>
          <w:sz w:val="18"/>
          <w:szCs w:val="18"/>
          <w:color w:val="auto"/>
        </w:rPr>
        <w:t>”) within [***] ([***]) days of receipt of the RSV Plasma. ADMA shall promptly notify PLASMA SUPPLIER in writing of its determination of any non-conformity of the RSV Plasma with ADMA Specifications within such aforementioned [***] ([***])-day period (“</w:t>
      </w:r>
      <w:r>
        <w:rPr>
          <w:rFonts w:ascii="Times New Roman" w:cs="Times New Roman" w:eastAsia="Times New Roman" w:hAnsi="Times New Roman"/>
          <w:sz w:val="18"/>
          <w:szCs w:val="18"/>
          <w:b w:val="1"/>
          <w:bCs w:val="1"/>
          <w:color w:val="auto"/>
        </w:rPr>
        <w:t>Non-Conformity Notice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60" w:firstLine="1304"/>
        <w:spacing w:after="0" w:line="254" w:lineRule="auto"/>
        <w:tabs>
          <w:tab w:leader="none" w:pos="188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Non-Conformity Notice is received by PLASMA SUPPLIER within the time period specified in </w:t>
      </w:r>
      <w:r>
        <w:rPr>
          <w:rFonts w:ascii="Times New Roman" w:cs="Times New Roman" w:eastAsia="Times New Roman" w:hAnsi="Times New Roman"/>
          <w:sz w:val="18"/>
          <w:szCs w:val="18"/>
          <w:u w:val="single" w:color="auto"/>
          <w:color w:val="auto"/>
        </w:rPr>
        <w:t>Section A.4(a)</w:t>
      </w:r>
      <w:r>
        <w:rPr>
          <w:rFonts w:ascii="Times New Roman" w:cs="Times New Roman" w:eastAsia="Times New Roman" w:hAnsi="Times New Roman"/>
          <w:sz w:val="18"/>
          <w:szCs w:val="18"/>
          <w:color w:val="auto"/>
        </w:rPr>
        <w:t xml:space="preserve"> above, the Parties shall meet within [***] ([***]) business days following PLASMA SUPPLIER’s receipt of the Non-Conformity Notice to determine whether such RSV Plasma meets the ADMA Specifications. If it is determined by both Parties that the RSV Plasma does not meet the ADMA Specifications, PLASMA SUPPLIER shall replace any non-conforming RSV Plasma, as promptly as possible, taking into account the time required to produce such quantities of RSV Plasma. In the event the Parties fail to agree whether or not any given shipment of RSV Plasma conforms with the ADMA Specifications, then the matter will be promptly referred to an independent expert agreed upon in good faith by both Parties, whose decision shall be binding on the Parties. The cost of referral to the expert will be borne by the Party determined to have been in error as to conformity, or lack thereof, with the ADMA Specifications. ADMA shall not be required to pay for any non-conforming RSV Plasma.</w:t>
      </w:r>
    </w:p>
    <w:p>
      <w:pPr>
        <w:spacing w:after="0" w:line="362"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2"/>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p>
      <w:pPr>
        <w:ind w:left="1880" w:hanging="576"/>
        <w:spacing w:after="0"/>
        <w:tabs>
          <w:tab w:leader="none" w:pos="18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shipment of RSV Plasma delivered, PLASMA SUPPLIER shall provide to ADMA all documents required in ADMA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Specifications.</w:t>
      </w:r>
    </w:p>
    <w:p>
      <w:pPr>
        <w:spacing w:after="0" w:line="203" w:lineRule="exact"/>
        <w:rPr>
          <w:sz w:val="20"/>
          <w:szCs w:val="20"/>
          <w:color w:val="auto"/>
        </w:rPr>
      </w:pPr>
    </w:p>
    <w:p>
      <w:pPr>
        <w:ind w:firstLine="656"/>
        <w:spacing w:after="0" w:line="259" w:lineRule="auto"/>
        <w:tabs>
          <w:tab w:leader="none" w:pos="1233"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SHIPMENT TERMS</w:t>
      </w:r>
      <w:r>
        <w:rPr>
          <w:rFonts w:ascii="Times New Roman" w:cs="Times New Roman" w:eastAsia="Times New Roman" w:hAnsi="Times New Roman"/>
          <w:sz w:val="18"/>
          <w:szCs w:val="18"/>
          <w:color w:val="auto"/>
        </w:rPr>
        <w:t>. PLASMA SUPPLIER shall pay for all shipments to the Designated Location in accordance with the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agreed to by the Parties. ADMA will take ownership and bear all risk of loss upon pick up by ADMA or ADMA’s designated carrier from [***]. ADMA shall use commercially reasonable efforts to arrange to have the RSV Plasma picked up at least [***] ([***]) times a year in approximately equally spaced intervals. ADMA shall, at its own expense, be responsible for freight charges, insurance, handling and forwarding agent’s fees, taxes, storage and all other charges applicable to the RSV Plasma from that Designated Location.</w:t>
      </w:r>
    </w:p>
    <w:p>
      <w:pPr>
        <w:spacing w:after="0" w:line="179" w:lineRule="exact"/>
        <w:rPr>
          <w:rFonts w:ascii="Times New Roman" w:cs="Times New Roman" w:eastAsia="Times New Roman" w:hAnsi="Times New Roman"/>
          <w:sz w:val="18"/>
          <w:szCs w:val="18"/>
          <w:b w:val="1"/>
          <w:bCs w:val="1"/>
          <w:color w:val="auto"/>
        </w:rPr>
      </w:pPr>
    </w:p>
    <w:p>
      <w:pPr>
        <w:ind w:right="140" w:firstLine="656"/>
        <w:spacing w:after="0" w:line="268" w:lineRule="auto"/>
        <w:tabs>
          <w:tab w:leader="none" w:pos="1233"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shipments shall be made Ex Works (Incoterms 2020) from the Designated Location. Except as set forth in Section A.5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ADMA shall pay for all RSV Plasma shipping costs and PLASMA SUPPLIER shall comply with the RSV Plasma shipping specifications as set forth in Exhibit A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u w:val="single" w:color="auto"/>
          <w:color w:val="auto"/>
        </w:rPr>
        <w:t>QUALITY OF RSV PLASMA.</w:t>
      </w:r>
    </w:p>
    <w:p>
      <w:pPr>
        <w:spacing w:after="0" w:line="229" w:lineRule="exact"/>
        <w:rPr>
          <w:sz w:val="20"/>
          <w:szCs w:val="20"/>
          <w:color w:val="auto"/>
        </w:rPr>
      </w:pPr>
    </w:p>
    <w:p>
      <w:pPr>
        <w:ind w:right="20" w:firstLine="656"/>
        <w:spacing w:after="0" w:line="252" w:lineRule="auto"/>
        <w:tabs>
          <w:tab w:leader="none" w:pos="1233"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PLASMA SUPPLIER shall provide ADMA, at no cost to ADMA, plasma samples in amounts and at times mutually agreed upon by ADMA and PLASMA SUPPLIER to enable ADMA to test and identify plasma donors suitable for producing RSV Plasma for ADMA in accordance with the ADMA Specifications (“</w:t>
      </w:r>
      <w:r>
        <w:rPr>
          <w:rFonts w:ascii="Times New Roman" w:cs="Times New Roman" w:eastAsia="Times New Roman" w:hAnsi="Times New Roman"/>
          <w:sz w:val="18"/>
          <w:szCs w:val="18"/>
          <w:b w:val="1"/>
          <w:bCs w:val="1"/>
          <w:color w:val="auto"/>
        </w:rPr>
        <w:t>Source Plasma Specifications</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incorporated herein by reference. ADMA shall bear the cost of freight for such samples to their designation location. For the avoidance of doubt, ADMA will bear all costs associated with the testing of the samples. Based on said testing, ADMA shall identify plasma donors whom ADMA has tested as suitable for producing RSV Plasma in accordance with ADMA Specifications (“</w:t>
      </w:r>
      <w:r>
        <w:rPr>
          <w:rFonts w:ascii="Times New Roman" w:cs="Times New Roman" w:eastAsia="Times New Roman" w:hAnsi="Times New Roman"/>
          <w:sz w:val="18"/>
          <w:szCs w:val="18"/>
          <w:b w:val="1"/>
          <w:bCs w:val="1"/>
          <w:color w:val="auto"/>
        </w:rPr>
        <w:t>Acceptable Donors</w:t>
      </w:r>
      <w:r>
        <w:rPr>
          <w:rFonts w:ascii="Times New Roman" w:cs="Times New Roman" w:eastAsia="Times New Roman" w:hAnsi="Times New Roman"/>
          <w:sz w:val="18"/>
          <w:szCs w:val="18"/>
          <w:color w:val="auto"/>
        </w:rPr>
        <w:t>”). PLASMA SUPPLIER shall produce RSV Plasma for ADMA based on the number of Acceptable Donors identified by ADMA. ADMA’s acceptance of the donor shall not constitute ADMA’s acceptance of RSV Plasma. PLASMA SUPPLIER will use commercially reasonable efforts in-line with industry standard incentive programs and donor retention programs to provide plasma from as many of the Acceptable Donors identified by ADMA as possible. In particular, PLASMA SUPPLIER covenants and agrees, unless otherwise permitted by ADMA in writing (e-mail being acceptable), to provide samples of RSV Plasma from: (i) [***] Centers from the Effective Date through [***]; (ii) [***] Centers from</w:t>
      </w:r>
    </w:p>
    <w:p>
      <w:pPr>
        <w:spacing w:after="0" w:line="5" w:lineRule="exact"/>
        <w:rPr>
          <w:rFonts w:ascii="Times New Roman" w:cs="Times New Roman" w:eastAsia="Times New Roman" w:hAnsi="Times New Roman"/>
          <w:sz w:val="18"/>
          <w:szCs w:val="18"/>
          <w:b w:val="1"/>
          <w:bCs w:val="1"/>
          <w:color w:val="auto"/>
        </w:rPr>
      </w:pPr>
    </w:p>
    <w:p>
      <w:pPr>
        <w:ind w:left="440" w:hanging="432"/>
        <w:spacing w:after="0"/>
        <w:tabs>
          <w:tab w:leader="none" w:pos="4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 (iii) [***] Centers from [***] through [***] and (iv) [***] Centers from [***] through the remainder of the Term.</w:t>
      </w:r>
    </w:p>
    <w:p>
      <w:pPr>
        <w:spacing w:after="0" w:line="206" w:lineRule="exact"/>
        <w:rPr>
          <w:rFonts w:ascii="Times New Roman" w:cs="Times New Roman" w:eastAsia="Times New Roman" w:hAnsi="Times New Roman"/>
          <w:sz w:val="18"/>
          <w:szCs w:val="18"/>
          <w:color w:val="auto"/>
        </w:rPr>
      </w:pPr>
    </w:p>
    <w:p>
      <w:pPr>
        <w:ind w:right="80" w:firstLine="656"/>
        <w:spacing w:after="0" w:line="254" w:lineRule="auto"/>
        <w:tabs>
          <w:tab w:leader="none" w:pos="1233"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Once ADMA has identified a donor as an Acceptable Donor and notified PLASMA SUPPLIER in writing of such designation (e-mail being sufficient), ADMA agrees to purchase all RSV Plasma collected from the Acceptable Donor until it notifies PLASMA SUPPLIER in writing (e-mail being sufficient) that the donor is no longer an Acceptable Donor. ADMA is obligated to purchase all RSV Plasma, on a monthly basis, from Acceptable Donors that PLASMA SUPPLIER has collected and delivered in conformity with the ADMA Specifications. ADMA may, upon [***] ([***]) business days’ prior written notice (e-mail being sufficient), terminate Acceptable Donor status for any donor at any time at its sole discretion. ADMA will not be obligated to purchase RSV Plasma from donors who are not Acceptable Donors or have been dropped as Acceptable Donors following ADMA’s [***] ([***]) business days’ written drop notification. ADMA will be obligated to purchase any RSV Plasma collected through the drop notification period. Business days are defined as Monday through Friday 9 am to 5 pm Eastern Standard Time, with weekends and holidays (applicable to each Center) specifically excluded.</w:t>
      </w:r>
    </w:p>
    <w:p>
      <w:pPr>
        <w:spacing w:after="0" w:line="359" w:lineRule="exact"/>
        <w:rPr>
          <w:rFonts w:ascii="Times New Roman" w:cs="Times New Roman" w:eastAsia="Times New Roman" w:hAnsi="Times New Roman"/>
          <w:sz w:val="18"/>
          <w:szCs w:val="18"/>
          <w:b w:val="1"/>
          <w:bCs w:val="1"/>
          <w:color w:val="auto"/>
        </w:rPr>
      </w:pPr>
    </w:p>
    <w:p>
      <w:pPr>
        <w:ind w:left="5580" w:hanging="76"/>
        <w:spacing w:after="0"/>
        <w:tabs>
          <w:tab w:leader="none" w:pos="5580" w:val="left"/>
        </w:tabs>
        <w:numPr>
          <w:ilvl w:val="2"/>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ind w:left="-656" w:firstLine="656"/>
        <w:spacing w:after="0" w:line="266" w:lineRule="auto"/>
        <w:tabs>
          <w:tab w:leader="none" w:pos="577"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PLASMA SUPPLIER shall have no obligation to provide RSV Plasma to ADMA in the event the failure to provide RSV Plasma is due to a Force Majeure Event described in </w:t>
      </w:r>
      <w:r>
        <w:rPr>
          <w:rFonts w:ascii="Times New Roman" w:cs="Times New Roman" w:eastAsia="Times New Roman" w:hAnsi="Times New Roman"/>
          <w:sz w:val="18"/>
          <w:szCs w:val="18"/>
          <w:u w:val="single" w:color="auto"/>
          <w:color w:val="auto"/>
        </w:rPr>
        <w:t>Article F</w:t>
      </w:r>
      <w:r>
        <w:rPr>
          <w:rFonts w:ascii="Times New Roman" w:cs="Times New Roman" w:eastAsia="Times New Roman" w:hAnsi="Times New Roman"/>
          <w:sz w:val="18"/>
          <w:szCs w:val="18"/>
          <w:color w:val="auto"/>
        </w:rPr>
        <w:t xml:space="preserve"> or the unavailability of Acceptable Donors. Additionally, ADMA shall have no obligation to purchase RSV Plasma from PLASMA SUPPLIER in the event of a Force Majeure Event affecting ADMA.</w:t>
      </w:r>
    </w:p>
    <w:p>
      <w:pPr>
        <w:spacing w:after="0" w:line="175" w:lineRule="exact"/>
        <w:rPr>
          <w:rFonts w:ascii="Times New Roman" w:cs="Times New Roman" w:eastAsia="Times New Roman" w:hAnsi="Times New Roman"/>
          <w:sz w:val="18"/>
          <w:szCs w:val="18"/>
          <w:b w:val="1"/>
          <w:bCs w:val="1"/>
          <w:color w:val="auto"/>
        </w:rPr>
      </w:pPr>
    </w:p>
    <w:p>
      <w:pPr>
        <w:ind w:left="-656" w:right="40" w:firstLine="656"/>
        <w:spacing w:after="0" w:line="266" w:lineRule="auto"/>
        <w:tabs>
          <w:tab w:leader="none" w:pos="577"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Following donor acceptance and receipt of such RSV Plasma units into ADMA’s inventory in accordance with </w:t>
      </w:r>
      <w:r>
        <w:rPr>
          <w:rFonts w:ascii="Times New Roman" w:cs="Times New Roman" w:eastAsia="Times New Roman" w:hAnsi="Times New Roman"/>
          <w:sz w:val="18"/>
          <w:szCs w:val="18"/>
          <w:u w:val="single" w:color="auto"/>
          <w:color w:val="auto"/>
        </w:rPr>
        <w:t>Section A.4</w:t>
      </w:r>
      <w:r>
        <w:rPr>
          <w:rFonts w:ascii="Times New Roman" w:cs="Times New Roman" w:eastAsia="Times New Roman" w:hAnsi="Times New Roman"/>
          <w:sz w:val="18"/>
          <w:szCs w:val="18"/>
          <w:color w:val="auto"/>
        </w:rPr>
        <w:t xml:space="preserve"> (Inspection and Acceptance), ADMA shall bear the expense of unusable RSV Plasma due to a recall, or the destruction of any RSV Plasma due to post-donation “look back” issues in accordance with FDA regulations and guidance.</w:t>
      </w:r>
    </w:p>
    <w:p>
      <w:pPr>
        <w:spacing w:after="0" w:line="175" w:lineRule="exact"/>
        <w:rPr>
          <w:rFonts w:ascii="Times New Roman" w:cs="Times New Roman" w:eastAsia="Times New Roman" w:hAnsi="Times New Roman"/>
          <w:sz w:val="18"/>
          <w:szCs w:val="18"/>
          <w:b w:val="1"/>
          <w:bCs w:val="1"/>
          <w:color w:val="auto"/>
        </w:rPr>
      </w:pPr>
    </w:p>
    <w:p>
      <w:pPr>
        <w:jc w:val="both"/>
        <w:ind w:left="-656" w:right="480" w:firstLine="656"/>
        <w:spacing w:after="0" w:line="261" w:lineRule="auto"/>
        <w:tabs>
          <w:tab w:leader="none" w:pos="612"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PLASMA SUPPLIER shall supply to ADMA, for the Term, RSV Plasma to be derived from automated plasmapheresis procedures conducted at plasma centers approved by ADMA and specified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Centers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be updated from time to time to reflect additional Centers approved by ADMA to be built or otherwise collecting RSV Plasma by PLASMA SUPPLIER or its affiliates/subsidiaries which PLASMA SUPPLIER will utilize to supply RSV Plasma pursuant to the terms of this Agreement.</w:t>
      </w:r>
    </w:p>
    <w:p>
      <w:pPr>
        <w:spacing w:after="0" w:line="179" w:lineRule="exact"/>
        <w:rPr>
          <w:rFonts w:ascii="Times New Roman" w:cs="Times New Roman" w:eastAsia="Times New Roman" w:hAnsi="Times New Roman"/>
          <w:sz w:val="18"/>
          <w:szCs w:val="18"/>
          <w:b w:val="1"/>
          <w:bCs w:val="1"/>
          <w:color w:val="auto"/>
        </w:rPr>
      </w:pPr>
    </w:p>
    <w:p>
      <w:pPr>
        <w:ind w:left="-656" w:right="120" w:firstLine="656"/>
        <w:spacing w:after="0" w:line="258" w:lineRule="auto"/>
        <w:tabs>
          <w:tab w:leader="none" w:pos="577"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ADMA and PLASMA SUPPLIER shall execute a mutually agreeable Source Plasma Specifications and Quality Agreement effective on the Effective Date, in substantially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Quality Agreement</w:t>
      </w:r>
      <w:r>
        <w:rPr>
          <w:rFonts w:ascii="Times New Roman" w:cs="Times New Roman" w:eastAsia="Times New Roman" w:hAnsi="Times New Roman"/>
          <w:sz w:val="18"/>
          <w:szCs w:val="18"/>
          <w:color w:val="auto"/>
        </w:rPr>
        <w:t>”). In the event of a conflict between any of the provisions of this Agreement and the Quality Agreement with respect to quality-related activities, including compliance with applicable laws, the provisions of the Quality Agreement shall govern. In the event of a conflict between any of the provisions of this Agreement and the Quality Agreement with respect to any commercial matters, including allocation of risk, liability, and financial responsibility, the provisions of this Agreement shall govern.</w:t>
      </w:r>
    </w:p>
    <w:p>
      <w:pPr>
        <w:spacing w:after="0" w:line="183" w:lineRule="exact"/>
        <w:rPr>
          <w:rFonts w:ascii="Times New Roman" w:cs="Times New Roman" w:eastAsia="Times New Roman" w:hAnsi="Times New Roman"/>
          <w:sz w:val="18"/>
          <w:szCs w:val="18"/>
          <w:b w:val="1"/>
          <w:bCs w:val="1"/>
          <w:color w:val="auto"/>
        </w:rPr>
      </w:pPr>
    </w:p>
    <w:p>
      <w:pPr>
        <w:ind w:left="-656" w:right="20" w:firstLine="656"/>
        <w:spacing w:after="0" w:line="256" w:lineRule="auto"/>
        <w:tabs>
          <w:tab w:leader="none" w:pos="577"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ADMA shall have the right to conduct inspections of PLASMA SUPPLIER’s Centers and facilities pertaining to the RSV Plasma at times mutually agreeable to the Parties. Such inspections shall be limited to matters directly related to this Agreement and shall be conducted in conformance with generally accepted industry practices. ADMA will provide PLASMA SUPPLIER with not less than [***] ([***]) days’ notice prior to any of its inspections, unless mutually agreed otherwise by the Parties. Upon receipt of ADMA’s inspection report, PLASMA SUPPLIER shall have [***] ([***]) calendar days to send a written response to ADMA, outlining the corrective actions that PLASMA SUPPLIER will take at its expense, to correct the inspection deficiencies.</w:t>
      </w:r>
    </w:p>
    <w:p>
      <w:pPr>
        <w:spacing w:after="0" w:line="187" w:lineRule="exact"/>
        <w:rPr>
          <w:rFonts w:ascii="Times New Roman" w:cs="Times New Roman" w:eastAsia="Times New Roman" w:hAnsi="Times New Roman"/>
          <w:sz w:val="18"/>
          <w:szCs w:val="18"/>
          <w:b w:val="1"/>
          <w:bCs w:val="1"/>
          <w:color w:val="auto"/>
        </w:rPr>
      </w:pPr>
    </w:p>
    <w:p>
      <w:pPr>
        <w:ind w:left="-656" w:right="160" w:firstLine="656"/>
        <w:spacing w:after="0" w:line="256" w:lineRule="auto"/>
        <w:tabs>
          <w:tab w:leader="none" w:pos="577"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PLASMA SUPPLIER, in compliance with 21 CFR §640.69(f), agrees to hold all RSV Plasma units for a minimum of [***] ([***]) calendar days from the collection date prior to delivery of the RSV Plasma to the Designated Location. ADMA further agrees that if ADMA is informed by PLASMA SUPPLIER (through the established lookback process) that a donor has been subsequently deferred pursuant to 21 CFR §610.41 or subsequently determined to be ineligible under 21 CFR §630.10 due to risk factors closely associated with exposure to, or clinical evidence of, infection due to a relevant transfusion-transmitted infection, all donations on hold from that donor will not be used in the further manufacturing of injectable products.</w:t>
      </w:r>
    </w:p>
    <w:p>
      <w:pPr>
        <w:spacing w:after="0" w:line="358" w:lineRule="exact"/>
        <w:rPr>
          <w:rFonts w:ascii="Times New Roman" w:cs="Times New Roman" w:eastAsia="Times New Roman" w:hAnsi="Times New Roman"/>
          <w:sz w:val="18"/>
          <w:szCs w:val="18"/>
          <w:b w:val="1"/>
          <w:bCs w:val="1"/>
          <w:color w:val="auto"/>
        </w:rPr>
      </w:pPr>
    </w:p>
    <w:p>
      <w:pPr>
        <w:ind w:left="4924" w:hanging="76"/>
        <w:spacing w:after="0"/>
        <w:tabs>
          <w:tab w:leader="none" w:pos="4924"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21" w:right="379" w:bottom="1440" w:gutter="0" w:footer="0" w:header="0"/>
        </w:sectPr>
      </w:pPr>
    </w:p>
    <w:bookmarkStart w:id="156" w:name="page157"/>
    <w:bookmarkEnd w:id="156"/>
    <w:p>
      <w:pPr>
        <w:ind w:left="652" w:hanging="652"/>
        <w:spacing w:after="0"/>
        <w:tabs>
          <w:tab w:leader="none" w:pos="652"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8" w:right="120" w:firstLine="656"/>
        <w:spacing w:after="0" w:line="255" w:lineRule="auto"/>
        <w:tabs>
          <w:tab w:leader="none" w:pos="1225"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hereto hereby represents and warrants to the other as follows: (i) such Party hereto has all requisite power and authority to enter into this Agreement and to consummate the transactions contemplated hereby, (ii) such Party is validly organized and existing and in good standing under the laws of the jurisdiction of its incorporation or organization, (iii) such Party is duly qualified to do business and is in good standing as a foreign entity in each jurisdiction where the nature of its business requires such qualification, (iv) the execution and delivery of this Agreement and the consummation by such Party of the transactions contemplated hereby have been duly authorized by all necessary action on the part of such Party, and (v) this Agreement has been duly and validly executed and delivered by such Party and constitutes the valid and binding obligation of such Party, enforceable against such Party in accordance with its terms.</w:t>
      </w:r>
    </w:p>
    <w:p>
      <w:pPr>
        <w:spacing w:after="0" w:line="188" w:lineRule="exact"/>
        <w:rPr>
          <w:rFonts w:ascii="Times New Roman" w:cs="Times New Roman" w:eastAsia="Times New Roman" w:hAnsi="Times New Roman"/>
          <w:sz w:val="18"/>
          <w:szCs w:val="18"/>
          <w:b w:val="1"/>
          <w:bCs w:val="1"/>
          <w:color w:val="auto"/>
        </w:rPr>
      </w:pPr>
    </w:p>
    <w:p>
      <w:pPr>
        <w:ind w:left="-8" w:firstLine="656"/>
        <w:spacing w:after="0" w:line="261" w:lineRule="auto"/>
        <w:tabs>
          <w:tab w:leader="none" w:pos="1225"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PLASMA SUPPLIER represents and warrants that it will only release RSV Plasma to ADMA or its loading dock under this Agreement from the Designated Location that have the requisite FDA approval at the time of such release, and that it shall thereafter maintain such approval during the Term of this Agreement. All information provided by PLASMA SUPPLIER to ADMA with respect to the RSV Plasma is complete and accurate in all material respects.</w:t>
      </w:r>
    </w:p>
    <w:p>
      <w:pPr>
        <w:spacing w:after="0" w:line="179" w:lineRule="exact"/>
        <w:rPr>
          <w:rFonts w:ascii="Times New Roman" w:cs="Times New Roman" w:eastAsia="Times New Roman" w:hAnsi="Times New Roman"/>
          <w:sz w:val="18"/>
          <w:szCs w:val="18"/>
          <w:b w:val="1"/>
          <w:bCs w:val="1"/>
          <w:color w:val="auto"/>
        </w:rPr>
      </w:pPr>
    </w:p>
    <w:p>
      <w:pPr>
        <w:ind w:left="-8" w:firstLine="656"/>
        <w:spacing w:after="0" w:line="254" w:lineRule="auto"/>
        <w:tabs>
          <w:tab w:leader="none" w:pos="1225"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PLASMA SUPPLIER represents and warrants to ADMA that RSV Plasma will be collected, produced, packaged, labeled, handled, stored and shipped in accordance with ADMA Specifications, the Quality Agreement, and PLASMA SUPPLIER approved standard operating procedures. PLASMA SUPPLIER represents, warrants and agrees that any and all RSV Plasma shall be collected, produced and packaged, labeled, handled, stored and shipped in accordance with all applicable local, state and federal laws, regulations, and requirements. ADMA shall have all rights and remedies available to it under this Agreement and shall not be obligated to buy or pay for any RSV Plasma which does not, in all respects, comply with the ADMA Specifications and applicable law, rules and regulations and as otherwise required by this Agreement, provided ADMA must submit notification of rejection within [***] ([***]) calendar days of receipt of such RSV Plasma. PLASMA SUPPLIER represents and warrants that its collection and supply of RSV Plasma under this Agreement will not breach or misappropriate the intellectual property rights of any third party.</w:t>
      </w:r>
    </w:p>
    <w:p>
      <w:pPr>
        <w:spacing w:after="0" w:line="191" w:lineRule="exact"/>
        <w:rPr>
          <w:rFonts w:ascii="Times New Roman" w:cs="Times New Roman" w:eastAsia="Times New Roman" w:hAnsi="Times New Roman"/>
          <w:sz w:val="18"/>
          <w:szCs w:val="18"/>
          <w:b w:val="1"/>
          <w:bCs w:val="1"/>
          <w:color w:val="auto"/>
        </w:rPr>
      </w:pPr>
    </w:p>
    <w:p>
      <w:pPr>
        <w:ind w:left="-8" w:right="20" w:firstLine="656"/>
        <w:spacing w:after="0" w:line="266" w:lineRule="auto"/>
        <w:tabs>
          <w:tab w:leader="none" w:pos="1225"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SET FORTH HEREIN, PLASMA SUPPLIER MAKES NO REPRESENTATIONS NOR EXTENDS ANY WARRANTIES OR CONDITIONS OF ANY KIND, EITHER EXPRESS OR IMPLIED, WITH RESPECT TO RSV PLASMA, INCLUDING, BUT NOT LIMITED TO, WARRANTIES OF MERCHANTABILITY.</w:t>
      </w:r>
    </w:p>
    <w:p>
      <w:pPr>
        <w:spacing w:after="0" w:line="346" w:lineRule="exact"/>
        <w:rPr>
          <w:rFonts w:ascii="Times New Roman" w:cs="Times New Roman" w:eastAsia="Times New Roman" w:hAnsi="Times New Roman"/>
          <w:sz w:val="18"/>
          <w:szCs w:val="18"/>
          <w:b w:val="1"/>
          <w:bCs w:val="1"/>
          <w:color w:val="auto"/>
        </w:rPr>
      </w:pPr>
    </w:p>
    <w:p>
      <w:pPr>
        <w:ind w:left="5572" w:hanging="76"/>
        <w:spacing w:after="0"/>
        <w:tabs>
          <w:tab w:leader="none" w:pos="5572" w:val="left"/>
        </w:tabs>
        <w:numPr>
          <w:ilvl w:val="2"/>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157" w:name="page158"/>
    <w:bookmarkEnd w:id="157"/>
    <w:p>
      <w:pPr>
        <w:ind w:left="652" w:hanging="652"/>
        <w:spacing w:after="0"/>
        <w:tabs>
          <w:tab w:leader="none" w:pos="652"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232" w:hanging="584"/>
        <w:spacing w:after="0"/>
        <w:tabs>
          <w:tab w:leader="none" w:pos="1232"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8" w:right="20" w:firstLine="1304"/>
        <w:spacing w:after="0" w:line="253" w:lineRule="auto"/>
        <w:tabs>
          <w:tab w:leader="none" w:pos="1863"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to maintain the confidentiality of the contents of this Agreement, the dealings between the Parties under this Agreement and any other confidential, non-public or proprietary information disclosed by the other Party during the Term, whether or not such information is labeled or otherwise identified as “confidential,” including that obtained through documents (whether written or electronic), observations, inspections or audits, and discussions (collectively,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with the same degree of care as they use to protect their own proprietary, confidential or trade secret information. A receiving Party shall not disclose to any third party, excluding such Party’s affiliates, agents, attorneys, consultants, advisors, and other representatives with a need-to-know such information and that is under an obligation of confidentiality therewith, any Confidential Information received from the disclosing Party hereunder without that disclosing Party’s prior written consent and shall use it only for the purpose of this Agreement. Said obligation of secrecy shall not apply to any information which (a) was in the public domain at the time of its disclosure or thereafter becomes part of the public domain by publication or otherwise subsequent to the time of disclosure under this Agreement through no fault of the receiving Party; (b) was known to the receiving Party or in its possession prior to or at the time of disclosure as shown by written records; (c) is independently developed by the receiving Party without use of the other Party’s Confidential Information as shown by written documentation; (d) is disclosed with the written approval of the disclosing Party; or (e) is rightfully furnished to the receiving Party by a third party having the authority to disclose such Confidential Information without restrictions.</w:t>
      </w:r>
    </w:p>
    <w:p>
      <w:pPr>
        <w:spacing w:after="0" w:line="187" w:lineRule="exact"/>
        <w:rPr>
          <w:rFonts w:ascii="Times New Roman" w:cs="Times New Roman" w:eastAsia="Times New Roman" w:hAnsi="Times New Roman"/>
          <w:sz w:val="18"/>
          <w:szCs w:val="18"/>
          <w:color w:val="auto"/>
        </w:rPr>
      </w:pPr>
    </w:p>
    <w:p>
      <w:pPr>
        <w:ind w:left="-8" w:right="40" w:firstLine="1304"/>
        <w:spacing w:after="0" w:line="256" w:lineRule="auto"/>
        <w:tabs>
          <w:tab w:leader="none" w:pos="1873"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is required to disclose the other Party’s Confidential Information by law or regulation or in response to a valid order of a court or other governmental body, or for registration of a product by competent authorities, such disclosure is permissible under this Section C.1, but only to the extent required under such law, regulation, order or registration, and only if the receiving Party, to the extent legally permissible, first notifies the disclosing Party of the required disclosure and permits the disclosing Party, at its expense, to seek an appropriate legal remedy to maintain the confidentiality of the Confidential Information to the maximum extent possible. All Confidential Information is provided “AS IS” and without any warranty, express, implied or otherwise regarding its accuracy or performance.</w:t>
      </w:r>
    </w:p>
    <w:p>
      <w:pPr>
        <w:spacing w:after="0" w:line="187" w:lineRule="exact"/>
        <w:rPr>
          <w:rFonts w:ascii="Times New Roman" w:cs="Times New Roman" w:eastAsia="Times New Roman" w:hAnsi="Times New Roman"/>
          <w:sz w:val="18"/>
          <w:szCs w:val="18"/>
          <w:color w:val="auto"/>
        </w:rPr>
      </w:pPr>
    </w:p>
    <w:p>
      <w:pPr>
        <w:ind w:left="-8" w:right="200" w:firstLine="1304"/>
        <w:spacing w:after="0" w:line="282" w:lineRule="auto"/>
        <w:tabs>
          <w:tab w:leader="none" w:pos="1859"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obligations shall survive the termination of this Agreement and shall continue with respect to donor information and trade secrets without limit of time and in respect of other Confidential Information for a period of [***] ([***]) years.</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74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 SUPPPLIER recognizes that in the course of performing under this Agreement, PLASMA SUPPLIER may receive from ADMA or others information that may be considered “material, nonpublic information” concerning a public company that is subject to the reporting requirements of the Securities and Exchange Act of 1934, as amended. PLASMA SUPPLIER represents, warrants and covenants to NOT: (a) purchase or sell, directly or indirectly, any securities of ADMA or any company while in possession of relevant material, nonpublic information relating to ADMA or such company; or (b) communicate any material, nonpublic information to any other person in which it is reasonably foreseeable that such person is likely to (i) purchase or sell securities of ADMA or any such company with respect to which such information relates, or (ii) otherwise directly or indirectly benefit from such information. Without limiting any of the confidentiality obligations and restrictions on insider trading included in this Agreement or in that certain Mutual Confidential Disclosure Agreement, effective as of March 14, 2024, between PLASMA SUPPLIER and ADMA Biologics, Inc., ADMA’s parent company, PLASMA SUPPLIER shall not discuss any information concerning ADMA obtained by PLASMA SUPPLIER in the course of performing this Agreement with any financial, securities or industry analyst or with the media without the prior written consent of ADMA.</w:t>
      </w:r>
    </w:p>
    <w:p>
      <w:pPr>
        <w:spacing w:after="0" w:line="365" w:lineRule="exact"/>
        <w:rPr>
          <w:rFonts w:ascii="Times New Roman" w:cs="Times New Roman" w:eastAsia="Times New Roman" w:hAnsi="Times New Roman"/>
          <w:sz w:val="18"/>
          <w:szCs w:val="18"/>
          <w:color w:val="auto"/>
        </w:rPr>
      </w:pPr>
    </w:p>
    <w:p>
      <w:pPr>
        <w:ind w:left="5572" w:hanging="76"/>
        <w:spacing w:after="0"/>
        <w:tabs>
          <w:tab w:leader="none" w:pos="5572" w:val="left"/>
        </w:tabs>
        <w:numPr>
          <w:ilvl w:val="3"/>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58" w:name="page159"/>
    <w:bookmarkEnd w:id="158"/>
    <w:p>
      <w:pPr>
        <w:ind w:left="-656" w:right="40" w:firstLine="656"/>
        <w:spacing w:after="0" w:line="262" w:lineRule="auto"/>
        <w:tabs>
          <w:tab w:leader="none" w:pos="577"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RELATIONSHIP OF THE PARTIES</w:t>
      </w:r>
      <w:r>
        <w:rPr>
          <w:rFonts w:ascii="Times New Roman" w:cs="Times New Roman" w:eastAsia="Times New Roman" w:hAnsi="Times New Roman"/>
          <w:sz w:val="18"/>
          <w:szCs w:val="18"/>
          <w:color w:val="auto"/>
        </w:rPr>
        <w:t>. The relationship between ADMA and PLASMA SUPPLIER during the Term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solely that of independent contractors. Neither Party is, in any way, the legal representative, agent, joint venture or partner of the other Party for any purpose whatsoever and neither Party has any control or authority whatsoever to bind the other Party or any other person with respect to the other Party or incur any obligations on the other Party’s behalf.</w:t>
      </w:r>
    </w:p>
    <w:p>
      <w:pPr>
        <w:spacing w:after="0" w:line="176" w:lineRule="exact"/>
        <w:rPr>
          <w:rFonts w:ascii="Times New Roman" w:cs="Times New Roman" w:eastAsia="Times New Roman" w:hAnsi="Times New Roman"/>
          <w:sz w:val="18"/>
          <w:szCs w:val="18"/>
          <w:b w:val="1"/>
          <w:bCs w:val="1"/>
          <w:color w:val="auto"/>
        </w:rPr>
      </w:pPr>
    </w:p>
    <w:p>
      <w:pPr>
        <w:ind w:left="-656" w:firstLine="656"/>
        <w:spacing w:after="0" w:line="252" w:lineRule="auto"/>
        <w:tabs>
          <w:tab w:leader="none" w:pos="577"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PLASMA SUPPLIER and ADMA hereby agree to indemnify, defend and hold harmless each other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subsidiaries, members, managers, lenders, agents, employees, officers and directors, from and against any and all third-party claims, losses, liabilities, damages, reasonable attorneys’ fees, costs and expenses (hereinafter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xml:space="preserve">”) which may be sustained by and/or claimed against a Party by virtue of (i) their negligent acts, negligent omissions or the negligent handling or furnishing of materials or performance of services rendered by the other Party, (ii) failure by the other Party to materially comply with its obligations under this Agreement, (iii) the willful misconduct by the other Party or its directors, officers, employees or agents, or (iv) the other Party’s material breach of any representation, warranty or term contained in this Agreement. The indemnifying party’s liability shall be reduced to the extent any such Claims arise as a result of the indemnified party’s own misconduct, breach or negligence. To the extent RSV Plasma is being used to manufacture Products to be used in research or for commercial purposes, ADMA specifically shall indemnify, defend and hold harmless PLASMA SUPPLIER, its affiliates, subsidiaries, directors, officers, agents and employees, from any and all Claims arising from the use of Product or any procedure required by the research protocol or related to the commercial sale of such Product, provided that the RSV Plasma is not the direct or contributing cause of such liability, loss or damage. The Party from whom indemnity is sought under this </w:t>
      </w:r>
      <w:r>
        <w:rPr>
          <w:rFonts w:ascii="Times New Roman" w:cs="Times New Roman" w:eastAsia="Times New Roman" w:hAnsi="Times New Roman"/>
          <w:sz w:val="18"/>
          <w:szCs w:val="18"/>
          <w:u w:val="single" w:color="auto"/>
          <w:color w:val="auto"/>
        </w:rPr>
        <w:t>Section C.3</w:t>
      </w:r>
      <w:r>
        <w:rPr>
          <w:rFonts w:ascii="Times New Roman" w:cs="Times New Roman" w:eastAsia="Times New Roman" w:hAnsi="Times New Roman"/>
          <w:sz w:val="18"/>
          <w:szCs w:val="18"/>
          <w:color w:val="auto"/>
        </w:rPr>
        <w:t xml:space="preserve"> shall be entitled at its option to defend or control the defense and/or settlement of any such Claims; provided that the indemnifying Party shall not settle any such Claim without the prior written consent of the indemnified Party (which consent shall not be unreasonably withheld or delayed). Each Party shall notify the other Party in writing of any Claim or potential Claim as soon as it becomes aware that such Claim or potential Claim has arisen and shall provide to the other Party, all reasonable assistance in respect thereof; provided that the failure of the indemnified Party to provide timely notice shall only relieve the indemnifying Party of liability to the extent the indemnifying Party can demonstrate that it actually was prejudiced by any delayed notification. The indemnified Party shall have the right to be represented by legal counsel of its choice, at its sole cost and expense.</w:t>
      </w:r>
    </w:p>
    <w:p>
      <w:pPr>
        <w:spacing w:after="0" w:line="193" w:lineRule="exact"/>
        <w:rPr>
          <w:rFonts w:ascii="Times New Roman" w:cs="Times New Roman" w:eastAsia="Times New Roman" w:hAnsi="Times New Roman"/>
          <w:sz w:val="18"/>
          <w:szCs w:val="18"/>
          <w:b w:val="1"/>
          <w:bCs w:val="1"/>
          <w:color w:val="auto"/>
        </w:rPr>
      </w:pPr>
    </w:p>
    <w:p>
      <w:pPr>
        <w:ind w:left="-656" w:right="200" w:firstLine="656"/>
        <w:spacing w:after="0" w:line="255" w:lineRule="auto"/>
        <w:tabs>
          <w:tab w:leader="none" w:pos="577"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EXCEPT FOR ANY BREACH OF CONFIDENTIALITY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C.1</w:t>
      </w:r>
      <w:r>
        <w:rPr>
          <w:rFonts w:ascii="Times New Roman" w:cs="Times New Roman" w:eastAsia="Times New Roman" w:hAnsi="Times New Roman"/>
          <w:sz w:val="18"/>
          <w:szCs w:val="18"/>
          <w:color w:val="auto"/>
        </w:rPr>
        <w:t>, IN NO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EITHER PARTY HAVE ANY LIABILITY FOR ANY LOSS OF INCOME, PROFIT, INTEREST OR SAVINGS BY THE OTHER PARTY OR FOR ANY INDIRECT, INCIDENTAL, CONSEQUENTIAL, PUNITIVE OR SPECIAL DAMAGES SUFFERED BY THE OTHER PARTY, ARISING FROM OR RELATED TO THIS AGREEMENT, INCLUDING WITHOUT LIMITATION, THE SALE OR USE OF ANY RSV PLASMA, REGARDLESS OF THE FORM OF ACTION, AND WHETHER IN CONTRACT, INDEMNITY, WARRANTY OR TORT, INCLUDING WITHOUT LIMITATION, STRICT LIABILITY AND NEGLIGENCE OR ANY OTHER LEGAL OR EQUITABLE GROUNDS, EVEN IF SUCH PARTY HAS BEEN ADVISED OF THE POSSIBILITY OF SUCH LOSSES OR DAMAGES. THIS LIMITATION WILL NOT APPLY TO ANY LIABILITY FOR DAMAGES THAT MAY RESULT FROM THE GROSS NEGLIGENCE OR WILLFUL MISCONDUCT OF A PARTY.</w:t>
      </w:r>
    </w:p>
    <w:p>
      <w:pPr>
        <w:spacing w:after="0" w:line="359" w:lineRule="exact"/>
        <w:rPr>
          <w:rFonts w:ascii="Times New Roman" w:cs="Times New Roman" w:eastAsia="Times New Roman" w:hAnsi="Times New Roman"/>
          <w:sz w:val="18"/>
          <w:szCs w:val="18"/>
          <w:b w:val="1"/>
          <w:bCs w:val="1"/>
          <w:color w:val="auto"/>
        </w:rPr>
      </w:pPr>
    </w:p>
    <w:p>
      <w:pPr>
        <w:ind w:left="4924" w:hanging="76"/>
        <w:spacing w:after="0"/>
        <w:tabs>
          <w:tab w:leader="none" w:pos="4924"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17" w:right="359" w:bottom="1440" w:gutter="0" w:footer="0" w:header="0"/>
        </w:sectPr>
      </w:pPr>
    </w:p>
    <w:bookmarkStart w:id="159" w:name="page160"/>
    <w:bookmarkEnd w:id="159"/>
    <w:p>
      <w:pPr>
        <w:ind w:left="-8" w:firstLine="656"/>
        <w:spacing w:after="0" w:line="253" w:lineRule="auto"/>
        <w:tabs>
          <w:tab w:leader="none" w:pos="1225"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ADMA and PLASMA SUPPLIER shall each be required to maintain general and product liability insurance in an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at least [***] Dollars ($[***]) during the Term and to promptly furnish certificates evidencing the insurance required by this Section upon the other Party’s written request. The Parties shall provide [***] ([***]) days’ advance written notice in the event the insurance required by this </w:t>
      </w:r>
      <w:r>
        <w:rPr>
          <w:rFonts w:ascii="Times New Roman" w:cs="Times New Roman" w:eastAsia="Times New Roman" w:hAnsi="Times New Roman"/>
          <w:sz w:val="18"/>
          <w:szCs w:val="18"/>
          <w:u w:val="single" w:color="auto"/>
          <w:color w:val="auto"/>
        </w:rPr>
        <w:t>Section C.5</w:t>
      </w:r>
      <w:r>
        <w:rPr>
          <w:rFonts w:ascii="Times New Roman" w:cs="Times New Roman" w:eastAsia="Times New Roman" w:hAnsi="Times New Roman"/>
          <w:sz w:val="18"/>
          <w:szCs w:val="18"/>
          <w:color w:val="auto"/>
        </w:rPr>
        <w:t xml:space="preserve"> is materially modified, cancelled or otherwise terminated for any reason. The Parties intend that any and all damages, losses, liabilities, penalties, judgments, settlements, payments, costs and expenses, whether or not resulting from third-party claims, including the costs and expenses of any such claims subject to indemnification or reimbursement pursuant to </w:t>
      </w:r>
      <w:r>
        <w:rPr>
          <w:rFonts w:ascii="Times New Roman" w:cs="Times New Roman" w:eastAsia="Times New Roman" w:hAnsi="Times New Roman"/>
          <w:sz w:val="18"/>
          <w:szCs w:val="18"/>
          <w:u w:val="single" w:color="auto"/>
          <w:color w:val="auto"/>
        </w:rPr>
        <w:t>Section C.3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will be net of insurance proceeds that actually reduce the amount of the Loss. Accordingly, the amount which any Party (an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is required to pay to any Person entitled to indemnification hereunder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will be reduced by any insurance proceeds theretofore actually recovered by or on behalf of the Indemnitee in respect of the related Loss. If an Indemnitee receives a payment (an “</w:t>
      </w:r>
      <w:r>
        <w:rPr>
          <w:rFonts w:ascii="Times New Roman" w:cs="Times New Roman" w:eastAsia="Times New Roman" w:hAnsi="Times New Roman"/>
          <w:sz w:val="18"/>
          <w:szCs w:val="18"/>
          <w:b w:val="1"/>
          <w:bCs w:val="1"/>
          <w:color w:val="auto"/>
        </w:rPr>
        <w:t>Indemnity Payment</w:t>
      </w:r>
      <w:r>
        <w:rPr>
          <w:rFonts w:ascii="Times New Roman" w:cs="Times New Roman" w:eastAsia="Times New Roman" w:hAnsi="Times New Roman"/>
          <w:sz w:val="18"/>
          <w:szCs w:val="18"/>
          <w:color w:val="auto"/>
        </w:rPr>
        <w:t>”) required by this Agreement from an Indemnifying Party in respect of any Loss and subsequently receives insurance proceeds, then the Indemnitee will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189"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8" w:right="40" w:firstLine="656"/>
        <w:spacing w:after="0" w:line="266" w:lineRule="auto"/>
        <w:tabs>
          <w:tab w:leader="none" w:pos="1225"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any other remedy it may have, either Party shall have the right to terminate this Agreement if the other Party fails to remedy and make good any default in the performance of any material condition or obligation under this Agreement within a cure period of [***] ([***]) days of written notice thereof.</w:t>
      </w:r>
    </w:p>
    <w:p>
      <w:pPr>
        <w:spacing w:after="0" w:line="175" w:lineRule="exact"/>
        <w:rPr>
          <w:rFonts w:ascii="Times New Roman" w:cs="Times New Roman" w:eastAsia="Times New Roman" w:hAnsi="Times New Roman"/>
          <w:sz w:val="18"/>
          <w:szCs w:val="18"/>
          <w:b w:val="1"/>
          <w:bCs w:val="1"/>
          <w:color w:val="auto"/>
        </w:rPr>
      </w:pPr>
    </w:p>
    <w:p>
      <w:pPr>
        <w:ind w:left="-8" w:right="420" w:firstLine="656"/>
        <w:spacing w:after="0" w:line="282" w:lineRule="auto"/>
        <w:tabs>
          <w:tab w:leader="none" w:pos="1215"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ADMA shall have the right to terminate this Agreement on [***] ([***]) days’ written notice in the event that the FDA withdraws its approval of ASCENIV™ during the Term, or in the event that ASCENIV™ is otherwise unable to be commercially sold.</w:t>
      </w:r>
    </w:p>
    <w:p>
      <w:pPr>
        <w:spacing w:after="0" w:line="161" w:lineRule="exact"/>
        <w:rPr>
          <w:rFonts w:ascii="Times New Roman" w:cs="Times New Roman" w:eastAsia="Times New Roman" w:hAnsi="Times New Roman"/>
          <w:sz w:val="18"/>
          <w:szCs w:val="18"/>
          <w:b w:val="1"/>
          <w:bCs w:val="1"/>
          <w:color w:val="auto"/>
        </w:rPr>
      </w:pPr>
    </w:p>
    <w:p>
      <w:pPr>
        <w:ind w:left="-8" w:right="40" w:firstLine="656"/>
        <w:spacing w:after="0" w:line="261" w:lineRule="auto"/>
        <w:tabs>
          <w:tab w:leader="none" w:pos="1225"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giving the appropriate written notice, either Party may terminate this Agreement upon the occurrence of a proceeding under any bankruptcy, reorganization, arrangement of debts, insolvency or receivership law is filed by or against the other Party, and is not dismissed or stayed within [***] ([***]) days, or a receiver or trustee is appointed for all or a substantial portion of the assets of the other Party, or if the other Party makes an assignment for the benefit of its creditors or becomes insolvent.</w:t>
      </w:r>
    </w:p>
    <w:p>
      <w:pPr>
        <w:spacing w:after="0" w:line="179" w:lineRule="exact"/>
        <w:rPr>
          <w:rFonts w:ascii="Times New Roman" w:cs="Times New Roman" w:eastAsia="Times New Roman" w:hAnsi="Times New Roman"/>
          <w:sz w:val="18"/>
          <w:szCs w:val="18"/>
          <w:b w:val="1"/>
          <w:bCs w:val="1"/>
          <w:color w:val="auto"/>
        </w:rPr>
      </w:pPr>
    </w:p>
    <w:p>
      <w:pPr>
        <w:ind w:left="-8" w:right="600" w:firstLine="656"/>
        <w:spacing w:after="0" w:line="266" w:lineRule="auto"/>
        <w:tabs>
          <w:tab w:leader="none" w:pos="1225"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termination of this Agreement, ADMA must pay for any RSV Plasma already delivered to ADMA and for any RSV Plasma collected and scheduled for delivery under the terms of this Agreement, provided, in each case that such RSV Plasma conforms to the ADMA Specifications.</w:t>
      </w:r>
    </w:p>
    <w:p>
      <w:pPr>
        <w:spacing w:after="0" w:line="346" w:lineRule="exact"/>
        <w:rPr>
          <w:rFonts w:ascii="Times New Roman" w:cs="Times New Roman" w:eastAsia="Times New Roman" w:hAnsi="Times New Roman"/>
          <w:sz w:val="18"/>
          <w:szCs w:val="18"/>
          <w:b w:val="1"/>
          <w:bCs w:val="1"/>
          <w:color w:val="auto"/>
        </w:rPr>
      </w:pPr>
    </w:p>
    <w:p>
      <w:pPr>
        <w:ind w:left="5552" w:hanging="92"/>
        <w:spacing w:after="0"/>
        <w:tabs>
          <w:tab w:leader="none" w:pos="5552" w:val="left"/>
        </w:tabs>
        <w:numPr>
          <w:ilvl w:val="2"/>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160" w:name="page161"/>
    <w:bookmarkEnd w:id="160"/>
    <w:p>
      <w:pPr>
        <w:ind w:right="160" w:firstLine="656"/>
        <w:spacing w:after="0" w:line="282" w:lineRule="auto"/>
        <w:tabs>
          <w:tab w:leader="none" w:pos="1233"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anything to the contrary set forth herein, the Parties’ obligations under this Agreement in </w:t>
      </w:r>
      <w:r>
        <w:rPr>
          <w:rFonts w:ascii="Times New Roman" w:cs="Times New Roman" w:eastAsia="Times New Roman" w:hAnsi="Times New Roman"/>
          <w:sz w:val="18"/>
          <w:szCs w:val="18"/>
          <w:u w:val="single" w:color="auto"/>
          <w:color w:val="auto"/>
        </w:rPr>
        <w:t>Sections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shall survive the termination of this Agreement to the extent necessary to give effect to their reasonable intentions.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56" w:lineRule="auto"/>
        <w:tabs>
          <w:tab w:leader="none" w:pos="1233"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Party shall be liable for any failure to perform its obligations under this Agreement caused by strikes, fires, explosions, acts of God, riots, civil or international war, future widespread outbreaks of illness or a pandemic acts of terrorism, an unexpected downturn in the acceptable donor population adversely affecting the industry as a whole, a decrease of acceptable donor population affecting the PLASMA SUPPLIER’s RSV program, an inability to fully test samples of RSV Plasma or any other similar cause beyond the reasonable control of either Party (including any such events at a Center or third-party testing laboratory) which prevents the performance of a Party’s obligations under this Agreement or the Quality Agreement (each, a “</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b w:val="1"/>
          <w:bCs w:val="1"/>
          <w:color w:val="auto"/>
        </w:rPr>
      </w:pPr>
    </w:p>
    <w:p>
      <w:pPr>
        <w:ind w:right="60" w:firstLine="656"/>
        <w:spacing w:after="0" w:line="258" w:lineRule="auto"/>
        <w:tabs>
          <w:tab w:leader="none" w:pos="1229"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affected Party shall immediately inform the other Party of a Force Majeure Event, including a full description of the nature of the event of Force Majeure, and its cause and possible consequences of such occurrences. Upon giving notice to the other Party, the Party affected by an event of Force Majeure shall be released without any liability on its part from the performance of its obligations under this Agreement, except for the obligation to pay any amounts due and owing hereunder, but only to the extent and only for the period that its performance of such obligations is prevented by the event of Force Majeure. The Party claiming Force Majeure shall promptly notify the other Party of the termination of such event.</w:t>
      </w:r>
    </w:p>
    <w:p>
      <w:pPr>
        <w:spacing w:after="0" w:line="183" w:lineRule="exact"/>
        <w:rPr>
          <w:rFonts w:ascii="Times New Roman" w:cs="Times New Roman" w:eastAsia="Times New Roman" w:hAnsi="Times New Roman"/>
          <w:sz w:val="18"/>
          <w:szCs w:val="18"/>
          <w:b w:val="1"/>
          <w:bCs w:val="1"/>
          <w:color w:val="auto"/>
        </w:rPr>
      </w:pPr>
    </w:p>
    <w:p>
      <w:pPr>
        <w:ind w:right="160" w:firstLine="656"/>
        <w:spacing w:after="0" w:line="282" w:lineRule="auto"/>
        <w:tabs>
          <w:tab w:leader="none" w:pos="1233"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Should the period of Force Majeure continue for more than [***] ([***]) days, then the Party not suffering the Force Majeure event may terminate this Agreement immediately upon giving written notice to the other Party.</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DONOR INFORMATION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PLASMA SUPPLIER agrees that all donor information supplied by ADMA and antibody test results supplied by ADMA are the property of</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ADMA and that PLASMA SUPPLIER has no right to share this information with any other party or use the information for its own commercial use, but may use the information to comply with regulatory requirements and for its own record keeping requirements. This information shall be considered ADMA’s Confidential Information.</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PLASMA SUPPLIER agrees to provide ADMA, on a monthly basis during the Term, with certain deidentified information about Acceptable Donors in PLASMA SUPPLIER’s RSV Plasma program, [***]. For the avoidance of doubt, PLASMA SUPPLIER shall not provide a donor number or social security number for any such data provided hereunder.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DISCLOSURES AND PUBLICITY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Neither Party shall, without the approval of the other Party, make any press release or other public announcement concerning the transactions contemplated by this Agreement, except as and to the extent that any such Party shall be so obligated by law, in which case the other Party shall be advised and the Parties shall use their commercially reasonable efforts to cause a mutually agreeable release or announcement to be issued; provided, however, that the foregoing shall not preclude communications or disclosures necessary to implement the provisions of this Agreement or to comply with the accounting and disclosure obligations of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the rules of any stock exchange. Notwithstanding any contrary term contained in the confidentiality provisions of this Agreement, to the extent that either Party determines that it or the other Party is required to publicly file or register this Agreement, a summary thereof, or a notification thereof, and/or descriptions related thereto, to comply with the requirements of an applicable stock exchange, SEC regulation, or any governmental authority, including the SEC, or to enable either Party to obtain debt or equity financing, such Party shall use its best efforts to provide the maximum amount of advance written notice of any such required disclosure to the other Party, to the extent practicable, with a minimum advance notice period of [***] ([***]) business days. Prior to making any such filing, registration or notification, the Parties shall consult with respect thereto regarding confidentiality. The Parties shall cooperate, each at its own expense, in such filing, registration or notification, including such confidential treatment request, if applicable, and shall execute all documents reasonably required in connection therewith.</w:t>
      </w:r>
    </w:p>
    <w:p>
      <w:pPr>
        <w:spacing w:after="0" w:line="186"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Party shall assign this Agreement or any of its rights or obligations hereunder without the express written consent of the other Party, except as hereinafter provided. Any such consent shall not be unreasonably delayed, conditioned, or withheld. With notice to the other Party, either Party without the other Party’s consent may assign this Agreement to (i) its direct affiliate, or (ii) a successor to all or substantially all of the assets or equity ownership relating to the business of that Party which is involved in the fulfillment of its obligations under this Agreement, and such successor or assignee (if such successor or assignee is not a Party hereto) shall expressly assume in writing the performance of all of the terms and conditions of this Agreement then to be performed by such successor or assignee as if it were named herein as a Party.</w:t>
      </w:r>
    </w:p>
    <w:p>
      <w:pPr>
        <w:spacing w:after="0" w:line="183" w:lineRule="exact"/>
        <w:rPr>
          <w:sz w:val="20"/>
          <w:szCs w:val="20"/>
          <w:color w:val="auto"/>
        </w:rPr>
      </w:pPr>
    </w:p>
    <w:p>
      <w:pPr>
        <w:ind w:left="660" w:right="20" w:hanging="652"/>
        <w:spacing w:after="0" w:line="262" w:lineRule="auto"/>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Except as otherwise provided in this Agreement, all notices, demands, requests, consents or approvals furnished by a Party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must be in writing and delivered personally to the other Party or sent by overnight courier service, registered or certified mail, or electronic mail (“</w:t>
      </w: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 addressed to such Party as set forth below (or to such other (physical or e-mail) address(es) as such Party may hereafter specify for the purpose by notice to the other Party in accordance herewith):</w:t>
      </w:r>
    </w:p>
    <w:p>
      <w:pPr>
        <w:spacing w:after="0" w:line="18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To PLASMA SUPPLIER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KEDPlasma LLC</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Park Plaza</w:t>
      </w:r>
    </w:p>
    <w:p>
      <w:pPr>
        <w:ind w:left="2600"/>
        <w:spacing w:after="0" w:line="184" w:lineRule="auto"/>
        <w:rPr>
          <w:sz w:val="20"/>
          <w:szCs w:val="20"/>
          <w:color w:val="auto"/>
        </w:rPr>
      </w:pPr>
      <w:r>
        <w:rPr>
          <w:rFonts w:ascii="Times New Roman" w:cs="Times New Roman" w:eastAsia="Times New Roman" w:hAnsi="Times New Roman"/>
          <w:sz w:val="16"/>
          <w:szCs w:val="16"/>
          <w:color w:val="auto"/>
        </w:rPr>
        <w:t>400 Kelby Street,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Fort Lee, NJ 07024</w:t>
      </w:r>
    </w:p>
    <w:p>
      <w:pPr>
        <w:spacing w:after="0" w:line="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copies to:</w:t>
      </w:r>
    </w:p>
    <w:p>
      <w:pPr>
        <w:spacing w:after="0" w:line="225" w:lineRule="exact"/>
        <w:rPr>
          <w:sz w:val="20"/>
          <w:szCs w:val="20"/>
          <w:color w:val="auto"/>
        </w:rPr>
      </w:pPr>
    </w:p>
    <w:p>
      <w:pPr>
        <w:jc w:val="right"/>
        <w:ind w:right="7660"/>
        <w:spacing w:after="0"/>
        <w:rPr>
          <w:sz w:val="20"/>
          <w:szCs w:val="20"/>
          <w:color w:val="auto"/>
        </w:rPr>
      </w:pPr>
      <w:r>
        <w:rPr>
          <w:rFonts w:ascii="Times New Roman" w:cs="Times New Roman" w:eastAsia="Times New Roman" w:hAnsi="Times New Roman"/>
          <w:sz w:val="18"/>
          <w:szCs w:val="18"/>
          <w:color w:val="auto"/>
        </w:rPr>
        <w:t>E-mail: [***]</w:t>
      </w:r>
    </w:p>
    <w:p>
      <w:pPr>
        <w:spacing w:after="0" w:line="27" w:lineRule="exact"/>
        <w:rPr>
          <w:sz w:val="20"/>
          <w:szCs w:val="20"/>
          <w:color w:val="auto"/>
        </w:rPr>
      </w:pPr>
    </w:p>
    <w:p>
      <w:pPr>
        <w:jc w:val="right"/>
        <w:ind w:right="7680"/>
        <w:spacing w:after="0"/>
        <w:rPr>
          <w:sz w:val="20"/>
          <w:szCs w:val="20"/>
          <w:color w:val="auto"/>
        </w:rPr>
      </w:pP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2" w:name="page163"/>
    <w:bookmarkEnd w:id="162"/>
    <w:tbl>
      <w:tblPr>
        <w:tblLayout w:type="fixed"/>
        <w:tblInd w:w="66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ADMA:</w:t>
            </w: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16"/>
        </w:trPr>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ADMA Biologics</w:t>
            </w:r>
          </w:p>
        </w:tc>
      </w:tr>
      <w:tr>
        <w:trPr>
          <w:trHeight w:val="216"/>
        </w:trPr>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5800 Park of Commerce Boulevard, NW</w:t>
            </w:r>
          </w:p>
        </w:tc>
      </w:tr>
      <w:tr>
        <w:trPr>
          <w:trHeight w:val="216"/>
        </w:trPr>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Boca Raton, FL 33487</w:t>
            </w:r>
          </w:p>
        </w:tc>
      </w:tr>
      <w:tr>
        <w:trPr>
          <w:trHeight w:val="234"/>
        </w:trPr>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E-mail: [***]</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notices, requests, consents and other communications hereunder shall be deemed to have been properly given (a) if by hand, at the time of the delivery thereof to the receiving Party at the address of such Party set forth above, (b) if sent by overnight courier, on the next business day following the day such notice is delivered to the courier service, (c) if sent by registered or certified mail, on the fifth business day following the day such mailing is made, or (d) if sent via e-mail, upon written confirmation of receipt (whether from an automated confirmation of delivery or “read receipt” or otherwise).</w:t>
      </w:r>
    </w:p>
    <w:p>
      <w:pPr>
        <w:spacing w:after="0" w:line="176"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INTEGRATION; AMENDMENT; EFFECT OF AMENDMENT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including all attachments, schedules or other agreements specifically incorporated by reference, constitute the entire agreement between the Parties with respect to the subject matter of this Agreement and supersede any and all other prior written or oral agreements, understandings, negotiations or discussions among the Parties with respect to the subject matter of this Agreement. This Agreement may not be modified or amended in any respect except by an instrument in writing signed by both Parties.</w:t>
      </w:r>
    </w:p>
    <w:p>
      <w:pPr>
        <w:spacing w:after="0" w:line="176"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and construed under laws of the State of [***], without regard to its conflict of laws principles and is subject to exclusive jurisdiction of the courts of State of [***].</w:t>
      </w:r>
    </w:p>
    <w:p>
      <w:pPr>
        <w:spacing w:after="0" w:line="158"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failure or delay on the part of any Party exercising any power or right hereunder shall not operate as a waiver thereof, nor shall any single or partial exercise of any such right or power preclude any other or further exercise thereof or the exercise of any other right or power hereunder or otherwise available in law or in equity.</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3" w:name="page164"/>
    <w:bookmarkEnd w:id="163"/>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SUBCONTRACTORS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PLASMA SUPPLIER covenants and agrees to not use any subcontractors without ADMA’s prior written consent, in order to perform its obligations hereunder.</w:t>
      </w:r>
    </w:p>
    <w:p>
      <w:pPr>
        <w:spacing w:after="0" w:line="158"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may be executed in any number of original counterparts or by facsimile or other electronic means, each of which when executed and delivered will be deemed to be an original and all of which taken together will constitute but one and the same instrument. One or more counterparts of this Agreement may be delivered by facsimile or other electronic means, with the intention that delivery by such means shall have the same effect as delivery of an original counterpart 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 signature page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4" w:name="page165"/>
    <w:bookmarkEnd w:id="164"/>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by their duly authorized officers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ADMA BIOMANUFACTURING, LLC</w:t>
            </w:r>
          </w:p>
        </w:tc>
        <w:tc>
          <w:tcPr>
            <w:tcW w:w="6980" w:type="dxa"/>
            <w:vAlign w:val="bottom"/>
            <w:gridSpan w:val="3"/>
          </w:tcPr>
          <w:p>
            <w:pPr>
              <w:ind w:left="1380"/>
              <w:spacing w:after="0"/>
              <w:rPr>
                <w:sz w:val="20"/>
                <w:szCs w:val="20"/>
                <w:color w:val="auto"/>
              </w:rPr>
            </w:pPr>
            <w:r>
              <w:rPr>
                <w:rFonts w:ascii="Times New Roman" w:cs="Times New Roman" w:eastAsia="Times New Roman" w:hAnsi="Times New Roman"/>
                <w:sz w:val="18"/>
                <w:szCs w:val="18"/>
                <w:b w:val="1"/>
                <w:bCs w:val="1"/>
                <w:color w:val="auto"/>
              </w:rPr>
              <w:t>KEDPLASMA LLC</w:t>
            </w:r>
          </w:p>
        </w:tc>
      </w:tr>
      <w:tr>
        <w:trPr>
          <w:trHeight w:val="392"/>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Adam Grossman</w:t>
            </w:r>
          </w:p>
        </w:tc>
        <w:tc>
          <w:tcPr>
            <w:tcW w:w="698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/s/ Federico Latini</w:t>
            </w:r>
          </w:p>
        </w:tc>
      </w:tr>
      <w:tr>
        <w:trPr>
          <w:trHeight w:val="20"/>
        </w:trPr>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53"/>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Adam Grossman</w:t>
            </w:r>
          </w:p>
        </w:tc>
        <w:tc>
          <w:tcPr>
            <w:tcW w:w="69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Name: Federico Latini</w:t>
            </w:r>
          </w:p>
        </w:tc>
      </w:tr>
      <w:tr>
        <w:trPr>
          <w:trHeight w:val="432"/>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President and CEO</w:t>
            </w:r>
          </w:p>
        </w:tc>
        <w:tc>
          <w:tcPr>
            <w:tcW w:w="69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Title: CEO</w:t>
            </w:r>
          </w:p>
        </w:tc>
      </w:tr>
      <w:tr>
        <w:trPr>
          <w:trHeight w:val="432"/>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69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Date: August 6, 2024</w:t>
            </w:r>
          </w:p>
        </w:tc>
      </w:tr>
      <w:tr>
        <w:trPr>
          <w:trHeight w:val="557"/>
        </w:trPr>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7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- 15 -</w:t>
            </w:r>
          </w:p>
        </w:tc>
        <w:tc>
          <w:tcPr>
            <w:tcW w:w="13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44"/>
        </w:trPr>
        <w:tc>
          <w:tcPr>
            <w:tcW w:w="3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Source Plasma Specifications and Quality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6" w:name="page167"/>
    <w:bookmarkEnd w:id="16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Plasma Supplier Plasma Centers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66675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INDEMNIFICATION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___________ between ADMA Biologics, Inc.,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___________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WITNESSETH THAT: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highly competent persons have become more reluctant to serve corporations as directors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certificate of incorporation of the Company, as amended and restated (as it may be further amended from time to time,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the bylaws of the Company, as amended and restated (as it may be further amended from time to time,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requires indemnification of the directors, officers, employees or agents of the Company. Indemnitee may also be entitled to indemnification pursuant to the General Corporation Law of the State of Delaware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The DGCL expressly provides that the indemnification provisions set forth therein are not exclusive, and thereby contemplates that contracts may be entered into between the Company and members of the board of directors, officers and other persons with respect to indemnification;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uncertainties relating to such insurance and to indemnification have increased the difficulty of attracting and retaining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this Agreement is a supplement to and in furtherance of the Certificate of Incorporation and Bylaws of the Company and any resolutions adopted pursuant thereto, and shall not be deemed a substitute therefor, nor to diminish or abrogate any rights of Indemnitee thereunder;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68" w:name="page169"/>
    <w:bookmarkEnd w:id="16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Indemnitee does not regard the protection available under the Company’s insurance, if any,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be so indemnified.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Indemnitee’s agreement to serve as a director or officer (as the case may be) of the Company, the parties hereto agree as follows:</w:t>
      </w:r>
    </w:p>
    <w:p>
      <w:pPr>
        <w:spacing w:after="0" w:line="162" w:lineRule="exact"/>
        <w:rPr>
          <w:sz w:val="20"/>
          <w:szCs w:val="20"/>
          <w:color w:val="auto"/>
        </w:rPr>
      </w:pPr>
    </w:p>
    <w:p>
      <w:pPr>
        <w:ind w:right="20" w:firstLine="1304"/>
        <w:spacing w:after="0" w:line="282" w:lineRule="auto"/>
        <w:tabs>
          <w:tab w:leader="none" w:pos="21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of Indemnitee</w:t>
      </w:r>
      <w:r>
        <w:rPr>
          <w:rFonts w:ascii="Times New Roman" w:cs="Times New Roman" w:eastAsia="Times New Roman" w:hAnsi="Times New Roman"/>
          <w:sz w:val="18"/>
          <w:szCs w:val="18"/>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66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Other Than 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if, by reason of his Corporate Status (as hereinafter defined), the Indemnitee is, or is threatened to be made, a party to or participant in any Proceeding (as hereinafter defined) other than a Proceeding by or in the right of the Company. Pursuant to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Indemnitee shall be indemnified against all Expenses (as hereinafter defined), judgments, penalties, fines and amounts paid in settlement actually and reasonably incurred by him, or on his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188" w:lineRule="exact"/>
        <w:rPr>
          <w:rFonts w:ascii="Times New Roman" w:cs="Times New Roman" w:eastAsia="Times New Roman" w:hAnsi="Times New Roman"/>
          <w:sz w:val="18"/>
          <w:szCs w:val="18"/>
          <w:color w:val="auto"/>
        </w:rPr>
      </w:pPr>
    </w:p>
    <w:p>
      <w:pPr>
        <w:jc w:val="both"/>
        <w:ind w:firstLine="1952"/>
        <w:spacing w:after="0" w:line="255" w:lineRule="auto"/>
        <w:tabs>
          <w:tab w:leader="none" w:pos="264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if, by reason of his Corporate Status, the Indemnitee is, or is threatened to be made, a party to or participant in any Proceeding brought by or in the right of the Company. Pursuant to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jc w:val="both"/>
        <w:ind w:firstLine="1952"/>
        <w:spacing w:after="0" w:line="254" w:lineRule="auto"/>
        <w:tabs>
          <w:tab w:leader="none" w:pos="267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 of this Agreement, to the extent that Indemnitee is, by reason of his Corporate Status, a party to and is successful, on the merits or otherwise, in any Proceeding, he shall be indemnified to the maximum extent permitted by law, as such may be amended from time to time,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9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0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Related Parties</w:t>
      </w:r>
      <w:r>
        <w:rPr>
          <w:rFonts w:ascii="Times New Roman" w:cs="Times New Roman" w:eastAsia="Times New Roman" w:hAnsi="Times New Roman"/>
          <w:sz w:val="18"/>
          <w:szCs w:val="18"/>
          <w:color w:val="auto"/>
        </w:rPr>
        <w:t>. If (i) Indemnitee is or was affiliated with one or more venture capital funds that has invested in the Company (an “</w:t>
      </w:r>
      <w:r>
        <w:rPr>
          <w:rFonts w:ascii="Times New Roman" w:cs="Times New Roman" w:eastAsia="Times New Roman" w:hAnsi="Times New Roman"/>
          <w:sz w:val="18"/>
          <w:szCs w:val="18"/>
          <w:b w:val="1"/>
          <w:bCs w:val="1"/>
          <w:color w:val="auto"/>
        </w:rPr>
        <w:t>Appointing Stockholder</w:t>
      </w:r>
      <w:r>
        <w:rPr>
          <w:rFonts w:ascii="Times New Roman" w:cs="Times New Roman" w:eastAsia="Times New Roman" w:hAnsi="Times New Roman"/>
          <w:sz w:val="18"/>
          <w:szCs w:val="18"/>
          <w:color w:val="auto"/>
        </w:rPr>
        <w:t>”), (ii) the Appointing Stockholder is, or is threatened to be made, a party to or a participant in any proceeding, and (iii) the Appointing Stockholder’s involvement in the proceeding is related to Indemnitee’s service to the Company as a director of the Company or any direct or indirect subsidiaries of the Company, then, to the extent resulting from any claim based on the Indemnitee’s service to the Company as a director of the Company or any direct or indirect subsidiaries of the Company, the Appointing Stockholder will be entitled to indemnification hereunder for Expenses to the same extent as Indemnitee.</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3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Indemnity</w:t>
      </w:r>
      <w:r>
        <w:rPr>
          <w:rFonts w:ascii="Times New Roman" w:cs="Times New Roman" w:eastAsia="Times New Roman" w:hAnsi="Times New Roman"/>
          <w:sz w:val="18"/>
          <w:szCs w:val="18"/>
          <w:color w:val="auto"/>
        </w:rPr>
        <w:t xml:space="preserve">. In addition to, and without regard to any limitations on, the indemnification provided for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 the Company shall and hereby does indemnify and hold harmless Indemnitee against all Expenses, judgments, penalties, fines and amounts paid in settlement actually and reasonably incurred by him or on his behalf if, by reason of his Corporate Status, 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hereof) to be unlawful.</w:t>
      </w:r>
    </w:p>
    <w:p>
      <w:pPr>
        <w:spacing w:after="0" w:line="18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69"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indemnification provided in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jc w:val="both"/>
        <w:ind w:firstLine="1952"/>
        <w:spacing w:after="0" w:line="252" w:lineRule="auto"/>
        <w:tabs>
          <w:tab w:leader="none" w:pos="268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events that resulted in such expenses, judgments, fines or settlement amounts, as well as any other equitable considerations which the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97" w:lineRule="exact"/>
        <w:rPr>
          <w:rFonts w:ascii="Times New Roman" w:cs="Times New Roman" w:eastAsia="Times New Roman" w:hAnsi="Times New Roman"/>
          <w:sz w:val="18"/>
          <w:szCs w:val="18"/>
          <w:color w:val="auto"/>
        </w:rPr>
      </w:pPr>
    </w:p>
    <w:p>
      <w:pPr>
        <w:ind w:firstLine="1952"/>
        <w:spacing w:after="0" w:line="282" w:lineRule="auto"/>
        <w:tabs>
          <w:tab w:leader="none" w:pos="266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81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Witness</w:t>
      </w:r>
      <w:r>
        <w:rPr>
          <w:rFonts w:ascii="Times New Roman" w:cs="Times New Roman" w:eastAsia="Times New Roman" w:hAnsi="Times New Roman"/>
          <w:sz w:val="18"/>
          <w:szCs w:val="18"/>
          <w:color w:val="auto"/>
        </w:rPr>
        <w:t>. 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8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unsecured and interest free.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jc w:val="both"/>
        <w:ind w:firstLine="1304"/>
        <w:spacing w:after="0" w:line="261" w:lineRule="auto"/>
        <w:tabs>
          <w:tab w:leader="none" w:pos="188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and Presumptions for Determination of Entitlement to Indemnification</w:t>
      </w:r>
      <w:r>
        <w:rPr>
          <w:rFonts w:ascii="Times New Roman" w:cs="Times New Roman" w:eastAsia="Times New Roman" w:hAnsi="Times New Roman"/>
          <w:sz w:val="18"/>
          <w:szCs w:val="18"/>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1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of Directors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77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by Indemnitee for indemnification pursuant to the first sentence of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a determination, if required by applicable law, with respect to Indemnitee’s entitlement thereto shall be made in the specific case by one of the following four methods, which shall be at the election of the board: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legal counsel in a written opinion to the Board of Directors, a copy of which shall be delivered to the Indemnitee, or (4) if so directed by the Board of Directors, by the stockholders of the Company. For purposes hereof, disinterested directors are those members of the board of directors of the Company who are not parties to the action, suit or proceeding in respect of which indemnification is sought by Indemnitee.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jc w:val="both"/>
        <w:ind w:firstLine="1952"/>
        <w:spacing w:after="0" w:line="252" w:lineRule="auto"/>
        <w:tabs>
          <w:tab w:leader="none" w:pos="262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determination of entitlement to indemnification is to be made by Independent Counsel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the Independent Counsel shall be selected as provided in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Independent Counsel shall be selected by the Board of Directors. Indemnitee may, within 10 days after such written notice of selection shall have been given, deliver to the Company, as the case may be,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no Independent Counsel shall have been selected and not objected to, either the Company or Indemnitee may petition the Court of Chancery of the State of Delaware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The Company shall pay any and all reasonable fees and expenses of Independent Counsel incurred by such Independent Counsel in connection with acting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and the Company shall pay all reasonable fees and expenses incident to the procedures of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regardless of the manner in which such Independent Counsel was selected or appointed.</w:t>
      </w:r>
    </w:p>
    <w:p>
      <w:pPr>
        <w:spacing w:after="0" w:line="19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77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7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Indemnitee shall be deemed to have acted in good faith if Indemnitee’s action is based on the records or books of account of the Enterprise, including financial statements, or on information supplied to Indemnitee by the officers of the Enterprise (as hereinafter defined)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are satisfied, it shall in any event be presumed that Indemnitee has at all times acted in good faith and in a manner he reasonably believed to be in or not opposed to the best interests of the Company. Anyone seeking to overcome this presumption shall have the burden of proof and the burden of persuasion by clear and convincing evidence.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jc w:val="both"/>
        <w:ind w:firstLine="1952"/>
        <w:spacing w:after="0" w:line="253" w:lineRule="auto"/>
        <w:tabs>
          <w:tab w:leader="none" w:pos="264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persons or entity empowered or selected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w:t>
      </w:r>
      <w:r>
        <w:rPr>
          <w:rFonts w:ascii="Times New Roman" w:cs="Times New Roman" w:eastAsia="Times New Roman" w:hAnsi="Times New Roman"/>
          <w:sz w:val="18"/>
          <w:szCs w:val="18"/>
          <w:u w:val="single" w:color="auto"/>
          <w:color w:val="auto"/>
        </w:rPr>
        <w:t>Section 6(g)</w:t>
      </w:r>
      <w:r>
        <w:rPr>
          <w:rFonts w:ascii="Times New Roman" w:cs="Times New Roman" w:eastAsia="Times New Roman" w:hAnsi="Times New Roman"/>
          <w:sz w:val="18"/>
          <w:szCs w:val="18"/>
          <w:color w:val="auto"/>
        </w:rPr>
        <w:t xml:space="preserve"> shall not apply if the determination of entitlement to indemnification is to be made by the stockholders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and if (A) within fifteen (15) days after receipt by the Company of the request for such determination, the Board of Directors or the Disinterested Directors, if appropriate, resolve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5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of Directors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9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87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ind w:left="1880" w:hanging="576"/>
        <w:spacing w:after="0"/>
        <w:tabs>
          <w:tab w:leader="none" w:pos="18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of Indemnitee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4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a determination is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(iii) no determination of entitlement to indemnification is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within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180 days following the date on which Indemnitee first has the right to commence such proceeding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The Company shall not oppose Indemnitee’s right to seek any such adjudication.</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8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not entitled to indemnification,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conducted in all respects as a de novo trial on the merits, and Indemnitee shall not be prejudiced by reason of the adverse determination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8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entitled to indemnification, the Company shall be bound by such determination in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71"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Indemnitee,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seeks a judicial adjudication of his rights under, or to recover damages for breach of, this Agreement, or to recover under any directors’ and officers’ liability insurance policies maintained by the Company, the Company shall pay on his behalf, in advance, any and all expenses (of the types described in the definition of Expenses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this Agreement) actually and reasonably incurred by him in such judicial adjudication, regardless of whether Indemnitee ultimately is determined to be entitled to such indemnification, advancement of expenses or insurance recovery.</w:t>
      </w:r>
    </w:p>
    <w:p>
      <w:pPr>
        <w:spacing w:after="0" w:line="18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45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precluded from asserting in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ind w:firstLine="1952"/>
        <w:spacing w:after="0" w:line="282" w:lineRule="auto"/>
        <w:tabs>
          <w:tab w:leader="none" w:pos="274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Survival of Rights; Insurance; Primacy of Indemnification; Subrogation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59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as provided by this Agreement shall not be deemed exclusive of any other rights to which Indemnitee may at any time be entitled under applicable law, the Certificate of Incorporation, the Bylaws, any agreement, a vote of stockholders, a resolution of directors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DGCL, whether by statute or judicial decision, permits greater indemnification than would be afforded currently under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4" w:lineRule="exact"/>
        <w:rPr>
          <w:rFonts w:ascii="Times New Roman" w:cs="Times New Roman" w:eastAsia="Times New Roman" w:hAnsi="Times New Roman"/>
          <w:sz w:val="18"/>
          <w:szCs w:val="18"/>
          <w:color w:val="auto"/>
        </w:rPr>
      </w:pPr>
    </w:p>
    <w:p>
      <w:pPr>
        <w:jc w:val="both"/>
        <w:ind w:firstLine="1952"/>
        <w:spacing w:after="0" w:line="254" w:lineRule="auto"/>
        <w:tabs>
          <w:tab w:leader="none" w:pos="272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4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76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jc w:val="both"/>
        <w:ind w:firstLine="1952"/>
        <w:spacing w:after="0" w:line="261" w:lineRule="auto"/>
        <w:tabs>
          <w:tab w:leader="none" w:pos="271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7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to Right of Indemnification</w:t>
      </w:r>
      <w:r>
        <w:rPr>
          <w:rFonts w:ascii="Times New Roman" w:cs="Times New Roman" w:eastAsia="Times New Roman" w:hAnsi="Times New Roman"/>
          <w:sz w:val="18"/>
          <w:szCs w:val="18"/>
          <w:color w:val="auto"/>
        </w:rPr>
        <w:t>. Notwithstanding any provision in this Agreement, the Company shall not be obligated under this Agreement to make any indemnity in connection with any claim made against Indemnitee:</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60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5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Securities Exchange Act of 1934, as amended, or similar provisions of state statutory law or common law; or</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6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of Directors of the Company authorized the Proceeding (or any part of any Proceeding) prior to its initiation or (ii) the Company provides the indemnification,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8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so with respect to any Proceeding (or any proceeding commenced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by reason of his Corporate Status, whether or not 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To the extent requested by Indemnitee and approved by the Board of Directors of the Company,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ind w:left="1980" w:hanging="676"/>
        <w:spacing w:after="0"/>
        <w:tabs>
          <w:tab w:leader="none" w:pos="1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9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527"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6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1" w:lineRule="exact"/>
        <w:rPr>
          <w:rFonts w:ascii="Times New Roman" w:cs="Times New Roman" w:eastAsia="Times New Roman" w:hAnsi="Times New Roman"/>
          <w:sz w:val="18"/>
          <w:szCs w:val="18"/>
          <w:color w:val="auto"/>
        </w:rPr>
      </w:pPr>
    </w:p>
    <w:p>
      <w:pPr>
        <w:jc w:val="both"/>
        <w:ind w:firstLine="1952"/>
        <w:spacing w:after="0" w:line="268" w:lineRule="auto"/>
        <w:tabs>
          <w:tab w:leader="none" w:pos="2827"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(or a person entitled to designate a director), officer, employee, agent or fiduciary of the Company or of any other corporation, partnership, joint venture, trust, employee benefit plan or other enterprise that such person is or was serving at the express written request of the Company.</w:t>
      </w:r>
    </w:p>
    <w:p>
      <w:pPr>
        <w:spacing w:after="0" w:line="170" w:lineRule="exact"/>
        <w:rPr>
          <w:rFonts w:ascii="Times New Roman" w:cs="Times New Roman" w:eastAsia="Times New Roman" w:hAnsi="Times New Roman"/>
          <w:sz w:val="18"/>
          <w:szCs w:val="18"/>
          <w:color w:val="auto"/>
        </w:rPr>
      </w:pPr>
    </w:p>
    <w:p>
      <w:pPr>
        <w:ind w:firstLine="1952"/>
        <w:spacing w:after="0" w:line="286" w:lineRule="auto"/>
        <w:tabs>
          <w:tab w:leader="none" w:pos="264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firstLine="1952"/>
        <w:spacing w:after="0" w:line="286" w:lineRule="auto"/>
        <w:tabs>
          <w:tab w:leader="none" w:pos="254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means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154" w:lineRule="exact"/>
        <w:rPr>
          <w:rFonts w:ascii="Times New Roman" w:cs="Times New Roman" w:eastAsia="Times New Roman" w:hAnsi="Times New Roman"/>
          <w:sz w:val="18"/>
          <w:szCs w:val="18"/>
          <w:color w:val="auto"/>
        </w:rPr>
      </w:pPr>
    </w:p>
    <w:p>
      <w:pPr>
        <w:jc w:val="both"/>
        <w:ind w:firstLine="1952"/>
        <w:spacing w:after="0" w:line="255" w:lineRule="auto"/>
        <w:tabs>
          <w:tab w:leader="none" w:pos="259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jc w:val="both"/>
        <w:ind w:firstLine="1952"/>
        <w:spacing w:after="0" w:line="255" w:lineRule="auto"/>
        <w:tabs>
          <w:tab w:leader="none" w:pos="273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84" w:lineRule="exact"/>
        <w:rPr>
          <w:rFonts w:ascii="Times New Roman" w:cs="Times New Roman" w:eastAsia="Times New Roman" w:hAnsi="Times New Roman"/>
          <w:sz w:val="18"/>
          <w:szCs w:val="18"/>
          <w:color w:val="auto"/>
        </w:rPr>
      </w:pPr>
    </w:p>
    <w:p>
      <w:pPr>
        <w:jc w:val="both"/>
        <w:ind w:firstLine="1952"/>
        <w:spacing w:after="0" w:line="254" w:lineRule="auto"/>
        <w:tabs>
          <w:tab w:leader="none" w:pos="284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the fact that Indemnitee is or was an officer or director of the Company (or designated a director), by reason of any action taken by him or of any inaction on his part while acting as an officer or director of the Company, or by reason of the fact that he is or was serving at the request of the Company as a director, officer, employee, agent or fiduciary of another corporation, partnership, joint venture, trust or other Enterprise;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to enforce his rights under this Agreement.</w:t>
      </w:r>
    </w:p>
    <w:p>
      <w:pPr>
        <w:spacing w:after="0" w:line="192"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9" w:name="page180"/>
    <w:bookmarkEnd w:id="179"/>
    <w:p>
      <w:pPr>
        <w:ind w:left="2140" w:hanging="836"/>
        <w:spacing w:after="0"/>
        <w:tabs>
          <w:tab w:leader="none" w:pos="2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188"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Indemnitee at the address set forth below Indemnitee signature hereto.</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at:</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ADMA Biologics, Inc.</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465 State Route 17</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Ramsey, New Jersey 07446</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Attention: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may have been furnished to Indemnitee by the Company or to the Company by Indemnitee, as the case may be.</w:t>
      </w:r>
    </w:p>
    <w:p>
      <w:pPr>
        <w:spacing w:after="0" w:line="225" w:lineRule="exact"/>
        <w:rPr>
          <w:sz w:val="20"/>
          <w:szCs w:val="20"/>
          <w:color w:val="auto"/>
        </w:rPr>
      </w:pPr>
    </w:p>
    <w:p>
      <w:pPr>
        <w:jc w:val="both"/>
        <w:ind w:firstLine="1304"/>
        <w:spacing w:after="0" w:line="266" w:lineRule="auto"/>
        <w:tabs>
          <w:tab w:leader="none" w:pos="192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6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2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Consent to Jurisdiction</w:t>
      </w:r>
      <w:r>
        <w:rPr>
          <w:rFonts w:ascii="Times New Roman" w:cs="Times New Roman" w:eastAsia="Times New Roman" w:hAnsi="Times New Roman"/>
          <w:sz w:val="18"/>
          <w:szCs w:val="18"/>
          <w:color w:val="auto"/>
        </w:rPr>
        <w:t>.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Times New Roman" w:cs="Times New Roman" w:eastAsia="Times New Roman" w:hAnsi="Times New Roman"/>
          <w:sz w:val="18"/>
          <w:szCs w:val="18"/>
          <w:b w:val="1"/>
          <w:bCs w:val="1"/>
          <w:color w:val="auto"/>
        </w:rPr>
        <w:t>Delaware Court</w:t>
      </w:r>
      <w:r>
        <w:rPr>
          <w:rFonts w:ascii="Times New Roman" w:cs="Times New Roman" w:eastAsia="Times New Roman" w:hAnsi="Times New Roman"/>
          <w:sz w:val="18"/>
          <w:szCs w:val="18"/>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FOLLOW</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ind w:left="18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Indemnification Agreement on and as of the day and year below written.</w:t>
      </w:r>
    </w:p>
    <w:p>
      <w:pPr>
        <w:spacing w:after="0" w:line="2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ADMA BIOLOGICS, INC.</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-127635</wp:posOffset>
            </wp:positionV>
            <wp:extent cx="318897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Title:</w:t>
      </w:r>
    </w:p>
    <w:p>
      <w:pPr>
        <w:spacing w:after="0" w:line="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14605</wp:posOffset>
            </wp:positionV>
            <wp:extent cx="318897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302895</wp:posOffset>
            </wp:positionV>
            <wp:extent cx="360045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360045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14605</wp:posOffset>
            </wp:positionV>
            <wp:extent cx="318897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2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c/o ADMA Biologics, Inc.</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465 State Route 17</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Ramsey, New Jersey 07446</w:t>
      </w:r>
    </w:p>
    <w:p>
      <w:pPr>
        <w:spacing w:after="0" w:line="200" w:lineRule="exact"/>
        <w:rPr>
          <w:sz w:val="20"/>
          <w:szCs w:val="20"/>
          <w:color w:val="auto"/>
        </w:rPr>
      </w:pPr>
    </w:p>
    <w:p>
      <w:pPr>
        <w:spacing w:after="0" w:line="2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66675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21" w:right="37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September 2024</w:t>
      </w:r>
    </w:p>
    <w:p>
      <w:pPr>
        <w:spacing w:after="0" w:line="22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ADMA has adopted the policies and procedures described herein in order to prevent insider trading. The Company prohibits trading based on Material Nonpublic Information regarding the Company or gained during the course of work for the Company. The policy covers all officers, directors, members of the scientific advisory board, employees, consultants, advisors and independent contractors of the Company (including all Company affiliates or subsidiaries) (collectively, “Covered Persons”), who may have access to Material Nonpublic Information. The Company has determined that “Access Persons” (as defined in this policy) are subject to the pre-clearance requirement described below because the Company believes those Access Persons have, or are likely to have, access to Material Nonpublic Information on a more frequent basis than other employees. The current list of Access Persons is maintained by the Insider Trading Compliance Officer, and such persons have been separately notified. This list of Access Persons is subject to change at the Insider Trading Compliance Officer’s discretion, and it will be updated periodically. Under special circumstances, certain persons not defined as an Access Person under this policy may come to have access to Material Nonpublic Information. During any period that a person is in possession of Material Nonpublic Information, that person will be deemed an Access Person and will be subject to the pre-clearance procedure described in this policy.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common stock, options for stock, preferred stock, warrants, convertible debentures, and derivative securities relating to the Company’s stock (such as exchange-traded options), whether or not issued by the Company. This policy applies to all of the Company’s Covered Persons. This policy also applies to Family Members of Covered Persons. “Family Member” includes any spouse, partner, child, grandchild, parent, sibling, grandparent, family-in-law, step-family, guardian or caretaker, aunt, uncle, niece, nephew, cousin, any person living in the same household, and/or the spouse or partner of the foregoing individuals. For the avoidance of doubt, the definition of “Family Member” includes adoptive relationships. Covered Persons are responsible for compliance by their Family Members.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Violations of this policy can result in civil and criminal penalties, as well as discipline, or termination of employment or business relationship with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Nonpublic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is “Material Nonpublic Information” if: (1) there is a reasonable likelihood that the information would be considered important to an investor making an investment decision regarding the transaction of securities (“material information”), and (2) it has not been previously disclosed to the general public and is otherwise not available to the general public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t>The below categories of Company information (either positive or negative) are particularly sensitive and should be considered material information:</w:t>
      </w:r>
    </w:p>
    <w:p>
      <w:pPr>
        <w:spacing w:after="0" w:line="225" w:lineRule="exact"/>
        <w:rPr>
          <w:sz w:val="20"/>
          <w:szCs w:val="20"/>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merger or acquisition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the disposition of a subsidiary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substantial customer or supplier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or loss of significant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significant projects/initiatives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of a significant nature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any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product defects or modifications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operations-related information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pricing changes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significant litigation exposure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Applicability to Material Nonpublic Information Regarding Other Companies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policy and the guidelines described herein also apply to Material Nonpublic Information relating to other companies, including the Company’s collaborative partners, customers, vendors, or suppliers (collectively, “business partners”), potential acquisition targets or acquirors, or competitors, when the Material Nonpublic Information is obtained in the course of employment or services performed for the Company, or otherwise obtained. Covered Persons must not engage in transactions of securities for the Company’s business partners or competitors while in possession of their Material Nonpublic Information. Moreover, Covered Persons must not engage in transactions of securities for any closely correlated or economically-linked business partners or competitors while in possession of Material Nonpublic Information about the Company (i.e., “shadow trading”).</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color w:val="auto"/>
        </w:rPr>
        <w:t>Designations for Covered Persons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those persons identified on Exhibit 1 (“Section 16 Individuals”) are subject to the reporting and penalty provisions of Section 16 of the Securities Exchange Act of 1934, as amended (“Section 16”). The Company has determined that Section 16 Individuals are subject to the pre-clearance requirement described below because they are likely to have access to Material Nonpublic Information.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also determined that Access Persons who are not Section 16 Individuals are subject to the pre-clearance requirement described below because they are likely to have access to Material Nonpublic Information. The Insider Trading Compliance Officer may designate additional Access Persons, as necessary from time to time. During any period of time where someone not previously identified as an Access Person has access to Material Nonpublic Information, that person shall become an Access Person subject to additional provisions of this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Considerations Related to Insider Trading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prohibits the unauthorized disclosure of confidential information acquired while performing services for the Company and the misuse of Material Nonpublic Information in securities trading. Specific restrictions on securities trading are outlined below.</w:t>
      </w:r>
    </w:p>
    <w:p>
      <w:pPr>
        <w:spacing w:after="0" w:line="158" w:lineRule="exact"/>
        <w:rPr>
          <w:sz w:val="20"/>
          <w:szCs w:val="20"/>
          <w:color w:val="auto"/>
        </w:rPr>
      </w:pPr>
    </w:p>
    <w:p>
      <w:pPr>
        <w:jc w:val="both"/>
        <w:ind w:left="660" w:hanging="4"/>
        <w:spacing w:after="0" w:line="259" w:lineRule="auto"/>
        <w:tabs>
          <w:tab w:leader="none" w:pos="144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Prohibitions on Trading</w:t>
      </w:r>
      <w:r>
        <w:rPr>
          <w:rFonts w:ascii="Times New Roman" w:cs="Times New Roman" w:eastAsia="Times New Roman" w:hAnsi="Times New Roman"/>
          <w:sz w:val="18"/>
          <w:szCs w:val="18"/>
          <w:color w:val="auto"/>
        </w:rPr>
        <w:t>. Covered Persons are prohibited from entering into any trade immediately after the Company has made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announcement of material information, including earnings releases. Covered Persons must not engage in any transaction involving a purchase or sale of the Company’s securities from the date that they possess Material Nonpublic Information concerning the Company, until either</w:t>
      </w: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passage of two full Trading Days following the public disclosure of that information, or (2) such time as that nonpublic information is no longer material. For example, if a public announcement is made on a Monday afternoon, Covered Persons may not make trades of Company securities until Thursday. “Trading Day” means a day on which national stock exchanges are open for trading, and a “full” Trading Day includes from market open to market close.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4" w:name="page185"/>
    <w:bookmarkEnd w:id="184"/>
    <w:p>
      <w:pPr>
        <w:jc w:val="both"/>
        <w:ind w:left="660" w:hanging="4"/>
        <w:spacing w:after="0" w:line="257" w:lineRule="auto"/>
        <w:tabs>
          <w:tab w:leader="none" w:pos="123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Disclosure of Information to Others</w:t>
      </w:r>
      <w:r>
        <w:rPr>
          <w:rFonts w:ascii="Times New Roman" w:cs="Times New Roman" w:eastAsia="Times New Roman" w:hAnsi="Times New Roman"/>
          <w:sz w:val="18"/>
          <w:szCs w:val="18"/>
          <w:color w:val="auto"/>
        </w:rPr>
        <w:t>. The Company is required to avoid the selective disclosure of Material Nonpublic Information.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has established procedures for releasing material information in a manner designed to achieve broad public dissemination of the information immediately upon its release. Covered Persons may not disclose material information to anyone outside the Company, including Family Members, relatives, friends, or acquaintances, other than in accordance with these procedures. Covered Persons may not disclose or discuss the Company’s confidential information or material information in any public forum, including internet blogs, posts, or other web forums, unless that Covered Person is authorized as a Company spokesperson in accordance with these procedures.</w:t>
      </w:r>
    </w:p>
    <w:p>
      <w:pPr>
        <w:spacing w:after="0" w:line="182" w:lineRule="exact"/>
        <w:rPr>
          <w:rFonts w:ascii="Times New Roman" w:cs="Times New Roman" w:eastAsia="Times New Roman" w:hAnsi="Times New Roman"/>
          <w:sz w:val="18"/>
          <w:szCs w:val="18"/>
          <w:color w:val="auto"/>
        </w:rPr>
      </w:pPr>
    </w:p>
    <w:p>
      <w:pPr>
        <w:jc w:val="both"/>
        <w:ind w:left="660" w:hanging="4"/>
        <w:spacing w:after="0" w:line="268" w:lineRule="auto"/>
        <w:tabs>
          <w:tab w:leader="none" w:pos="150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 of Nonpublic Information</w:t>
      </w:r>
      <w:r>
        <w:rPr>
          <w:rFonts w:ascii="Times New Roman" w:cs="Times New Roman" w:eastAsia="Times New Roman" w:hAnsi="Times New Roman"/>
          <w:sz w:val="18"/>
          <w:szCs w:val="18"/>
          <w:color w:val="auto"/>
        </w:rPr>
        <w:t>. The nondisclosure obligations under this policy are in addition to any confidentially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Covered Persons have to the Company. Nonpublic information relating to the Company is the property of the Company and the unauthorized disclosure of such information is strictly prohibited.</w:t>
      </w:r>
    </w:p>
    <w:p>
      <w:pPr>
        <w:spacing w:after="0" w:line="170"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Appearance of Impropriety</w:t>
      </w:r>
      <w:r>
        <w:rPr>
          <w:rFonts w:ascii="Times New Roman" w:cs="Times New Roman" w:eastAsia="Times New Roman" w:hAnsi="Times New Roman"/>
          <w:sz w:val="18"/>
          <w:szCs w:val="18"/>
          <w:color w:val="auto"/>
        </w:rPr>
        <w:t>. Covered Persons must also avoid transactions that may appear to be improper.</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8" w:lineRule="auto"/>
        <w:tabs>
          <w:tab w:leader="none" w:pos="135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Twenty-Twenty Hindsight</w:t>
      </w:r>
      <w:r>
        <w:rPr>
          <w:rFonts w:ascii="Times New Roman" w:cs="Times New Roman" w:eastAsia="Times New Roman" w:hAnsi="Times New Roman"/>
          <w:sz w:val="18"/>
          <w:szCs w:val="18"/>
          <w:color w:val="auto"/>
        </w:rPr>
        <w:t>. If securities transactions become subject to scrutiny, they will be viewed after-the-fact with the benefit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hindsight. As a result, before engaging in any transaction, Covered Persons should carefully consider how regulators and others might perceive their transactions after-the-fact.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Restrictions</w:t>
      </w:r>
    </w:p>
    <w:p>
      <w:pPr>
        <w:spacing w:after="0" w:line="225" w:lineRule="exact"/>
        <w:rPr>
          <w:sz w:val="20"/>
          <w:szCs w:val="20"/>
          <w:color w:val="auto"/>
        </w:rPr>
      </w:pPr>
    </w:p>
    <w:p>
      <w:pPr>
        <w:jc w:val="both"/>
        <w:ind w:left="660" w:hanging="4"/>
        <w:spacing w:after="0" w:line="259" w:lineRule="auto"/>
        <w:tabs>
          <w:tab w:leader="none" w:pos="140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Prohibition on Trading During Blackout Periods</w:t>
      </w:r>
      <w:r>
        <w:rPr>
          <w:rFonts w:ascii="Times New Roman" w:cs="Times New Roman" w:eastAsia="Times New Roman" w:hAnsi="Times New Roman"/>
          <w:sz w:val="18"/>
          <w:szCs w:val="18"/>
          <w:color w:val="auto"/>
        </w:rPr>
        <w:t>. The Company prohibits Covered Persons from buying or selling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during the quarterly blackout period unless they have established a pre-arranged trading plan that complies with Rule 10b5-1 (“Rule 10b5-1”) promulgated under the Securities Exchange Act of 1934, as amended (the “Exchange Act”). Each blackout period begins on the 20th day of the last month of the fiscal quarter and continues until two full Trading Days have passed after the public release of quarterly results (or annual results in the case of the fourth quarter).</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addition, the Insider Trading Compliance Officer may designate additional blackout periods when Covered Persons may not purchase or sell Company securities. If the Insider Trading Compliance Officer declares a blackout period under this section of the policy, the Company will notify those Covered Persons to whom the blackout period applies when the blackout period begins and ends. The existence of an extended blackout period or event-specific blackout period is highly confidential and must not be disclosed by a Covered Person to any other person.</w:t>
      </w:r>
    </w:p>
    <w:p>
      <w:pPr>
        <w:spacing w:after="0" w:line="176"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Trading on dates that are outside of blackout periods will not protect anyone with Material Nonpublic Information from liability. </w:t>
      </w:r>
      <w:r>
        <w:rPr>
          <w:rFonts w:ascii="Times New Roman" w:cs="Times New Roman" w:eastAsia="Times New Roman" w:hAnsi="Times New Roman"/>
          <w:sz w:val="18"/>
          <w:szCs w:val="18"/>
          <w:color w:val="auto"/>
        </w:rPr>
        <w:t>Although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may, from time to time, recommend that certain individuals stop trading in Company securities, each Covered Person is individually responsible at all times for compliance with the prohibitions against insider trading. Trading in the Company’s securities during periods that are outside of any blackout period should not be considered a “safe harbor” and all Covered Persons must use good judgment at all times.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5" w:name="page186"/>
    <w:bookmarkEnd w:id="185"/>
    <w:p>
      <w:pPr>
        <w:jc w:val="both"/>
        <w:ind w:left="4" w:hanging="4"/>
        <w:spacing w:after="0" w:line="257" w:lineRule="auto"/>
        <w:tabs>
          <w:tab w:leader="none" w:pos="61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Pre-clearance of Trades</w:t>
      </w:r>
      <w:r>
        <w:rPr>
          <w:rFonts w:ascii="Times New Roman" w:cs="Times New Roman" w:eastAsia="Times New Roman" w:hAnsi="Times New Roman"/>
          <w:sz w:val="18"/>
          <w:szCs w:val="18"/>
          <w:color w:val="auto"/>
        </w:rPr>
        <w:t>. Access Persons may not purchase, sell, or otherwise transact securities of the Company without obtaining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clearance of the transaction via e-mail by the Insider Trading Compliance Officer. Access Persons are required to complete the Notice of Trading in Company Securities form to the Insider Trading Compliance Officer’s satisfaction, and may not trade absent such e-mail approval. The Insider Trading Compliance Officer will review the proposed transaction for compliance with regulatory requirements. The Insider Trading Compliance Officer may not trade Company securities without completing the Notice of Trading in Company Securities form and receiving approval from the President and Chief Executive Officer.</w:t>
      </w:r>
    </w:p>
    <w:p>
      <w:pPr>
        <w:spacing w:after="0" w:line="18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Company may also find it necessary, from time to time, to require that certain Covered Persons who are not Access Persons comply with the pre-clearance process. At those times, those Covered Persons will be designated as Access Persons and notified when they begin being designated an Access Person as well as when they cease being designated as an Access Person.</w:t>
      </w:r>
    </w:p>
    <w:p>
      <w:pPr>
        <w:spacing w:after="0" w:line="172" w:lineRule="exact"/>
        <w:rPr>
          <w:sz w:val="20"/>
          <w:szCs w:val="20"/>
          <w:color w:val="auto"/>
        </w:rPr>
      </w:pPr>
    </w:p>
    <w:p>
      <w:pPr>
        <w:ind w:left="824" w:hanging="824"/>
        <w:spacing w:after="0"/>
        <w:tabs>
          <w:tab w:leader="none" w:pos="8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Requirements</w:t>
      </w:r>
      <w:r>
        <w:rPr>
          <w:rFonts w:ascii="Times New Roman" w:cs="Times New Roman" w:eastAsia="Times New Roman" w:hAnsi="Times New Roman"/>
          <w:sz w:val="18"/>
          <w:szCs w:val="18"/>
          <w:color w:val="auto"/>
        </w:rPr>
        <w:t>.  The Company has established the following additional policies for Covered Persons trading Company</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7" w:lineRule="exact"/>
        <w:rPr>
          <w:sz w:val="20"/>
          <w:szCs w:val="20"/>
          <w:color w:val="auto"/>
        </w:rPr>
      </w:pPr>
    </w:p>
    <w:p>
      <w:pPr>
        <w:jc w:val="both"/>
        <w:ind w:left="324" w:hanging="324"/>
        <w:spacing w:after="0" w:line="266" w:lineRule="auto"/>
        <w:tabs>
          <w:tab w:leader="none" w:pos="32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stock purchased in the open market by a Covered Person must be held for a minimum of six months. Unless otherwise specified, this prohibition does not apply to the sale of: (a) stock acquired upon the exercise of stock options, or (b) stock acquired under an employee stock purchase plan.</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Persons may not engage in short sales. “Short sales” of Company stock include borrowing Company stock, selling it, and then buying (or intending to buy) the stock again at a lower price to replace the borrowed shares within a short period of time following the initial sale of the borrowed shares.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Persons may not purchase Company stock on margin. However, Covered Persons may establish loan accounts secured by Company stock.</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Persons may not buy or sell puts or calls for Company stock. “Puts” are options or rights to sell a specific stock at a specific price prior to a set date. “Calls” are options or rights to buy a specific stock at a specific price prior to a set date. These transactions appear improper because they suggest that the Covered Person believes the price of Company stock will rise or fall.</w:t>
      </w:r>
    </w:p>
    <w:p>
      <w:pPr>
        <w:spacing w:after="0" w:line="34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186" w:name="page187"/>
    <w:bookmarkEnd w:id="186"/>
    <w:p>
      <w:pPr>
        <w:jc w:val="both"/>
        <w:ind w:left="4" w:hanging="4"/>
        <w:spacing w:after="0" w:line="259" w:lineRule="auto"/>
        <w:tabs>
          <w:tab w:leader="none" w:pos="63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Rule 10b5-1 Trading Programs</w:t>
      </w:r>
      <w:r>
        <w:rPr>
          <w:rFonts w:ascii="Times New Roman" w:cs="Times New Roman" w:eastAsia="Times New Roman" w:hAnsi="Times New Roman"/>
          <w:sz w:val="18"/>
          <w:szCs w:val="18"/>
          <w:color w:val="auto"/>
        </w:rPr>
        <w:t>. Individuals may trade on Company securities in certain circumstances where it is clear that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Information was not a factor in the decision to trade. Per Rule 10b5-1, an individual who buys or sells securities while aware of Material Nonpublic Information does not violate Rule 10b5 if buying or selling in conformity with a binding contract, instruction, or written plan that was put into place at a time when the individual was not aware of Material Nonpublic Information (also known as a “Rule 10b5-1 Trading Program”). This type of pre-arranged trading plan provides an opportunity to limit potential insider trading liability.</w:t>
      </w:r>
    </w:p>
    <w:p>
      <w:pPr>
        <w:spacing w:after="0" w:line="183"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Company permits only those Access Persons listed in Exhibit 1 and members of senior management determined by the Insider Trading Compliance Officer (collectively, “Eligible 10b5-1 Participants”) to set up Rule 10b5-1 Trading Programs. However, these Rule 10b5-1 Trading Programs must be utilized carefully for the following reasons:</w:t>
      </w:r>
    </w:p>
    <w:p>
      <w:pPr>
        <w:spacing w:after="0" w:line="176" w:lineRule="exact"/>
        <w:rPr>
          <w:sz w:val="20"/>
          <w:szCs w:val="20"/>
          <w:color w:val="auto"/>
        </w:rPr>
      </w:pPr>
    </w:p>
    <w:p>
      <w:pPr>
        <w:jc w:val="both"/>
        <w:ind w:left="324" w:hanging="324"/>
        <w:spacing w:after="0" w:line="266" w:lineRule="auto"/>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comply with Rule 10b5-1, binding contracts, instructions, and written plans must: (i) lock in the amount, price, and dates of future trades; (ii) provide a formula or algorithm for determining future trades; or (iii) delegate discretion for determining amount, price and dates to a third party as provided under the rule.</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risky to modify or terminate these arrangements.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10b5-1 does not eliminate other requirements and prohibitions under securities laws and transactions must also comply with, for example, reporting and short-swing profit rules under Section 16, limitations on insider selling imposed by Rule 144 promulgated under the Securities Act of 1933, as amended (“Rule 144”), prohibitions on trading during administrative blackouts under pension plans, and any other requirements.</w:t>
      </w:r>
    </w:p>
    <w:p>
      <w:pPr>
        <w:spacing w:after="0" w:line="179"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avoidance provisions of Rule 10b5-1 are affirmative defenses in litigation, which means that the individual is required to prove that any trades were pursuant to a contract, instruction, or written plan compliant with Rule 10b5-1.</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must be well-documented, keeping in mind the possibility of defending a legal action.</w:t>
      </w:r>
    </w:p>
    <w:p>
      <w:pPr>
        <w:spacing w:after="0" w:line="221" w:lineRule="exact"/>
        <w:rPr>
          <w:sz w:val="20"/>
          <w:szCs w:val="20"/>
          <w:color w:val="auto"/>
        </w:rPr>
      </w:pPr>
    </w:p>
    <w:p>
      <w:pPr>
        <w:ind w:left="4" w:hanging="4"/>
        <w:spacing w:after="0" w:line="286" w:lineRule="auto"/>
        <w:tabs>
          <w:tab w:leader="none" w:pos="6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Establishing Rule 10b5-1 Trading Programs</w:t>
      </w:r>
      <w:r>
        <w:rPr>
          <w:rFonts w:ascii="Times New Roman" w:cs="Times New Roman" w:eastAsia="Times New Roman" w:hAnsi="Times New Roman"/>
          <w:sz w:val="18"/>
          <w:szCs w:val="18"/>
          <w:color w:val="auto"/>
        </w:rPr>
        <w:t>. Eligible 10b5-1 Participants who wish to establish a Rule 10b5-1 Trading Program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 that:</w:t>
      </w:r>
    </w:p>
    <w:p>
      <w:pPr>
        <w:spacing w:after="0" w:line="159" w:lineRule="exact"/>
        <w:rPr>
          <w:sz w:val="20"/>
          <w:szCs w:val="20"/>
          <w:color w:val="auto"/>
        </w:rPr>
      </w:pPr>
    </w:p>
    <w:p>
      <w:pPr>
        <w:ind w:left="324" w:hanging="324"/>
        <w:spacing w:after="0"/>
        <w:tabs>
          <w:tab w:leader="none" w:pos="32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a written contract;</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was reviewed and pre-approved by the Company’s Insider Trading Compliance Officer (or, if the Eligible 10b5-1 Participant is the Insider Trading Compliance Officer, the Board) prior to finalization;</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is entered into when the Eligible 10b5-1 Participant is not in possession of any Material Nonpublic Information and not subject to any blackout period;</w:t>
      </w:r>
    </w:p>
    <w:p>
      <w:pPr>
        <w:spacing w:after="0" w:line="33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187" w:name="page188"/>
    <w:bookmarkEnd w:id="187"/>
    <w:p>
      <w:pPr>
        <w:jc w:val="both"/>
        <w:ind w:left="324" w:hanging="324"/>
        <w:spacing w:after="0" w:line="266" w:lineRule="auto"/>
        <w:tabs>
          <w:tab w:leader="none" w:pos="3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10b5-1 Participant does not cancel or make any changes to the contract while in possession of any Material Nonpublic Information or during any blackout period. All cancellations or amendments require advance, written approval by the Company’s Insider Trading Compliance Officer (or, if the Eligible 10b5-1 Participant is the Insider Trading Compliance Officer, the Board); and</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does one of the following:</w:t>
      </w:r>
    </w:p>
    <w:p>
      <w:pPr>
        <w:spacing w:after="0" w:line="223" w:lineRule="exact"/>
        <w:rPr>
          <w:rFonts w:ascii="Times New Roman" w:cs="Times New Roman" w:eastAsia="Times New Roman" w:hAnsi="Times New Roman"/>
          <w:sz w:val="18"/>
          <w:szCs w:val="18"/>
          <w:color w:val="auto"/>
        </w:rPr>
      </w:pPr>
    </w:p>
    <w:p>
      <w:pPr>
        <w:ind w:left="644" w:right="20" w:hanging="324"/>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specifies the amount of securities to be purchased or sold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set number of shares or a set dollar amount), including the price and date on which the securities are to be purchased or sold;</w:t>
      </w:r>
    </w:p>
    <w:p>
      <w:pPr>
        <w:spacing w:after="0" w:line="160" w:lineRule="exact"/>
        <w:rPr>
          <w:rFonts w:ascii="Times New Roman" w:cs="Times New Roman" w:eastAsia="Times New Roman" w:hAnsi="Times New Roman"/>
          <w:sz w:val="18"/>
          <w:szCs w:val="18"/>
          <w:color w:val="auto"/>
        </w:rPr>
      </w:pPr>
    </w:p>
    <w:p>
      <w:pPr>
        <w:ind w:left="644"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includes a written formula or algorithm for determining the amount of securities to be purchased or sold, and includes the price and date of their purchase or sale; or</w:t>
      </w:r>
    </w:p>
    <w:p>
      <w:pPr>
        <w:spacing w:after="0" w:line="162" w:lineRule="exact"/>
        <w:rPr>
          <w:sz w:val="20"/>
          <w:szCs w:val="20"/>
          <w:color w:val="auto"/>
        </w:rPr>
      </w:pPr>
    </w:p>
    <w:p>
      <w:pPr>
        <w:ind w:left="644" w:hanging="320"/>
        <w:spacing w:after="0" w:line="282" w:lineRule="auto"/>
        <w:tabs>
          <w:tab w:leader="none" w:pos="6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delegates all power to a third party who does not have access to any Material Nonpublic Information, and who will determine how, when, or whether to effectuate purchases or sales.</w:t>
      </w:r>
    </w:p>
    <w:p>
      <w:pPr>
        <w:spacing w:after="0" w:line="162"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Individuals considering such an arrangement should be aware that the Company may be required to publicly disclose the arrangement, and the details of any transactions made pursuant to this Rule 10b5-1 Trading Program may be public. Additionally, the Company will establish a procedure with the entity handling the transactions to ensure the prompt filing of a Form 4 after each transaction and compliance with Rule 144 at the time of any sale.</w:t>
      </w:r>
    </w:p>
    <w:p>
      <w:pPr>
        <w:spacing w:after="0" w:line="180"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Many sophisticated brokers, investment bankers, and advisors have developed protocols for Rule 10b5-1 trading plans. We strongly recommend that Eligible 10b5-1 Participants work with an experienced advisor on these matters.</w:t>
      </w:r>
    </w:p>
    <w:p>
      <w:pPr>
        <w:spacing w:after="0" w:line="158"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order to ensure compliance with Rule 10b5-1 and applicable securities laws, Eligible 10b5-1 Participants are required to notify the Company’s Insider Trading Compliance Officer via e-mail of any planned adoption, termination or amendment of a 10b5-1 Trading Program, and also submit any 10b5-1 Trading Program subject to potential adoption, termination or amendment for the Company’s Insider Trading Compliance Officer’s review and approval, no later than five (5) Trading Days prior to the anticipated date of adoption, termination or amendment.</w:t>
      </w:r>
    </w:p>
    <w:p>
      <w:pPr>
        <w:spacing w:after="0" w:line="179" w:lineRule="exact"/>
        <w:rPr>
          <w:sz w:val="20"/>
          <w:szCs w:val="20"/>
          <w:color w:val="auto"/>
        </w:rPr>
      </w:pPr>
    </w:p>
    <w:p>
      <w:pPr>
        <w:jc w:val="both"/>
        <w:ind w:left="4" w:hanging="4"/>
        <w:spacing w:after="0" w:line="257" w:lineRule="auto"/>
        <w:tabs>
          <w:tab w:leader="none" w:pos="56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Trading Restrictions During Administrative Blackout Periods</w:t>
      </w:r>
      <w:r>
        <w:rPr>
          <w:rFonts w:ascii="Times New Roman" w:cs="Times New Roman" w:eastAsia="Times New Roman" w:hAnsi="Times New Roman"/>
          <w:sz w:val="18"/>
          <w:szCs w:val="18"/>
          <w:color w:val="auto"/>
        </w:rPr>
        <w:t>. Access Persons are prohibited from trading in any Company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any period of three or more consecutive days during which at least 50% of the participants or beneficiaries in a Company individual account retirement plan are unable to purchase, sell, or otherwise acquire or transfer an interest in the equity of the Company held in such plan due to a temporary suspension by the Company or the plan fiduciary (“administrative blackout period”) unless the individual has established a pre-arranged trading plan that complies with Rule 10b5-1. Individual account plans include, without limitation, defined contribution plans such as broad-based tax-qualified 401(k) plans and profit-sharing plans, stock bonus plans, and similar plans.</w:t>
      </w:r>
    </w:p>
    <w:p>
      <w:pPr>
        <w:spacing w:after="0" w:line="35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88" w:name="page189"/>
    <w:bookmarkEnd w:id="188"/>
    <w:p>
      <w:pPr>
        <w:ind w:left="660"/>
        <w:spacing w:after="0"/>
        <w:rPr>
          <w:sz w:val="20"/>
          <w:szCs w:val="20"/>
          <w:color w:val="auto"/>
        </w:rPr>
      </w:pPr>
      <w:r>
        <w:rPr>
          <w:rFonts w:ascii="Times New Roman" w:cs="Times New Roman" w:eastAsia="Times New Roman" w:hAnsi="Times New Roman"/>
          <w:sz w:val="18"/>
          <w:szCs w:val="18"/>
          <w:color w:val="auto"/>
        </w:rPr>
        <w:t>The Company’s Insider Trading Compliance Officer will advise Access Persons of any administrative blackout periods.</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Note that any profits gained from a prohibited transaction are recoverable by the Company without regard to the intent of the person who entered into the prohibited transaction.</w:t>
      </w:r>
    </w:p>
    <w:p>
      <w:pPr>
        <w:spacing w:after="0" w:line="155" w:lineRule="exact"/>
        <w:rPr>
          <w:sz w:val="20"/>
          <w:szCs w:val="20"/>
          <w:color w:val="auto"/>
        </w:rPr>
      </w:pPr>
    </w:p>
    <w:p>
      <w:pPr>
        <w:ind w:left="660" w:hanging="4"/>
        <w:spacing w:after="0" w:line="286" w:lineRule="auto"/>
        <w:tabs>
          <w:tab w:leader="none" w:pos="132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Individual Responsibility</w:t>
      </w:r>
      <w:r>
        <w:rPr>
          <w:rFonts w:ascii="Times New Roman" w:cs="Times New Roman" w:eastAsia="Times New Roman" w:hAnsi="Times New Roman"/>
          <w:sz w:val="18"/>
          <w:szCs w:val="18"/>
          <w:color w:val="auto"/>
        </w:rPr>
        <w:t>. Every Covered Person has an individual responsibility to comply with this policy. A Covered Person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time to time, have to forego a planned or proposed transaction in the Company’s securities. </w:t>
      </w:r>
      <w:r>
        <w:rPr>
          <w:rFonts w:ascii="Times New Roman" w:cs="Times New Roman" w:eastAsia="Times New Roman" w:hAnsi="Times New Roman"/>
          <w:sz w:val="18"/>
          <w:szCs w:val="18"/>
          <w:b w:val="1"/>
          <w:bCs w:val="1"/>
          <w:i w:val="1"/>
          <w:iCs w:val="1"/>
          <w:u w:val="single" w:color="auto"/>
          <w:color w:val="auto"/>
        </w:rPr>
        <w:t>There are no exceptions to this policy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transactions are not covered by this policy: (1) the exercise of stock options for cash under the Company’s stock option plans, (2) the purchase of shares under any Company employee stock purchase plan (but not the sale of any such shares) and (3) the automatic exercise of expiring in-the-money stock options under the Company’s stock option plans pursuant to the Company’s brokerage platform. Individuals may perform these transactions at any time, unless the Company specifically instructs you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for Directors and Officers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16 Individuals must also comply with the reporting obligations and limitations on short-swing transactions. Section 16 Individuals who purchase and sell the Company’s securities within a six-month period must disgorge all profits to the Company regardless of whether they had knowledge of Material Nonpublic Information. Under these provisions, the receipt of an option under the Company’s option plans, the exercise of an option under the Company’s option plans, and/or the receipt of stock under the Company’s employee stock purchase plan are not typically deemed a purchase under Section</w:t>
      </w:r>
    </w:p>
    <w:p>
      <w:pPr>
        <w:spacing w:after="0" w:line="3" w:lineRule="exact"/>
        <w:rPr>
          <w:sz w:val="20"/>
          <w:szCs w:val="20"/>
          <w:color w:val="auto"/>
        </w:rPr>
      </w:pPr>
    </w:p>
    <w:p>
      <w:pPr>
        <w:jc w:val="both"/>
        <w:ind w:firstLine="8"/>
        <w:spacing w:after="0" w:line="255" w:lineRule="auto"/>
        <w:tabs>
          <w:tab w:leader="none" w:pos="33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the sale of any such stock is a sale under Section 16, such that the purchase and sale must be reported on Form 4. In addition, Section 16 Individuals must not make a short sale of the Company’s stock. The Company will provide separate memoranda and other materials to Section 16 Individuals regarding compliance with Section 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Criminal Liability, Civil Liability, and/or Disciplinary 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violations can lead to substantial discipline, liability, and reputational damage:</w:t>
      </w:r>
    </w:p>
    <w:p>
      <w:pPr>
        <w:spacing w:after="0" w:line="221" w:lineRule="exact"/>
        <w:rPr>
          <w:sz w:val="20"/>
          <w:szCs w:val="20"/>
          <w:color w:val="auto"/>
        </w:rPr>
      </w:pPr>
    </w:p>
    <w:p>
      <w:pPr>
        <w:ind w:left="660" w:hanging="4"/>
        <w:spacing w:after="0" w:line="286" w:lineRule="auto"/>
        <w:tabs>
          <w:tab w:leader="none" w:pos="128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Liability for Insider Trading</w:t>
      </w:r>
      <w:r>
        <w:rPr>
          <w:rFonts w:ascii="Times New Roman" w:cs="Times New Roman" w:eastAsia="Times New Roman" w:hAnsi="Times New Roman"/>
          <w:sz w:val="18"/>
          <w:szCs w:val="18"/>
          <w:color w:val="auto"/>
        </w:rPr>
        <w:t>. Covered Persons who violate these provisions may be subject to fines of up to $5,000,000, penalties of 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three times the profit gained or loss avoided, and up to 20 years imprisonment.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jc w:val="both"/>
        <w:ind w:left="660" w:hanging="4"/>
        <w:spacing w:after="0" w:line="256" w:lineRule="auto"/>
        <w:tabs>
          <w:tab w:leader="none" w:pos="147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Liability for Tipping</w:t>
      </w:r>
      <w:r>
        <w:rPr>
          <w:rFonts w:ascii="Times New Roman" w:cs="Times New Roman" w:eastAsia="Times New Roman" w:hAnsi="Times New Roman"/>
          <w:sz w:val="18"/>
          <w:szCs w:val="18"/>
          <w:color w:val="auto"/>
        </w:rPr>
        <w:t>. Covered Persons may also be liable for improper transactions by any person to whom they have disclosed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Nonpublic Information, made recommendations, or expressed opinions regarding trading in the Company’s securities. This applies to trading in the Company’s securities as well as the securities of any other company on the basis of Material Nonpublic Information. For example, if an employee learns that the Company is entering into a contract with another public company, then the employee is prohibited from trading in or advising others regarding trades in the securities of that other company based on Material Nonpublic Information. Regulatory authorities use sophisticated electronic surveillance techniques to uncover insider trading and have imposed large penalties even when the disclosing person did not personally profit from the trading.</w:t>
      </w:r>
    </w:p>
    <w:p>
      <w:pPr>
        <w:spacing w:after="0" w:line="182" w:lineRule="exact"/>
        <w:rPr>
          <w:rFonts w:ascii="Times New Roman" w:cs="Times New Roman" w:eastAsia="Times New Roman" w:hAnsi="Times New Roman"/>
          <w:sz w:val="18"/>
          <w:szCs w:val="18"/>
          <w:color w:val="auto"/>
        </w:rPr>
      </w:pPr>
    </w:p>
    <w:p>
      <w:pPr>
        <w:ind w:left="660" w:hanging="4"/>
        <w:spacing w:after="0" w:line="286" w:lineRule="auto"/>
        <w:tabs>
          <w:tab w:leader="none" w:pos="142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Disciplinary Action</w:t>
      </w:r>
      <w:r>
        <w:rPr>
          <w:rFonts w:ascii="Times New Roman" w:cs="Times New Roman" w:eastAsia="Times New Roman" w:hAnsi="Times New Roman"/>
          <w:sz w:val="18"/>
          <w:szCs w:val="18"/>
          <w:color w:val="auto"/>
        </w:rPr>
        <w:t>. Covered Persons who violate this policy will also be subject to disciplinary action by the Company,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disqualification from participation in the Company’s equity incentive plans, up to and including termination of employment.</w:t>
      </w:r>
    </w:p>
    <w:p>
      <w:pPr>
        <w:spacing w:after="0" w:line="154" w:lineRule="exact"/>
        <w:rPr>
          <w:rFonts w:ascii="Times New Roman" w:cs="Times New Roman" w:eastAsia="Times New Roman" w:hAnsi="Times New Roman"/>
          <w:sz w:val="18"/>
          <w:szCs w:val="18"/>
          <w:color w:val="auto"/>
        </w:rPr>
      </w:pPr>
    </w:p>
    <w:p>
      <w:pPr>
        <w:ind w:left="660" w:hanging="4"/>
        <w:spacing w:after="0" w:line="286" w:lineRule="auto"/>
        <w:tabs>
          <w:tab w:leader="none" w:pos="119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Reputational Damage</w:t>
      </w:r>
      <w:r>
        <w:rPr>
          <w:rFonts w:ascii="Times New Roman" w:cs="Times New Roman" w:eastAsia="Times New Roman" w:hAnsi="Times New Roman"/>
          <w:sz w:val="18"/>
          <w:szCs w:val="18"/>
          <w:color w:val="auto"/>
        </w:rPr>
        <w:t>. Note that reputational damage may result even in the absence of criminal or civil penalties. An SEC investigation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alone can tarnish or irreparably damage a career.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and Questions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Covered Persons will be required to certify in writing their understanding of and intent to comply with the Insider Trading Policy on the commencement of their relationship with the Company. In addition, all Covered Persons will be required to certify their compliance with the Insider Trading Policy on an annual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direct all questions or concerns related to this policy to the Company’s Insider Trading Compliance Officer.</w:t>
      </w:r>
    </w:p>
    <w:p>
      <w:pPr>
        <w:spacing w:after="0" w:line="2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INSIDER TRADING COMPLIANCE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Insider Trading Compliance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Compliance Officer shall also serve as the Company’s Insider Trading Compliance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Insider Trading Compliance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duties of the Insider Trading Compliance Officer include, but are not limited to:</w:t>
      </w:r>
    </w:p>
    <w:p>
      <w:pPr>
        <w:spacing w:after="0" w:line="225" w:lineRule="exact"/>
        <w:rPr>
          <w:sz w:val="20"/>
          <w:szCs w:val="20"/>
          <w:color w:val="auto"/>
        </w:rPr>
      </w:pPr>
    </w:p>
    <w:p>
      <w:pPr>
        <w:ind w:left="980" w:right="20" w:hanging="324"/>
        <w:spacing w:after="0" w:line="282" w:lineRule="auto"/>
        <w:tabs>
          <w:tab w:leader="none" w:pos="9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Pre-clearance of all transactions involving the Company’s securities by all Access Persons, in order to determine compliance with the Insider Trading Policy, applicable law, Section 16, Rule 10b5-1, and Rule 144;</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0" w:name="page191"/>
    <w:bookmarkEnd w:id="190"/>
    <w:p>
      <w:pPr>
        <w:ind w:left="324" w:hanging="324"/>
        <w:spacing w:after="0"/>
        <w:tabs>
          <w:tab w:leader="none" w:pos="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Rule 10b5-1 Trading Programs;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the preparation of Section 16 reports (Forms 3, 4, and 5) for all Section 16 Individuals;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reminders to all Section 16 Individuals regarding their obligations for Section 16 reports (Forms 3, 4, and 5);</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cross-checks of available materials related to trading activity by officers, directors, and others with access to Material Nonpublic Information. Materials to be reviewed include Form 144, Forms 3, 4, and 5, officer and director questionnaires, and reports received from the Company’s stock administrator and transfer agent;</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the policy each year to those who have or may have access to Material Nonpublic Information;</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to Access Persons of each administrative blackout period under any retirement or pension plan, including individual account retirement or 401(k) plans; and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additional advice or assistance necessary to help Covered Persons comply with the Insider Trading Policy.</w:t>
      </w:r>
    </w:p>
    <w:p>
      <w:pPr>
        <w:spacing w:after="0" w:line="200" w:lineRule="exact"/>
        <w:rPr>
          <w:sz w:val="20"/>
          <w:szCs w:val="20"/>
          <w:color w:val="auto"/>
        </w:rPr>
      </w:pPr>
    </w:p>
    <w:p>
      <w:pPr>
        <w:spacing w:after="0" w:line="237"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66675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6860" w:type="dxa"/>
            <w:vAlign w:val="bottom"/>
            <w:gridSpan w:val="5"/>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rPr>
              <w:t>ADMA BioCenters Georgia Inc.</w:t>
            </w:r>
          </w:p>
        </w:tc>
      </w:tr>
      <w:tr>
        <w:trPr>
          <w:trHeight w:val="237"/>
        </w:trPr>
        <w:tc>
          <w:tcPr>
            <w:tcW w:w="43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00" w:type="dxa"/>
            <w:vAlign w:val="bottom"/>
            <w:shd w:val="clear" w:color="auto" w:fill="CCEEFF"/>
          </w:tcPr>
          <w:p>
            <w:pPr>
              <w:spacing w:after="0"/>
              <w:rPr>
                <w:sz w:val="18"/>
                <w:szCs w:val="18"/>
                <w:color w:val="auto"/>
              </w:rPr>
            </w:pPr>
          </w:p>
        </w:tc>
        <w:tc>
          <w:tcPr>
            <w:tcW w:w="6760" w:type="dxa"/>
            <w:vAlign w:val="bottom"/>
            <w:gridSpan w:val="4"/>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Name under which business conducted:</w:t>
            </w:r>
          </w:p>
        </w:tc>
        <w:tc>
          <w:tcPr>
            <w:tcW w:w="100" w:type="dxa"/>
            <w:vAlign w:val="bottom"/>
          </w:tcPr>
          <w:p>
            <w:pPr>
              <w:spacing w:after="0"/>
              <w:rPr>
                <w:sz w:val="20"/>
                <w:szCs w:val="20"/>
                <w:color w:val="auto"/>
              </w:rPr>
            </w:pPr>
          </w:p>
        </w:tc>
        <w:tc>
          <w:tcPr>
            <w:tcW w:w="676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ADMA BioCenters Georgia Inc.</w:t>
            </w:r>
          </w:p>
        </w:tc>
      </w:tr>
      <w:tr>
        <w:trPr>
          <w:trHeight w:val="373"/>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gridSpan w:val="4"/>
          </w:tcPr>
          <w:p>
            <w:pPr>
              <w:jc w:val="center"/>
              <w:ind w:right="4480"/>
              <w:spacing w:after="0"/>
              <w:rPr>
                <w:sz w:val="20"/>
                <w:szCs w:val="20"/>
                <w:color w:val="auto"/>
              </w:rPr>
            </w:pPr>
            <w:r>
              <w:rPr>
                <w:rFonts w:ascii="Times New Roman" w:cs="Times New Roman" w:eastAsia="Times New Roman" w:hAnsi="Times New Roman"/>
                <w:sz w:val="18"/>
                <w:szCs w:val="18"/>
                <w:b w:val="1"/>
                <w:bCs w:val="1"/>
                <w:color w:val="auto"/>
                <w:w w:val="99"/>
              </w:rPr>
              <w:t>ADMA Plasma Biologics, Inc.</w:t>
            </w:r>
          </w:p>
        </w:tc>
      </w:tr>
      <w:tr>
        <w:trPr>
          <w:trHeight w:val="237"/>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00" w:type="dxa"/>
            <w:vAlign w:val="bottom"/>
            <w:shd w:val="clear" w:color="auto" w:fill="CCEEFF"/>
          </w:tcPr>
          <w:p>
            <w:pPr>
              <w:spacing w:after="0"/>
              <w:rPr>
                <w:sz w:val="18"/>
                <w:szCs w:val="18"/>
                <w:color w:val="auto"/>
              </w:rPr>
            </w:pPr>
          </w:p>
        </w:tc>
        <w:tc>
          <w:tcPr>
            <w:tcW w:w="6760" w:type="dxa"/>
            <w:vAlign w:val="bottom"/>
            <w:gridSpan w:val="4"/>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Name under which business conducted:</w:t>
            </w:r>
          </w:p>
        </w:tc>
        <w:tc>
          <w:tcPr>
            <w:tcW w:w="100" w:type="dxa"/>
            <w:vAlign w:val="bottom"/>
          </w:tcPr>
          <w:p>
            <w:pPr>
              <w:spacing w:after="0"/>
              <w:rPr>
                <w:sz w:val="20"/>
                <w:szCs w:val="20"/>
                <w:color w:val="auto"/>
              </w:rPr>
            </w:pPr>
          </w:p>
        </w:tc>
        <w:tc>
          <w:tcPr>
            <w:tcW w:w="676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ADMA Plasma Biologics, Inc.</w:t>
            </w:r>
          </w:p>
        </w:tc>
      </w:tr>
      <w:tr>
        <w:trPr>
          <w:trHeight w:val="373"/>
        </w:trPr>
        <w:tc>
          <w:tcPr>
            <w:tcW w:w="4380" w:type="dxa"/>
            <w:vAlign w:val="bottom"/>
          </w:tcPr>
          <w:p>
            <w:pPr>
              <w:spacing w:after="0"/>
              <w:rPr>
                <w:sz w:val="24"/>
                <w:szCs w:val="24"/>
                <w:color w:val="auto"/>
              </w:rPr>
            </w:pPr>
          </w:p>
        </w:tc>
        <w:tc>
          <w:tcPr>
            <w:tcW w:w="6860" w:type="dxa"/>
            <w:vAlign w:val="bottom"/>
            <w:gridSpan w:val="5"/>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rPr>
              <w:t>ADMA BioManufacturing, LLC</w:t>
            </w:r>
          </w:p>
        </w:tc>
      </w:tr>
      <w:tr>
        <w:trPr>
          <w:trHeight w:val="237"/>
        </w:trPr>
        <w:tc>
          <w:tcPr>
            <w:tcW w:w="43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36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00" w:type="dxa"/>
            <w:vAlign w:val="bottom"/>
            <w:shd w:val="clear" w:color="auto" w:fill="CCEEFF"/>
          </w:tcPr>
          <w:p>
            <w:pPr>
              <w:spacing w:after="0"/>
              <w:rPr>
                <w:sz w:val="18"/>
                <w:szCs w:val="18"/>
                <w:color w:val="auto"/>
              </w:rPr>
            </w:pPr>
          </w:p>
        </w:tc>
        <w:tc>
          <w:tcPr>
            <w:tcW w:w="6760" w:type="dxa"/>
            <w:vAlign w:val="bottom"/>
            <w:gridSpan w:val="4"/>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Name under which business conducted:</w:t>
            </w:r>
          </w:p>
        </w:tc>
        <w:tc>
          <w:tcPr>
            <w:tcW w:w="100" w:type="dxa"/>
            <w:vAlign w:val="bottom"/>
          </w:tcPr>
          <w:p>
            <w:pPr>
              <w:spacing w:after="0"/>
              <w:rPr>
                <w:sz w:val="20"/>
                <w:szCs w:val="20"/>
                <w:color w:val="auto"/>
              </w:rPr>
            </w:pPr>
          </w:p>
        </w:tc>
        <w:tc>
          <w:tcPr>
            <w:tcW w:w="676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ADMA BioManufacturing, LLC</w:t>
            </w:r>
          </w:p>
        </w:tc>
      </w:tr>
      <w:tr>
        <w:trPr>
          <w:trHeight w:val="502"/>
        </w:trPr>
        <w:tc>
          <w:tcPr>
            <w:tcW w:w="4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57250" cy="4286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8572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color w:val="auto"/>
        </w:rPr>
        <w:t>KPMG LLP</w:t>
      </w:r>
    </w:p>
    <w:p>
      <w:pPr>
        <w:spacing w:after="0" w:line="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677 Washington Boulevard</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Stamford, CT 06901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333-266291, 333-263345, 333-254770, 333-237658, 333-229921, 333-224492, 333-220058, and 333-204590) on Form S-8 of our reports dated March 18, 2025, with respect to the consolidated financial statements of ADMA Biologics, Inc. and subsidiaries and the effectiveness of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2025</w:t>
      </w:r>
    </w:p>
    <w:p>
      <w:pPr>
        <w:spacing w:after="0" w:line="20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3"/>
          <w:szCs w:val="13"/>
          <w:color w:val="auto"/>
        </w:rPr>
        <w:t>KPMG LLP, a Delaware limited liability partnership and a member firm of</w:t>
      </w:r>
    </w:p>
    <w:p>
      <w:pPr>
        <w:ind w:left="3960"/>
        <w:spacing w:after="0" w:line="216" w:lineRule="auto"/>
        <w:rPr>
          <w:sz w:val="20"/>
          <w:szCs w:val="20"/>
          <w:color w:val="auto"/>
        </w:rPr>
      </w:pPr>
      <w:r>
        <w:rPr>
          <w:rFonts w:ascii="Times New Roman" w:cs="Times New Roman" w:eastAsia="Times New Roman" w:hAnsi="Times New Roman"/>
          <w:sz w:val="13"/>
          <w:szCs w:val="13"/>
          <w:color w:val="auto"/>
        </w:rPr>
        <w:t>the KPMG global organization of independent member firms affiliated with</w:t>
      </w:r>
    </w:p>
    <w:p>
      <w:pPr>
        <w:ind w:left="3960"/>
        <w:spacing w:after="0"/>
        <w:rPr>
          <w:sz w:val="20"/>
          <w:szCs w:val="20"/>
          <w:color w:val="auto"/>
        </w:rPr>
      </w:pPr>
      <w:r>
        <w:rPr>
          <w:rFonts w:ascii="Times New Roman" w:cs="Times New Roman" w:eastAsia="Times New Roman" w:hAnsi="Times New Roman"/>
          <w:sz w:val="13"/>
          <w:szCs w:val="13"/>
          <w:color w:val="auto"/>
        </w:rPr>
        <w:t>KPMG 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(File Nos. 333-266291, 333-263345, 333-254770, 333-237658, 333-229921, 333-224492, 333-220058 and 333-204590) of ADMA Biologics, Inc., of our report, dated February 28, 2024, except for Note 11 and Note 13 as to which the date is March 18, 2025, with respect to the consolidated balance sheet of ADMA Biologics, Inc. and subsidiaries as of December 31, 2023, and the related consolidated statements of operations, changes in stockholders’ equity, and cash flows and financial statement schedule II – valuation and qualifying accounts for each of the years in the two-year period ended December 31, 2023, included in the Annual Report on Form 10-K of ADMA Biologics, Inc. and subsidiaries for the year ended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Parsippany,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S. Grossman, certify that:</w:t>
      </w:r>
    </w:p>
    <w:p>
      <w:pPr>
        <w:spacing w:after="0" w:line="225" w:lineRule="exact"/>
        <w:rPr>
          <w:sz w:val="20"/>
          <w:szCs w:val="20"/>
          <w:color w:val="auto"/>
        </w:rPr>
      </w:pPr>
    </w:p>
    <w:p>
      <w:pPr>
        <w:ind w:left="500" w:hanging="330"/>
        <w:spacing w:after="0"/>
        <w:tabs>
          <w:tab w:leader="none" w:pos="5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ADMA Biologics, Inc. for the year ended December 31, 2024;</w:t>
      </w:r>
    </w:p>
    <w:p>
      <w:pPr>
        <w:spacing w:after="0" w:line="225" w:lineRule="exact"/>
        <w:rPr>
          <w:rFonts w:ascii="Times New Roman" w:cs="Times New Roman" w:eastAsia="Times New Roman" w:hAnsi="Times New Roman"/>
          <w:sz w:val="18"/>
          <w:szCs w:val="18"/>
          <w:color w:val="auto"/>
        </w:rPr>
      </w:pPr>
    </w:p>
    <w:p>
      <w:pPr>
        <w:ind w:left="500" w:right="180" w:hanging="330"/>
        <w:spacing w:after="0" w:line="266" w:lineRule="auto"/>
        <w:tabs>
          <w:tab w:leader="none" w:pos="5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Whom It May Concern: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330"/>
        <w:spacing w:after="0" w:line="282" w:lineRule="auto"/>
        <w:tabs>
          <w:tab w:leader="none" w:pos="5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330"/>
        <w:spacing w:after="0" w:line="266" w:lineRule="auto"/>
        <w:tabs>
          <w:tab w:leader="none" w:pos="5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20" w:right="220" w:hanging="326"/>
        <w:spacing w:after="0" w:line="266" w:lineRule="auto"/>
        <w:tabs>
          <w:tab w:leader="none" w:pos="8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right="520" w:hanging="326"/>
        <w:spacing w:after="0" w:line="266" w:lineRule="auto"/>
        <w:tabs>
          <w:tab w:leader="none" w:pos="8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820" w:right="700" w:hanging="326"/>
        <w:spacing w:after="0" w:line="312" w:lineRule="auto"/>
        <w:tabs>
          <w:tab w:leader="none" w:pos="82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20" w:right="200" w:hanging="326"/>
        <w:spacing w:after="0" w:line="266" w:lineRule="auto"/>
        <w:tabs>
          <w:tab w:leader="none" w:pos="8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330"/>
        <w:spacing w:after="0" w:line="282" w:lineRule="auto"/>
        <w:tabs>
          <w:tab w:leader="none" w:pos="5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March 18, 2025</w:t>
      </w:r>
      <w:r>
        <w:rPr>
          <w:sz w:val="20"/>
          <w:szCs w:val="20"/>
          <w:color w:val="auto"/>
        </w:rPr>
        <w:tab/>
      </w:r>
      <w:r>
        <w:rPr>
          <w:rFonts w:ascii="Times New Roman" w:cs="Times New Roman" w:eastAsia="Times New Roman" w:hAnsi="Times New Roman"/>
          <w:sz w:val="17"/>
          <w:szCs w:val="17"/>
          <w:color w:val="auto"/>
        </w:rPr>
        <w:t>/s/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Adam S. Grossman</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Tade, certify that:</w:t>
      </w:r>
    </w:p>
    <w:p>
      <w:pPr>
        <w:spacing w:after="0" w:line="225" w:lineRule="exact"/>
        <w:rPr>
          <w:sz w:val="20"/>
          <w:szCs w:val="20"/>
          <w:color w:val="auto"/>
        </w:rPr>
      </w:pPr>
    </w:p>
    <w:p>
      <w:pPr>
        <w:ind w:left="500" w:hanging="330"/>
        <w:spacing w:after="0"/>
        <w:tabs>
          <w:tab w:leader="none" w:pos="5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ADMA Biologics, Inc. for the year ended December 31, 2024;</w:t>
      </w:r>
    </w:p>
    <w:p>
      <w:pPr>
        <w:spacing w:after="0" w:line="225" w:lineRule="exact"/>
        <w:rPr>
          <w:rFonts w:ascii="Times New Roman" w:cs="Times New Roman" w:eastAsia="Times New Roman" w:hAnsi="Times New Roman"/>
          <w:sz w:val="18"/>
          <w:szCs w:val="18"/>
          <w:color w:val="auto"/>
        </w:rPr>
      </w:pPr>
    </w:p>
    <w:p>
      <w:pPr>
        <w:jc w:val="both"/>
        <w:ind w:left="500" w:right="280" w:hanging="330"/>
        <w:spacing w:after="0" w:line="266" w:lineRule="auto"/>
        <w:tabs>
          <w:tab w:leader="none" w:pos="5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330"/>
        <w:spacing w:after="0" w:line="282" w:lineRule="auto"/>
        <w:tabs>
          <w:tab w:leader="none" w:pos="5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330"/>
        <w:spacing w:after="0" w:line="266" w:lineRule="auto"/>
        <w:tabs>
          <w:tab w:leader="none" w:pos="5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20" w:right="220" w:hanging="326"/>
        <w:spacing w:after="0" w:line="266" w:lineRule="auto"/>
        <w:tabs>
          <w:tab w:leader="none" w:pos="8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right="520" w:hanging="326"/>
        <w:spacing w:after="0" w:line="266" w:lineRule="auto"/>
        <w:tabs>
          <w:tab w:leader="none" w:pos="8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820" w:right="700" w:hanging="326"/>
        <w:spacing w:after="0" w:line="312" w:lineRule="auto"/>
        <w:tabs>
          <w:tab w:leader="none" w:pos="82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20" w:right="200" w:hanging="326"/>
        <w:spacing w:after="0" w:line="266" w:lineRule="auto"/>
        <w:tabs>
          <w:tab w:leader="none" w:pos="8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330"/>
        <w:spacing w:after="0" w:line="282" w:lineRule="auto"/>
        <w:tabs>
          <w:tab w:leader="none" w:pos="5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March 18, 2025</w:t>
      </w:r>
      <w:r>
        <w:rPr>
          <w:sz w:val="20"/>
          <w:szCs w:val="20"/>
          <w:color w:val="auto"/>
        </w:rPr>
        <w:tab/>
      </w:r>
      <w:r>
        <w:rPr>
          <w:rFonts w:ascii="Times New Roman" w:cs="Times New Roman" w:eastAsia="Times New Roman" w:hAnsi="Times New Roman"/>
          <w:sz w:val="17"/>
          <w:szCs w:val="17"/>
          <w:color w:val="auto"/>
        </w:rPr>
        <w:t>/s/ Brad Tade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Brad Tade</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0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ADMA Biologics, Inc., a Delaware corporation (the “Company”), on Form 10-K for the year ended December 31, 2024, as filed with the Securities and Exchange Commission on the date hereof (the “Report”), I, Adam S. Grossman, President and Chief Executive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March 18, 2025</w:t>
      </w:r>
      <w:r>
        <w:rPr>
          <w:sz w:val="20"/>
          <w:szCs w:val="20"/>
          <w:color w:val="auto"/>
        </w:rPr>
        <w:tab/>
      </w:r>
      <w:r>
        <w:rPr>
          <w:rFonts w:ascii="Times New Roman" w:cs="Times New Roman" w:eastAsia="Times New Roman" w:hAnsi="Times New Roman"/>
          <w:sz w:val="17"/>
          <w:szCs w:val="17"/>
          <w:color w:val="auto"/>
        </w:rPr>
        <w:t>/s/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Adam S. Grossman</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0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ADMA Biologics, Inc., a Delaware corporation (the “Company”), on Form 10-K for the year ended December 31, 2024, as filed with the Securities and Exchange Commission on the date hereof (the “Report”), I, Brad Tade, Chief Financial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March 18, 2025</w:t>
      </w:r>
      <w:r>
        <w:rPr>
          <w:sz w:val="20"/>
          <w:szCs w:val="20"/>
          <w:color w:val="auto"/>
        </w:rPr>
        <w:tab/>
      </w:r>
      <w:r>
        <w:rPr>
          <w:rFonts w:ascii="Times New Roman" w:cs="Times New Roman" w:eastAsia="Times New Roman" w:hAnsi="Times New Roman"/>
          <w:sz w:val="17"/>
          <w:szCs w:val="17"/>
          <w:color w:val="auto"/>
        </w:rPr>
        <w:t>/s/ Brad Tade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Brad Tade</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endash "/>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1)"/>
      <w:numFmt w:val="lowerLetter"/>
      <w:start w:val="1"/>
    </w:lvl>
    <w:lvl w:ilvl="1">
      <w:lvlJc w:val="left"/>
      <w:lvlText w:val="(%2)"/>
      <w:numFmt w:val="decimal"/>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1."/>
      <w:numFmt w:val="decimal"/>
      <w:start w:val="1"/>
    </w:lvl>
  </w:abstractNum>
  <w:abstractNum w:abstractNumId="33">
    <w:nsid w:val="39EE015C"/>
    <w:multiLevelType w:val="hybridMultilevel"/>
    <w:lvl w:ilvl="0">
      <w:lvlJc w:val="left"/>
      <w:lvlText w:val="%1."/>
      <w:numFmt w:val="decimal"/>
      <w:start w:val="2"/>
    </w:lvl>
  </w:abstractNum>
  <w:abstractNum w:abstractNumId="34">
    <w:nsid w:val="57FC4FBB"/>
    <w:multiLevelType w:val="hybridMultilevel"/>
    <w:lvl w:ilvl="0">
      <w:lvlJc w:val="left"/>
      <w:lvlText w:val="%1."/>
      <w:numFmt w:val="decimal"/>
      <w:start w:val="5"/>
    </w:lvl>
  </w:abstractNum>
  <w:abstractNum w:abstractNumId="35">
    <w:nsid w:val="CC1016F"/>
    <w:multiLevelType w:val="hybridMultilevel"/>
    <w:lvl w:ilvl="0">
      <w:lvlJc w:val="left"/>
      <w:lvlText w:val="%1."/>
      <w:numFmt w:val="decimal"/>
      <w:start w:val="6"/>
    </w:lvl>
  </w:abstractNum>
  <w:abstractNum w:abstractNumId="36">
    <w:nsid w:val="43F18422"/>
    <w:multiLevelType w:val="hybridMultilevel"/>
    <w:lvl w:ilvl="0">
      <w:lvlJc w:val="left"/>
      <w:lvlText w:val="%1."/>
      <w:numFmt w:val="decimal"/>
      <w:start w:val="8"/>
    </w:lvl>
  </w:abstractNum>
  <w:abstractNum w:abstractNumId="37">
    <w:nsid w:val="60EF0119"/>
    <w:multiLevelType w:val="hybridMultilevel"/>
    <w:lvl w:ilvl="0">
      <w:lvlJc w:val="left"/>
      <w:lvlText w:val="%1."/>
      <w:numFmt w:val="decimal"/>
      <w:start w:val="10"/>
    </w:lvl>
  </w:abstractNum>
  <w:abstractNum w:abstractNumId="38">
    <w:nsid w:val="26F324BA"/>
    <w:multiLevelType w:val="hybridMultilevel"/>
    <w:lvl w:ilvl="0">
      <w:lvlJc w:val="left"/>
      <w:lvlText w:val="%1."/>
      <w:numFmt w:val="decimal"/>
      <w:start w:val="11"/>
    </w:lvl>
  </w:abstractNum>
  <w:abstractNum w:abstractNumId="39">
    <w:nsid w:val="7F01579B"/>
    <w:multiLevelType w:val="hybridMultilevel"/>
    <w:lvl w:ilvl="0">
      <w:lvlJc w:val="left"/>
      <w:lvlText w:val="%1."/>
      <w:numFmt w:val="decimal"/>
      <w:start w:val="12"/>
    </w:lvl>
  </w:abstractNum>
  <w:abstractNum w:abstractNumId="40">
    <w:nsid w:val="49DA307D"/>
    <w:multiLevelType w:val="hybridMultilevel"/>
    <w:lvl w:ilvl="0">
      <w:lvlJc w:val="left"/>
      <w:lvlText w:val="%1."/>
      <w:numFmt w:val="decimal"/>
      <w:start w:val="13"/>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1)"/>
      <w:numFmt w:val="lowerLetter"/>
      <w:start w:val="1"/>
    </w:lvl>
  </w:abstractNum>
  <w:abstractNum w:abstractNumId="44">
    <w:nsid w:val="488AC1A"/>
    <w:multiLevelType w:val="hybridMultilevel"/>
    <w:lvl w:ilvl="0">
      <w:lvlJc w:val="left"/>
      <w:lvlText w:val="$"/>
      <w:numFmt w:val="bullet"/>
      <w:start w:val="1"/>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
      <w:numFmt w:val="bullet"/>
      <w:start w:val="1"/>
    </w:lvl>
  </w:abstractNum>
  <w:abstractNum w:abstractNumId="47">
    <w:nsid w:val="7672BD23"/>
    <w:multiLevelType w:val="hybridMultilevel"/>
    <w:lvl w:ilvl="0">
      <w:lvlJc w:val="left"/>
      <w:lvlText w:val="$"/>
      <w:numFmt w:val="bullet"/>
      <w:start w:val="1"/>
    </w:lvl>
  </w:abstractNum>
  <w:abstractNum w:abstractNumId="48">
    <w:nsid w:val="6FC75AF8"/>
    <w:multiLevelType w:val="hybridMultilevel"/>
    <w:lvl w:ilvl="0">
      <w:lvlJc w:val="left"/>
      <w:lvlText w:val="(%1)"/>
      <w:numFmt w:val="lowerLetter"/>
      <w:start w:val="1"/>
    </w:lvl>
  </w:abstractNum>
  <w:abstractNum w:abstractNumId="49">
    <w:nsid w:val="6A5F7029"/>
    <w:multiLevelType w:val="hybridMultilevel"/>
    <w:lvl w:ilvl="0">
      <w:lvlJc w:val="left"/>
      <w:lvlText w:val="$"/>
      <w:numFmt w:val="bullet"/>
      <w:start w:val="1"/>
    </w:lvl>
  </w:abstractNum>
  <w:abstractNum w:abstractNumId="50">
    <w:nsid w:val="7D5E18F8"/>
    <w:multiLevelType w:val="hybridMultilevel"/>
    <w:lvl w:ilvl="0">
      <w:lvlJc w:val="left"/>
      <w:lvlText w:val="$"/>
      <w:numFmt w:val="bullet"/>
      <w:start w:val="1"/>
    </w:lvl>
  </w:abstractNum>
  <w:abstractNum w:abstractNumId="51">
    <w:nsid w:val="5F3534A4"/>
    <w:multiLevelType w:val="hybridMultilevel"/>
    <w:lvl w:ilvl="0">
      <w:lvlJc w:val="left"/>
      <w:lvlText w:val="$"/>
      <w:numFmt w:val="bullet"/>
      <w:start w:val="1"/>
    </w:lvl>
  </w:abstractNum>
  <w:abstractNum w:abstractNumId="52">
    <w:nsid w:val="73A1821B"/>
    <w:multiLevelType w:val="hybridMultilevel"/>
    <w:lvl w:ilvl="0">
      <w:lvlJc w:val="left"/>
      <w:lvlText w:val="$"/>
      <w:numFmt w:val="bullet"/>
      <w:start w:val="1"/>
    </w:lvl>
  </w:abstractNum>
  <w:abstractNum w:abstractNumId="53">
    <w:nsid w:val="7DE67713"/>
    <w:multiLevelType w:val="hybridMultilevel"/>
    <w:lvl w:ilvl="0">
      <w:lvlJc w:val="left"/>
      <w:lvlText w:val="(%1)"/>
      <w:numFmt w:val="lowerLetter"/>
      <w:start w:val="1"/>
    </w:lvl>
  </w:abstractNum>
  <w:abstractNum w:abstractNumId="54">
    <w:nsid w:val="555C55B5"/>
    <w:multiLevelType w:val="hybridMultilevel"/>
    <w:lvl w:ilvl="0">
      <w:lvlJc w:val="left"/>
      <w:lvlText w:val="%1."/>
      <w:numFmt w:val="decimal"/>
      <w:start w:val="14"/>
    </w:lvl>
  </w:abstractNum>
  <w:abstractNum w:abstractNumId="55">
    <w:nsid w:val="3FA62ACA"/>
    <w:multiLevelType w:val="hybridMultilevel"/>
    <w:lvl w:ilvl="0">
      <w:lvlJc w:val="left"/>
      <w:lvlText w:val="%1."/>
      <w:numFmt w:val="decimal"/>
      <w:start w:val="15"/>
    </w:lvl>
  </w:abstractNum>
  <w:abstractNum w:abstractNumId="56">
    <w:nsid w:val="14FCE74E"/>
    <w:multiLevelType w:val="hybridMultilevel"/>
    <w:lvl w:ilvl="0">
      <w:lvlJc w:val="left"/>
      <w:lvlText w:val="%1."/>
      <w:numFmt w:val="decimal"/>
      <w:start w:val="16"/>
    </w:lvl>
  </w:abstractNum>
  <w:abstractNum w:abstractNumId="57">
    <w:nsid w:val="6A3DD3E8"/>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58">
    <w:nsid w:val="71C91298"/>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59">
    <w:nsid w:val="9DAF632"/>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60">
    <w:nsid w:val="53299938"/>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61">
    <w:nsid w:val="1FBFE8E0"/>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62">
    <w:nsid w:val="5092CA79"/>
    <w:multiLevelType w:val="hybridMultilevel"/>
    <w:lvl w:ilvl="0">
      <w:lvlJc w:val="left"/>
      <w:lvlText w:val="%1."/>
      <w:numFmt w:val="decimal"/>
      <w:start w:val="5"/>
    </w:lvl>
  </w:abstractNum>
  <w:abstractNum w:abstractNumId="63">
    <w:nsid w:val="1D545C4D"/>
    <w:multiLevelType w:val="hybridMultilevel"/>
    <w:lvl w:ilvl="0">
      <w:lvlJc w:val="left"/>
      <w:lvlText w:val="[***]"/>
      <w:numFmt w:val="bullet"/>
      <w:start w:val="1"/>
    </w:lvl>
    <w:lvl w:ilvl="1">
      <w:lvlJc w:val="left"/>
      <w:lvlText w:val="%2."/>
      <w:numFmt w:val="decimal"/>
      <w:start w:val="6"/>
    </w:lvl>
    <w:lvl w:ilvl="2">
      <w:lvlJc w:val="left"/>
      <w:lvlText w:val="-"/>
      <w:numFmt w:val="bullet"/>
      <w:start w:val="1"/>
    </w:lvl>
  </w:abstractNum>
  <w:abstractNum w:abstractNumId="64">
    <w:nsid w:val="59ADEA3D"/>
    <w:multiLevelType w:val="hybridMultilevel"/>
    <w:lvl w:ilvl="0">
      <w:lvlJc w:val="left"/>
      <w:lvlText w:val="[***]"/>
      <w:numFmt w:val="bullet"/>
      <w:start w:val="1"/>
    </w:lvl>
    <w:lvl w:ilvl="1">
      <w:lvlJc w:val="left"/>
      <w:lvlText w:val="%2."/>
      <w:numFmt w:val="decimal"/>
      <w:start w:val="7"/>
    </w:lvl>
    <w:lvl w:ilvl="2">
      <w:lvlJc w:val="left"/>
      <w:lvlText w:val="-"/>
      <w:numFmt w:val="bullet"/>
      <w:start w:val="1"/>
    </w:lvl>
  </w:abstractNum>
  <w:abstractNum w:abstractNumId="65">
    <w:nsid w:val="288F1A34"/>
    <w:multiLevelType w:val="hybridMultilevel"/>
    <w:lvl w:ilvl="0">
      <w:lvlJc w:val="left"/>
      <w:lvlText w:val="%1."/>
      <w:numFmt w:val="decimal"/>
      <w:start w:val="9"/>
    </w:lvl>
    <w:lvl w:ilvl="1">
      <w:lvlJc w:val="left"/>
      <w:lvlText w:val="-"/>
      <w:numFmt w:val="bullet"/>
      <w:start w:val="1"/>
    </w:lvl>
  </w:abstractNum>
  <w:abstractNum w:abstractNumId="66">
    <w:nsid w:val="2A155DBC"/>
    <w:multiLevelType w:val="hybridMultilevel"/>
    <w:lvl w:ilvl="0">
      <w:lvlJc w:val="left"/>
      <w:lvlText w:val="%1"/>
      <w:numFmt w:val="upperLetter"/>
      <w:start w:val="1"/>
    </w:lvl>
    <w:lvl w:ilvl="1">
      <w:lvlJc w:val="left"/>
      <w:lvlText w:val="%2."/>
      <w:numFmt w:val="decimal"/>
      <w:start w:val="13"/>
    </w:lvl>
    <w:lvl w:ilvl="2">
      <w:lvlJc w:val="left"/>
      <w:lvlText w:val="-"/>
      <w:numFmt w:val="bullet"/>
      <w:start w:val="1"/>
    </w:lvl>
  </w:abstractNum>
  <w:abstractNum w:abstractNumId="67">
    <w:nsid w:val="1D9F6E5F"/>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68">
    <w:nsid w:val="97E1B4E"/>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69">
    <w:nsid w:val="51088277"/>
    <w:multiLevelType w:val="hybridMultilevel"/>
    <w:lvl w:ilvl="0">
      <w:lvlJc w:val="left"/>
      <w:lvlText w:val="%1."/>
      <w:numFmt w:val="decimal"/>
      <w:start w:val="2"/>
    </w:lvl>
    <w:lvl w:ilvl="1">
      <w:lvlJc w:val="left"/>
      <w:lvlText w:val="-"/>
      <w:numFmt w:val="bullet"/>
      <w:start w:val="1"/>
    </w:lvl>
  </w:abstractNum>
  <w:abstractNum w:abstractNumId="70">
    <w:nsid w:val="1CA0C5FA"/>
    <w:multiLevelType w:val="hybridMultilevel"/>
    <w:lvl w:ilvl="0">
      <w:lvlJc w:val="left"/>
      <w:lvlText w:val="%1"/>
      <w:numFmt w:val="upperLetter"/>
      <w:start w:val="1"/>
    </w:lvl>
    <w:lvl w:ilvl="1">
      <w:lvlJc w:val="left"/>
      <w:lvlText w:val="%2."/>
      <w:numFmt w:val="decimal"/>
      <w:start w:val="4"/>
    </w:lvl>
    <w:lvl w:ilvl="2">
      <w:lvlJc w:val="left"/>
      <w:lvlText w:val="-"/>
      <w:numFmt w:val="bullet"/>
      <w:start w:val="1"/>
    </w:lvl>
  </w:abstractNum>
  <w:abstractNum w:abstractNumId="71">
    <w:nsid w:val="53584BCB"/>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72">
    <w:nsid w:val="415E286C"/>
    <w:multiLevelType w:val="hybridMultilevel"/>
    <w:lvl w:ilvl="0">
      <w:lvlJc w:val="left"/>
      <w:lvlText w:val="%1"/>
      <w:numFmt w:val="upperLetter"/>
      <w:start w:val="1"/>
    </w:lvl>
    <w:lvl w:ilvl="1">
      <w:lvlJc w:val="left"/>
      <w:lvlText w:val="%2."/>
      <w:numFmt w:val="decimal"/>
      <w:start w:val="4"/>
    </w:lvl>
  </w:abstractNum>
  <w:abstractNum w:abstractNumId="73">
    <w:nsid w:val="7C58FD05"/>
    <w:multiLevelType w:val="hybridMultilevel"/>
    <w:lvl w:ilvl="0">
      <w:lvlJc w:val="left"/>
      <w:lvlText w:val="%1."/>
      <w:numFmt w:val="upperLetter"/>
      <w:start w:val="5"/>
    </w:lvl>
    <w:lvl w:ilvl="1">
      <w:lvlJc w:val="left"/>
      <w:lvlText w:val="%2."/>
      <w:numFmt w:val="decimal"/>
      <w:start w:val="1"/>
    </w:lvl>
  </w:abstractNum>
  <w:abstractNum w:abstractNumId="74">
    <w:nsid w:val="23D86AAC"/>
    <w:multiLevelType w:val="hybridMultilevel"/>
    <w:lvl w:ilvl="0">
      <w:lvlJc w:val="left"/>
      <w:lvlText w:val="%1."/>
      <w:numFmt w:val="upperLetter"/>
      <w:start w:val="7"/>
    </w:lvl>
  </w:abstractNum>
  <w:abstractNum w:abstractNumId="75">
    <w:nsid w:val="45E6D486"/>
    <w:multiLevelType w:val="hybridMultilevel"/>
    <w:lvl w:ilvl="0">
      <w:lvlJc w:val="left"/>
      <w:lvlText w:val="%1."/>
      <w:numFmt w:val="upperLetter"/>
      <w:start w:val="8"/>
    </w:lvl>
  </w:abstractNum>
  <w:abstractNum w:abstractNumId="76">
    <w:nsid w:val="5C10FE21"/>
    <w:multiLevelType w:val="hybridMultilevel"/>
    <w:lvl w:ilvl="0">
      <w:lvlJc w:val="left"/>
      <w:lvlText w:val="%1."/>
      <w:numFmt w:val="upperLetter"/>
      <w:start w:val="9"/>
    </w:lvl>
  </w:abstractNum>
  <w:abstractNum w:abstractNumId="77">
    <w:nsid w:val="E7FFA2B"/>
    <w:multiLevelType w:val="hybridMultilevel"/>
    <w:lvl w:ilvl="0">
      <w:lvlJc w:val="left"/>
      <w:lvlText w:val="%1."/>
      <w:numFmt w:val="upperLetter"/>
      <w:start w:val="10"/>
    </w:lvl>
  </w:abstractNum>
  <w:abstractNum w:abstractNumId="78">
    <w:nsid w:val="3C5991AA"/>
    <w:multiLevelType w:val="hybridMultilevel"/>
    <w:lvl w:ilvl="0">
      <w:lvlJc w:val="left"/>
      <w:lvlText w:val="%1."/>
      <w:numFmt w:val="upperLetter"/>
      <w:start w:val="11"/>
    </w:lvl>
  </w:abstractNum>
  <w:abstractNum w:abstractNumId="79">
    <w:nsid w:val="4BD8591A"/>
    <w:multiLevelType w:val="hybridMultilevel"/>
    <w:lvl w:ilvl="0">
      <w:lvlJc w:val="left"/>
      <w:lvlText w:val="%1."/>
      <w:numFmt w:val="upperLetter"/>
      <w:start w:val="12"/>
    </w:lvl>
  </w:abstractNum>
  <w:abstractNum w:abstractNumId="80">
    <w:nsid w:val="78DF6A55"/>
    <w:multiLevelType w:val="hybridMultilevel"/>
    <w:lvl w:ilvl="0">
      <w:lvlJc w:val="left"/>
      <w:lvlText w:val="%1."/>
      <w:numFmt w:val="upperLetter"/>
      <w:start w:val="13"/>
    </w:lvl>
  </w:abstractNum>
  <w:abstractNum w:abstractNumId="81">
    <w:nsid w:val="39B7AAA2"/>
    <w:multiLevelType w:val="hybridMultilevel"/>
    <w:lvl w:ilvl="0">
      <w:lvlJc w:val="left"/>
      <w:lvlText w:val="%1."/>
      <w:numFmt w:val="upperLetter"/>
      <w:start w:val="14"/>
    </w:lvl>
  </w:abstractNum>
  <w:abstractNum w:abstractNumId="82">
    <w:nsid w:val="2B0D8DB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83">
    <w:nsid w:val="6C80EC70"/>
    <w:multiLevelType w:val="hybridMultilevel"/>
    <w:lvl w:ilvl="0">
      <w:lvlJc w:val="left"/>
      <w:lvlText w:val="[***]"/>
      <w:numFmt w:val="bullet"/>
      <w:start w:val="1"/>
    </w:lvl>
    <w:lvl w:ilvl="1">
      <w:lvlJc w:val="left"/>
      <w:lvlText w:val="%2."/>
      <w:numFmt w:val="lowerLetter"/>
      <w:start w:val="3"/>
    </w:lvl>
    <w:lvl w:ilvl="2">
      <w:lvlJc w:val="left"/>
      <w:lvlText w:val="-"/>
      <w:numFmt w:val="bullet"/>
      <w:start w:val="1"/>
    </w:lvl>
  </w:abstractNum>
  <w:abstractNum w:abstractNumId="84">
    <w:nsid w:val="379E21B5"/>
    <w:multiLevelType w:val="hybridMultilevel"/>
    <w:lvl w:ilvl="0">
      <w:lvlJc w:val="left"/>
      <w:lvlText w:val="%1."/>
      <w:numFmt w:val="lowerLetter"/>
      <w:start w:val="4"/>
    </w:lvl>
  </w:abstractNum>
  <w:abstractNum w:abstractNumId="85">
    <w:nsid w:val="69E373"/>
    <w:multiLevelType w:val="hybridMultilevel"/>
    <w:lvl w:ilvl="0">
      <w:lvlJc w:val="left"/>
      <w:lvlText w:val="%1."/>
      <w:numFmt w:val="lowerLetter"/>
      <w:start w:val="5"/>
    </w:lvl>
    <w:lvl w:ilvl="1">
      <w:lvlJc w:val="left"/>
      <w:lvlText w:val="-"/>
      <w:numFmt w:val="bullet"/>
      <w:start w:val="1"/>
    </w:lvl>
  </w:abstractNum>
  <w:abstractNum w:abstractNumId="86">
    <w:nsid w:val="2C27173B"/>
    <w:multiLevelType w:val="hybridMultilevel"/>
    <w:lvl w:ilvl="0">
      <w:lvlJc w:val="left"/>
      <w:lvlText w:val="%1."/>
      <w:numFmt w:val="decimal"/>
      <w:start w:val="3"/>
    </w:lvl>
  </w:abstractNum>
  <w:abstractNum w:abstractNumId="87">
    <w:nsid w:val="4C9B0904"/>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88">
    <w:nsid w:val="6AA7B75C"/>
    <w:multiLevelType w:val="hybridMultilevel"/>
    <w:lvl w:ilvl="0">
      <w:lvlJc w:val="left"/>
      <w:lvlText w:val="%1."/>
      <w:numFmt w:val="lowerLetter"/>
      <w:start w:val="3"/>
    </w:lvl>
  </w:abstractNum>
  <w:abstractNum w:abstractNumId="89">
    <w:nsid w:val="1DF029D3"/>
    <w:multiLevelType w:val="hybridMultilevel"/>
    <w:lvl w:ilvl="0">
      <w:lvlJc w:val="left"/>
      <w:lvlText w:val="%1."/>
      <w:numFmt w:val="decimal"/>
      <w:start w:val="5"/>
    </w:lvl>
  </w:abstractNum>
  <w:abstractNum w:abstractNumId="90">
    <w:nsid w:val="5675FF36"/>
    <w:multiLevelType w:val="hybridMultilevel"/>
    <w:lvl w:ilvl="0">
      <w:lvlJc w:val="left"/>
      <w:lvlText w:val="[***]"/>
      <w:numFmt w:val="bullet"/>
      <w:start w:val="1"/>
    </w:lvl>
    <w:lvl w:ilvl="1">
      <w:lvlJc w:val="left"/>
      <w:lvlText w:val="%2."/>
      <w:numFmt w:val="decimal"/>
      <w:start w:val="7"/>
    </w:lvl>
    <w:lvl w:ilvl="2">
      <w:lvlJc w:val="left"/>
      <w:lvlText w:val="-"/>
      <w:numFmt w:val="bullet"/>
      <w:start w:val="1"/>
    </w:lvl>
  </w:abstractNum>
  <w:abstractNum w:abstractNumId="91">
    <w:nsid w:val="3DD15094"/>
    <w:multiLevelType w:val="hybridMultilevel"/>
    <w:lvl w:ilvl="0">
      <w:lvlJc w:val="left"/>
      <w:lvlText w:val="[***]"/>
      <w:numFmt w:val="bullet"/>
      <w:start w:val="1"/>
    </w:lvl>
    <w:lvl w:ilvl="1">
      <w:lvlJc w:val="left"/>
      <w:lvlText w:val="%2."/>
      <w:numFmt w:val="decimal"/>
      <w:start w:val="8"/>
    </w:lvl>
    <w:lvl w:ilvl="2">
      <w:lvlJc w:val="left"/>
      <w:lvlText w:val="-"/>
      <w:numFmt w:val="bullet"/>
      <w:start w:val="1"/>
    </w:lvl>
  </w:abstractNum>
  <w:abstractNum w:abstractNumId="92">
    <w:nsid w:val="3DB012B3"/>
    <w:multiLevelType w:val="hybridMultilevel"/>
    <w:lvl w:ilvl="0">
      <w:lvlJc w:val="left"/>
      <w:lvlText w:val="%1."/>
      <w:numFmt w:val="decimal"/>
      <w:start w:val="9"/>
    </w:lvl>
    <w:lvl w:ilvl="1">
      <w:lvlJc w:val="left"/>
      <w:lvlText w:val="-"/>
      <w:numFmt w:val="bullet"/>
      <w:start w:val="1"/>
    </w:lvl>
  </w:abstractNum>
  <w:abstractNum w:abstractNumId="93">
    <w:nsid w:val="2708C9AF"/>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94">
    <w:nsid w:val="5B25ACE2"/>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95">
    <w:nsid w:val="175DFCF0"/>
    <w:multiLevelType w:val="hybridMultilevel"/>
    <w:lvl w:ilvl="0">
      <w:lvlJc w:val="left"/>
      <w:lvlText w:val="%1."/>
      <w:numFmt w:val="decimal"/>
      <w:start w:val="2"/>
    </w:lvl>
    <w:lvl w:ilvl="1">
      <w:lvlJc w:val="left"/>
      <w:lvlText w:val="-"/>
      <w:numFmt w:val="bullet"/>
      <w:start w:val="1"/>
    </w:lvl>
  </w:abstractNum>
  <w:abstractNum w:abstractNumId="96">
    <w:nsid w:val="4F97E3E4"/>
    <w:multiLevelType w:val="hybridMultilevel"/>
    <w:lvl w:ilvl="0">
      <w:lvlJc w:val="left"/>
      <w:lvlText w:val="%1"/>
      <w:numFmt w:val="upperLetter"/>
      <w:start w:val="1"/>
    </w:lvl>
    <w:lvl w:ilvl="1">
      <w:lvlJc w:val="left"/>
      <w:lvlText w:val="%2."/>
      <w:numFmt w:val="decimal"/>
      <w:start w:val="5"/>
    </w:lvl>
    <w:lvl w:ilvl="2">
      <w:lvlJc w:val="left"/>
      <w:lvlText w:val="-"/>
      <w:numFmt w:val="bullet"/>
      <w:start w:val="1"/>
    </w:lvl>
  </w:abstractNum>
  <w:abstractNum w:abstractNumId="97">
    <w:nsid w:val="53B0A9E"/>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98">
    <w:nsid w:val="34FD6B4F"/>
    <w:multiLevelType w:val="hybridMultilevel"/>
    <w:lvl w:ilvl="0">
      <w:lvlJc w:val="left"/>
      <w:lvlText w:val="%1"/>
      <w:numFmt w:val="upperLetter"/>
      <w:start w:val="1"/>
    </w:lvl>
    <w:lvl w:ilvl="1">
      <w:lvlJc w:val="left"/>
      <w:lvlText w:val="%2."/>
      <w:numFmt w:val="decimal"/>
      <w:start w:val="5"/>
    </w:lvl>
  </w:abstractNum>
  <w:abstractNum w:abstractNumId="99">
    <w:nsid w:val="5915FF32"/>
    <w:multiLevelType w:val="hybridMultilevel"/>
    <w:lvl w:ilvl="0">
      <w:lvlJc w:val="left"/>
      <w:lvlText w:val="%1."/>
      <w:numFmt w:val="upperLetter"/>
      <w:start w:val="5"/>
    </w:lvl>
    <w:lvl w:ilvl="1">
      <w:lvlJc w:val="left"/>
      <w:lvlText w:val="%2."/>
      <w:numFmt w:val="decimal"/>
      <w:start w:val="1"/>
    </w:lvl>
  </w:abstractNum>
  <w:abstractNum w:abstractNumId="100">
    <w:nsid w:val="56438D15"/>
    <w:multiLevelType w:val="hybridMultilevel"/>
    <w:lvl w:ilvl="0">
      <w:lvlJc w:val="left"/>
      <w:lvlText w:val="%1."/>
      <w:numFmt w:val="upperLetter"/>
      <w:start w:val="7"/>
    </w:lvl>
  </w:abstractNum>
  <w:abstractNum w:abstractNumId="101">
    <w:nsid w:val="519E3149"/>
    <w:multiLevelType w:val="hybridMultilevel"/>
    <w:lvl w:ilvl="0">
      <w:lvlJc w:val="left"/>
      <w:lvlText w:val="%1."/>
      <w:numFmt w:val="upperLetter"/>
      <w:start w:val="8"/>
    </w:lvl>
  </w:abstractNum>
  <w:abstractNum w:abstractNumId="102">
    <w:nsid w:val="2C6E4AFD"/>
    <w:multiLevelType w:val="hybridMultilevel"/>
    <w:lvl w:ilvl="0">
      <w:lvlJc w:val="left"/>
      <w:lvlText w:val="%1."/>
      <w:numFmt w:val="upperLetter"/>
      <w:start w:val="9"/>
    </w:lvl>
  </w:abstractNum>
  <w:abstractNum w:abstractNumId="103">
    <w:nsid w:val="17A1B582"/>
    <w:multiLevelType w:val="hybridMultilevel"/>
    <w:lvl w:ilvl="0">
      <w:lvlJc w:val="left"/>
      <w:lvlText w:val="%1."/>
      <w:numFmt w:val="upperLetter"/>
      <w:start w:val="10"/>
    </w:lvl>
  </w:abstractNum>
  <w:abstractNum w:abstractNumId="104">
    <w:nsid w:val="4DF72E4E"/>
    <w:multiLevelType w:val="hybridMultilevel"/>
    <w:lvl w:ilvl="0">
      <w:lvlJc w:val="left"/>
      <w:lvlText w:val="%1."/>
      <w:numFmt w:val="upperLetter"/>
      <w:start w:val="11"/>
    </w:lvl>
  </w:abstractNum>
  <w:abstractNum w:abstractNumId="105">
    <w:nsid w:val="5046B5A9"/>
    <w:multiLevelType w:val="hybridMultilevel"/>
    <w:lvl w:ilvl="0">
      <w:lvlJc w:val="left"/>
      <w:lvlText w:val="%1."/>
      <w:numFmt w:val="upperLetter"/>
      <w:start w:val="12"/>
    </w:lvl>
  </w:abstractNum>
  <w:abstractNum w:abstractNumId="106">
    <w:nsid w:val="5D888A08"/>
    <w:multiLevelType w:val="hybridMultilevel"/>
    <w:lvl w:ilvl="0">
      <w:lvlJc w:val="left"/>
      <w:lvlText w:val="%1."/>
      <w:numFmt w:val="upperLetter"/>
      <w:start w:val="13"/>
    </w:lvl>
  </w:abstractNum>
  <w:abstractNum w:abstractNumId="107">
    <w:nsid w:val="2A082C70"/>
    <w:multiLevelType w:val="hybridMultilevel"/>
    <w:lvl w:ilvl="0">
      <w:lvlJc w:val="left"/>
      <w:lvlText w:val="%1."/>
      <w:numFmt w:val="upperLetter"/>
      <w:start w:val="14"/>
    </w:lvl>
  </w:abstractNum>
  <w:abstractNum w:abstractNumId="108">
    <w:nsid w:val="5EC6AFD4"/>
    <w:multiLevelType w:val="hybridMultilevel"/>
    <w:lvl w:ilvl="0">
      <w:lvlJc w:val="left"/>
      <w:lvlText w:val="%1."/>
      <w:numFmt w:val="decimal"/>
      <w:start w:val="1"/>
    </w:lvl>
    <w:lvl w:ilvl="1">
      <w:lvlJc w:val="left"/>
      <w:lvlText w:val="(%2)"/>
      <w:numFmt w:val="lowerLetter"/>
      <w:start w:val="1"/>
    </w:lvl>
  </w:abstractNum>
  <w:abstractNum w:abstractNumId="109">
    <w:nsid w:val="19E21BB2"/>
    <w:multiLevelType w:val="hybridMultilevel"/>
    <w:lvl w:ilvl="0">
      <w:lvlJc w:val="left"/>
      <w:lvlText w:val="%1"/>
      <w:numFmt w:val="decimal"/>
      <w:start w:val="1"/>
    </w:lvl>
    <w:lvl w:ilvl="1">
      <w:lvlJc w:val="left"/>
      <w:lvlText w:val="(%2)"/>
      <w:numFmt w:val="lowerLetter"/>
      <w:start w:val="3"/>
    </w:lvl>
  </w:abstractNum>
  <w:abstractNum w:abstractNumId="110">
    <w:nsid w:val="75E0858A"/>
    <w:multiLevelType w:val="hybridMultilevel"/>
    <w:lvl w:ilvl="0">
      <w:lvlJc w:val="left"/>
      <w:lvlText w:val="%1."/>
      <w:numFmt w:val="decimal"/>
      <w:start w:val="2"/>
    </w:lvl>
    <w:lvl w:ilvl="1">
      <w:lvlJc w:val="left"/>
      <w:lvlText w:val="(%2)"/>
      <w:numFmt w:val="lowerLetter"/>
      <w:start w:val="1"/>
    </w:lvl>
  </w:abstractNum>
  <w:abstractNum w:abstractNumId="111">
    <w:nsid w:val="57A61A29"/>
    <w:multiLevelType w:val="hybridMultilevel"/>
    <w:lvl w:ilvl="0">
      <w:lvlJc w:val="left"/>
      <w:lvlText w:val="%1"/>
      <w:numFmt w:val="decimal"/>
      <w:start w:val="1"/>
    </w:lvl>
    <w:lvl w:ilvl="1">
      <w:lvlJc w:val="left"/>
      <w:lvlText w:val="(%2)"/>
      <w:numFmt w:val="lowerLetter"/>
      <w:start w:val="2"/>
    </w:lvl>
  </w:abstractNum>
  <w:abstractNum w:abstractNumId="112">
    <w:nsid w:val="5399C654"/>
    <w:multiLevelType w:val="hybridMultilevel"/>
    <w:lvl w:ilvl="0">
      <w:lvlJc w:val="left"/>
      <w:lvlText w:val="%1."/>
      <w:numFmt w:val="decimal"/>
      <w:start w:val="4"/>
    </w:lvl>
    <w:lvl w:ilvl="1">
      <w:lvlJc w:val="left"/>
      <w:lvlText w:val="%2"/>
      <w:numFmt w:val="lowerLetter"/>
      <w:start w:val="1"/>
    </w:lvl>
  </w:abstractNum>
  <w:abstractNum w:abstractNumId="113">
    <w:nsid w:val="20EE1348"/>
    <w:multiLevelType w:val="hybridMultilevel"/>
    <w:lvl w:ilvl="0">
      <w:lvlJc w:val="left"/>
      <w:lvlText w:val="%1."/>
      <w:numFmt w:val="decimal"/>
      <w:start w:val="6"/>
    </w:lvl>
    <w:lvl w:ilvl="1">
      <w:lvlJc w:val="left"/>
      <w:lvlText w:val="(%2)"/>
      <w:numFmt w:val="lowerLetter"/>
      <w:start w:val="1"/>
    </w:lvl>
  </w:abstractNum>
  <w:abstractNum w:abstractNumId="114">
    <w:nsid w:val="4427069A"/>
    <w:multiLevelType w:val="hybridMultilevel"/>
    <w:lvl w:ilvl="0">
      <w:lvlJc w:val="left"/>
      <w:lvlText w:val="(%1)"/>
      <w:numFmt w:val="lowerLetter"/>
      <w:start w:val="3"/>
    </w:lvl>
  </w:abstractNum>
  <w:abstractNum w:abstractNumId="115">
    <w:nsid w:val="B37E80A"/>
    <w:multiLevelType w:val="hybridMultilevel"/>
    <w:lvl w:ilvl="0">
      <w:lvlJc w:val="left"/>
      <w:lvlText w:val="(%1)"/>
      <w:numFmt w:val="lowerLetter"/>
      <w:start w:val="6"/>
    </w:lvl>
  </w:abstractNum>
  <w:abstractNum w:abstractNumId="116">
    <w:nsid w:val="2157F6BC"/>
    <w:multiLevelType w:val="hybridMultilevel"/>
    <w:lvl w:ilvl="0">
      <w:lvlJc w:val="left"/>
      <w:lvlText w:val="%1."/>
      <w:numFmt w:val="decimal"/>
      <w:start w:val="7"/>
    </w:lvl>
    <w:lvl w:ilvl="1">
      <w:lvlJc w:val="left"/>
      <w:lvlText w:val="(%2)"/>
      <w:numFmt w:val="lowerLetter"/>
      <w:start w:val="1"/>
    </w:lvl>
  </w:abstractNum>
  <w:abstractNum w:abstractNumId="117">
    <w:nsid w:val="704E1DD5"/>
    <w:multiLevelType w:val="hybridMultilevel"/>
    <w:lvl w:ilvl="0">
      <w:lvlJc w:val="left"/>
      <w:lvlText w:val="%1"/>
      <w:numFmt w:val="decimal"/>
      <w:start w:val="1"/>
    </w:lvl>
    <w:lvl w:ilvl="1">
      <w:lvlJc w:val="left"/>
      <w:lvlText w:val="(%2)"/>
      <w:numFmt w:val="lowerLetter"/>
      <w:start w:val="6"/>
    </w:lvl>
  </w:abstractNum>
  <w:abstractNum w:abstractNumId="118">
    <w:nsid w:val="57D2F10E"/>
    <w:multiLevelType w:val="hybridMultilevel"/>
    <w:lvl w:ilvl="0">
      <w:lvlJc w:val="left"/>
      <w:lvlText w:val="%1."/>
      <w:numFmt w:val="decimal"/>
      <w:start w:val="8"/>
    </w:lvl>
    <w:lvl w:ilvl="1">
      <w:lvlJc w:val="left"/>
      <w:lvlText w:val="(%2)"/>
      <w:numFmt w:val="lowerLetter"/>
      <w:start w:val="1"/>
    </w:lvl>
  </w:abstractNum>
  <w:abstractNum w:abstractNumId="119">
    <w:nsid w:val="BFFAE18"/>
    <w:multiLevelType w:val="hybridMultilevel"/>
    <w:lvl w:ilvl="0">
      <w:lvlJc w:val="left"/>
      <w:lvlText w:val="%1"/>
      <w:numFmt w:val="decimal"/>
      <w:start w:val="1"/>
    </w:lvl>
    <w:lvl w:ilvl="1">
      <w:lvlJc w:val="left"/>
      <w:lvlText w:val="(%2)"/>
      <w:numFmt w:val="lowerLetter"/>
      <w:start w:val="5"/>
    </w:lvl>
  </w:abstractNum>
  <w:abstractNum w:abstractNumId="120">
    <w:nsid w:val="E3E47A8"/>
    <w:multiLevelType w:val="hybridMultilevel"/>
    <w:lvl w:ilvl="0">
      <w:lvlJc w:val="left"/>
      <w:lvlText w:val="%1."/>
      <w:numFmt w:val="decimal"/>
      <w:start w:val="9"/>
    </w:lvl>
    <w:lvl w:ilvl="1">
      <w:lvlJc w:val="left"/>
      <w:lvlText w:val="(%2)"/>
      <w:numFmt w:val="lowerLetter"/>
      <w:start w:val="1"/>
    </w:lvl>
  </w:abstractNum>
  <w:abstractNum w:abstractNumId="121">
    <w:nsid w:val="2E48F044"/>
    <w:multiLevelType w:val="hybridMultilevel"/>
    <w:lvl w:ilvl="0">
      <w:lvlJc w:val="left"/>
      <w:lvlText w:val="%1."/>
      <w:numFmt w:val="decimal"/>
      <w:start w:val="12"/>
    </w:lvl>
    <w:lvl w:ilvl="1">
      <w:lvlJc w:val="left"/>
      <w:lvlText w:val="(%2)"/>
      <w:numFmt w:val="lowerLetter"/>
      <w:start w:val="1"/>
    </w:lvl>
  </w:abstractNum>
  <w:abstractNum w:abstractNumId="122">
    <w:nsid w:val="49D0FEAC"/>
    <w:multiLevelType w:val="hybridMultilevel"/>
    <w:lvl w:ilvl="0">
      <w:lvlJc w:val="left"/>
      <w:lvlText w:val="%1"/>
      <w:numFmt w:val="decimal"/>
      <w:start w:val="1"/>
    </w:lvl>
    <w:lvl w:ilvl="1">
      <w:lvlJc w:val="left"/>
      <w:lvlText w:val="(%2)"/>
      <w:numFmt w:val="lowerLetter"/>
      <w:start w:val="5"/>
    </w:lvl>
  </w:abstractNum>
  <w:abstractNum w:abstractNumId="123">
    <w:nsid w:val="4BEE5A5B"/>
    <w:multiLevelType w:val="hybridMultilevel"/>
    <w:lvl w:ilvl="0">
      <w:lvlJc w:val="left"/>
      <w:lvlText w:val="%1."/>
      <w:numFmt w:val="decimal"/>
      <w:start w:val="14"/>
    </w:lvl>
    <w:lvl w:ilvl="1">
      <w:lvlJc w:val="left"/>
      <w:lvlText w:val="%2"/>
      <w:numFmt w:val="lowerLetter"/>
      <w:start w:val="1"/>
    </w:lvl>
  </w:abstractNum>
  <w:abstractNum w:abstractNumId="124">
    <w:nsid w:val="5551B9F3"/>
    <w:multiLevelType w:val="hybridMultilevel"/>
    <w:lvl w:ilvl="0">
      <w:lvlJc w:val="left"/>
      <w:lvlText w:val="%1."/>
      <w:numFmt w:val="decimal"/>
      <w:start w:val="17"/>
    </w:lvl>
    <w:lvl w:ilvl="1">
      <w:lvlJc w:val="left"/>
      <w:lvlText w:val="(%2)"/>
      <w:numFmt w:val="lowerLetter"/>
      <w:start w:val="1"/>
    </w:lvl>
  </w:abstractNum>
  <w:abstractNum w:abstractNumId="125">
    <w:nsid w:val="24F6AB8E"/>
    <w:multiLevelType w:val="hybridMultilevel"/>
    <w:lvl w:ilvl="0">
      <w:lvlJc w:val="left"/>
      <w:lvlText w:val="%1."/>
      <w:numFmt w:val="decimal"/>
      <w:start w:val="18"/>
    </w:lvl>
  </w:abstractNum>
  <w:abstractNum w:abstractNumId="126">
    <w:nsid w:val="634C574C"/>
    <w:multiLevelType w:val="hybridMultilevel"/>
    <w:lvl w:ilvl="0">
      <w:lvlJc w:val="left"/>
      <w:lvlText w:val="•"/>
      <w:numFmt w:val="bullet"/>
      <w:start w:val="1"/>
    </w:lvl>
  </w:abstractNum>
  <w:abstractNum w:abstractNumId="127">
    <w:nsid w:val="24E99DD7"/>
    <w:multiLevelType w:val="hybridMultilevel"/>
    <w:lvl w:ilvl="0">
      <w:lvlJc w:val="left"/>
      <w:lvlText w:val="%1."/>
      <w:numFmt w:val="upperLetter"/>
      <w:start w:val="1"/>
    </w:lvl>
  </w:abstractNum>
  <w:abstractNum w:abstractNumId="128">
    <w:nsid w:val="2A31B62D"/>
    <w:multiLevelType w:val="hybridMultilevel"/>
    <w:lvl w:ilvl="0">
      <w:lvlJc w:val="left"/>
      <w:lvlText w:val="%1."/>
      <w:numFmt w:val="upperLetter"/>
      <w:start w:val="2"/>
    </w:lvl>
  </w:abstractNum>
  <w:abstractNum w:abstractNumId="129">
    <w:nsid w:val="1849C29B"/>
    <w:multiLevelType w:val="hybridMultilevel"/>
    <w:lvl w:ilvl="0">
      <w:lvlJc w:val="left"/>
      <w:lvlText w:val="%1."/>
      <w:numFmt w:val="upperLetter"/>
      <w:start w:val="1"/>
    </w:lvl>
  </w:abstractNum>
  <w:abstractNum w:abstractNumId="130">
    <w:nsid w:val="7DFF9D09"/>
    <w:multiLevelType w:val="hybridMultilevel"/>
    <w:lvl w:ilvl="0">
      <w:lvlJc w:val="left"/>
      <w:lvlText w:val="%1."/>
      <w:numFmt w:val="upperLetter"/>
      <w:start w:val="2"/>
    </w:lvl>
  </w:abstractNum>
  <w:abstractNum w:abstractNumId="131">
    <w:nsid w:val="754342"/>
    <w:multiLevelType w:val="hybridMultilevel"/>
    <w:lvl w:ilvl="0">
      <w:lvlJc w:val="left"/>
      <w:lvlText w:val="%1."/>
      <w:numFmt w:val="upperLetter"/>
      <w:start w:val="3"/>
    </w:lvl>
  </w:abstractNum>
  <w:abstractNum w:abstractNumId="132">
    <w:nsid w:val="69E7F3E5"/>
    <w:multiLevelType w:val="hybridMultilevel"/>
    <w:lvl w:ilvl="0">
      <w:lvlJc w:val="left"/>
      <w:lvlText w:val="•"/>
      <w:numFmt w:val="bullet"/>
      <w:start w:val="1"/>
    </w:lvl>
  </w:abstractNum>
  <w:abstractNum w:abstractNumId="133">
    <w:nsid w:val="2A6DE806"/>
    <w:multiLevelType w:val="hybridMultilevel"/>
    <w:lvl w:ilvl="0">
      <w:lvlJc w:val="left"/>
      <w:lvlText w:val="%1."/>
      <w:numFmt w:val="upperLetter"/>
      <w:start w:val="4"/>
    </w:lvl>
  </w:abstractNum>
  <w:abstractNum w:abstractNumId="134">
    <w:nsid w:val="1816F8C4"/>
    <w:multiLevelType w:val="hybridMultilevel"/>
    <w:lvl w:ilvl="0">
      <w:lvlJc w:val="left"/>
      <w:lvlText w:val="•"/>
      <w:numFmt w:val="bullet"/>
      <w:start w:val="1"/>
    </w:lvl>
  </w:abstractNum>
  <w:abstractNum w:abstractNumId="135">
    <w:nsid w:val="37DF2233"/>
    <w:multiLevelType w:val="hybridMultilevel"/>
    <w:lvl w:ilvl="0">
      <w:lvlJc w:val="left"/>
      <w:lvlText w:val="%1."/>
      <w:numFmt w:val="upperLetter"/>
      <w:start w:val="5"/>
    </w:lvl>
  </w:abstractNum>
  <w:abstractNum w:abstractNumId="136">
    <w:nsid w:val="7AB49DAF"/>
    <w:multiLevelType w:val="hybridMultilevel"/>
    <w:lvl w:ilvl="0">
      <w:lvlJc w:val="left"/>
      <w:lvlText w:val="•"/>
      <w:numFmt w:val="bullet"/>
      <w:start w:val="1"/>
    </w:lvl>
  </w:abstractNum>
  <w:abstractNum w:abstractNumId="137">
    <w:nsid w:val="759F82CD"/>
    <w:multiLevelType w:val="hybridMultilevel"/>
    <w:lvl w:ilvl="0">
      <w:lvlJc w:val="left"/>
      <w:lvlText w:val="•"/>
      <w:numFmt w:val="bullet"/>
      <w:start w:val="1"/>
    </w:lvl>
  </w:abstractNum>
  <w:abstractNum w:abstractNumId="138">
    <w:nsid w:val="61E74EA3"/>
    <w:multiLevelType w:val="hybridMultilevel"/>
    <w:lvl w:ilvl="0">
      <w:lvlJc w:val="left"/>
      <w:lvlText w:val="o"/>
      <w:numFmt w:val="bullet"/>
      <w:start w:val="1"/>
    </w:lvl>
  </w:abstractNum>
  <w:abstractNum w:abstractNumId="139">
    <w:nsid w:val="597B4D84"/>
    <w:multiLevelType w:val="hybridMultilevel"/>
    <w:lvl w:ilvl="0">
      <w:lvlJc w:val="left"/>
      <w:lvlText w:val="%1."/>
      <w:numFmt w:val="upperLetter"/>
      <w:start w:val="6"/>
    </w:lvl>
  </w:abstractNum>
  <w:abstractNum w:abstractNumId="140">
    <w:nsid w:val="F819E7F"/>
    <w:multiLevelType w:val="hybridMultilevel"/>
    <w:lvl w:ilvl="0">
      <w:lvlJc w:val="left"/>
      <w:lvlText w:val="%1."/>
      <w:numFmt w:val="upperLetter"/>
      <w:start w:val="7"/>
    </w:lvl>
  </w:abstractNum>
  <w:abstractNum w:abstractNumId="141">
    <w:nsid w:val="57C7D42D"/>
    <w:multiLevelType w:val="hybridMultilevel"/>
    <w:lvl w:ilvl="0">
      <w:lvlJc w:val="left"/>
      <w:lvlText w:val="%1."/>
      <w:numFmt w:val="decimal"/>
      <w:start w:val="16"/>
    </w:lvl>
  </w:abstractNum>
  <w:abstractNum w:abstractNumId="142">
    <w:nsid w:val="312167AD"/>
    <w:multiLevelType w:val="hybridMultilevel"/>
    <w:lvl w:ilvl="0">
      <w:lvlJc w:val="left"/>
      <w:lvlText w:val="%1."/>
      <w:numFmt w:val="upperLetter"/>
      <w:start w:val="1"/>
    </w:lvl>
  </w:abstractNum>
  <w:abstractNum w:abstractNumId="143">
    <w:nsid w:val="631B64D4"/>
    <w:multiLevelType w:val="hybridMultilevel"/>
    <w:lvl w:ilvl="0">
      <w:lvlJc w:val="left"/>
      <w:lvlText w:val="%1."/>
      <w:numFmt w:val="upperLetter"/>
      <w:start w:val="2"/>
    </w:lvl>
  </w:abstractNum>
  <w:abstractNum w:abstractNumId="144">
    <w:nsid w:val="78B5E776"/>
    <w:multiLevelType w:val="hybridMultilevel"/>
    <w:lvl w:ilvl="0">
      <w:lvlJc w:val="left"/>
      <w:lvlText w:val="•"/>
      <w:numFmt w:val="bullet"/>
      <w:start w:val="1"/>
    </w:lvl>
  </w:abstractNum>
  <w:abstractNum w:abstractNumId="145">
    <w:nsid w:val="75486E47"/>
    <w:multiLevelType w:val="hybridMultilevel"/>
    <w:lvl w:ilvl="0">
      <w:lvlJc w:val="left"/>
      <w:lvlText w:val="•"/>
      <w:numFmt w:val="bullet"/>
      <w:start w:val="1"/>
    </w:lvl>
  </w:abstractNum>
  <w:abstractNum w:abstractNumId="146">
    <w:nsid w:val="6E534CDE"/>
    <w:multiLevelType w:val="hybridMultilevel"/>
    <w:lvl w:ilvl="0">
      <w:lvlJc w:val="left"/>
      <w:lvlText w:val="%1."/>
      <w:numFmt w:val="decimal"/>
      <w:start w:val="1"/>
    </w:lvl>
    <w:lvl w:ilvl="1">
      <w:lvlJc w:val="left"/>
      <w:lvlText w:val="(%2)"/>
      <w:numFmt w:val="lowerLetter"/>
      <w:start w:val="1"/>
    </w:lvl>
  </w:abstractNum>
  <w:abstractNum w:abstractNumId="147">
    <w:nsid w:val="1A0DDE32"/>
    <w:multiLevelType w:val="hybridMultilevel"/>
    <w:lvl w:ilvl="0">
      <w:lvlJc w:val="left"/>
      <w:lvlText w:val="%1."/>
      <w:numFmt w:val="decimal"/>
      <w:start w:val="1"/>
    </w:lvl>
    <w:lvl w:ilvl="1">
      <w:lvlJc w:val="left"/>
      <w:lvlText w:val="(%2)"/>
      <w:numFmt w:val="lowerLetter"/>
      <w:start w:val="1"/>
    </w:lvl>
  </w:abstractNum>
  <w:abstractNum w:abstractNumId="148">
    <w:nsid w:val="65968C1C"/>
    <w:multiLevelType w:val="hybridMultilevel"/>
    <w:lvl w:ilvl="0">
      <w:lvlJc w:val="left"/>
      <w:lvlText w:val="(%1)"/>
      <w:numFmt w:val="decimal"/>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0"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jpe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jpe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jpe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98" Type="http://schemas.openxmlformats.org/officeDocument/2006/relationships/hyperlink" Target="https://www.sec.gov/Archives/edgar/data/1368514/000119380519000774/e618626_ex3-1.htm" TargetMode="External"/><Relationship Id="rId99" Type="http://schemas.openxmlformats.org/officeDocument/2006/relationships/hyperlink" Target="https://www.sec.gov/Archives/edgar/data/1368514/000119380521000749/e620651_ex3-1.htm" TargetMode="External"/><Relationship Id="rId101" Type="http://schemas.openxmlformats.org/officeDocument/2006/relationships/hyperlink" Target="https://www.sec.gov/Archives/edgar/data/1368514/000114036124031778/ef20031848_ex3-1.htm" TargetMode="External"/><Relationship Id="rId102" Type="http://schemas.openxmlformats.org/officeDocument/2006/relationships/hyperlink" Target="https://www.sec.gov/Archives/edgar/data/1368514/000114036121042611/brhc10032042_ex3-1.htm" TargetMode="External"/><Relationship Id="rId103" Type="http://schemas.openxmlformats.org/officeDocument/2006/relationships/hyperlink" Target="https://www.sec.gov/Archives/edgar/data/1368514/000119380512000555/e609522_ex4-1.htm" TargetMode="External"/><Relationship Id="rId106" Type="http://schemas.openxmlformats.org/officeDocument/2006/relationships/hyperlink" Target="https://www.sec.gov/Archives/edgar/data/1368514/000114036122011030/brhc10035480_ex4-13.htm" TargetMode="External"/><Relationship Id="rId107" Type="http://schemas.openxmlformats.org/officeDocument/2006/relationships/hyperlink" Target="https://www.sec.gov/Archives/edgar/data/1368514/000114036123022312/brhc20052223_ex4-1.htm" TargetMode="External"/><Relationship Id="rId108" Type="http://schemas.openxmlformats.org/officeDocument/2006/relationships/hyperlink" Target="https://www.sec.gov/Archives/edgar/data/1368514/000114036122011030/brhc10035480_ex4-11.htm" TargetMode="External"/><Relationship Id="rId109" Type="http://schemas.openxmlformats.org/officeDocument/2006/relationships/hyperlink" Target="https://www.sec.gov/Archives/edgar/data/1368514/000119380517001506/e616485_ex10-1.htm" TargetMode="External"/><Relationship Id="rId110" Type="http://schemas.openxmlformats.org/officeDocument/2006/relationships/hyperlink" Target="https://www.sec.gov/Archives/edgar/data/1368514/000114036122023666/brhc10038967_ex10-1.htm" TargetMode="External"/><Relationship Id="rId111" Type="http://schemas.openxmlformats.org/officeDocument/2006/relationships/hyperlink" Target="https://www.sec.gov/Archives/edgar/data/1368514/000119380519000098/e618169_ex10-1.htm" TargetMode="External"/><Relationship Id="rId112" Type="http://schemas.openxmlformats.org/officeDocument/2006/relationships/hyperlink" Target="https://www.sec.gov/Archives/edgar/data/1368514/000114036121033302/brhc10029407_ex10-2.htm" TargetMode="External"/><Relationship Id="rId113" Type="http://schemas.openxmlformats.org/officeDocument/2006/relationships/hyperlink" Target="https://www.sec.gov/Archives/edgar/data/1368514/000114036124017331/ef20025617_ex10-1.htm" TargetMode="External"/><Relationship Id="rId114" Type="http://schemas.openxmlformats.org/officeDocument/2006/relationships/hyperlink" Target="https://www.sec.gov/Archives/edgar/data/1368514/000114036124034440/ef20033085_ex10-1.htm" TargetMode="External"/><Relationship Id="rId115" Type="http://schemas.openxmlformats.org/officeDocument/2006/relationships/hyperlink" Target="https://www.sec.gov/Archives/edgar/data/1368514/000114036124010100/ef20022642_ex10-1.htm" TargetMode="External"/><Relationship Id="rId116" Type="http://schemas.openxmlformats.org/officeDocument/2006/relationships/hyperlink" Target="https://www.sec.gov/Archives/edgar/data/1368514/000119380517001446/e616455_ex10-5.htm" TargetMode="External"/><Relationship Id="rId117" Type="http://schemas.openxmlformats.org/officeDocument/2006/relationships/hyperlink" Target="https://www.sec.gov/Archives/edgar/data/1368514/000119380518001059/e618214_ex10-2.htm" TargetMode="External"/><Relationship Id="rId118" Type="http://schemas.openxmlformats.org/officeDocument/2006/relationships/hyperlink" Target="https://www.sec.gov/Archives/edgar/data/1368514/000119380516003725/e615266_ex10-18.htm" TargetMode="External"/><Relationship Id="rId119" Type="http://schemas.openxmlformats.org/officeDocument/2006/relationships/hyperlink" Target="https://www.sec.gov/Archives/edgar/data/1368514/000119380520000348/e619435_ex10-27.htm" TargetMode="External"/><Relationship Id="rId120" Type="http://schemas.openxmlformats.org/officeDocument/2006/relationships/hyperlink" Target="https://www.sec.gov/Archives/edgar/data/1368514/000114036122040738/brhc10043861_ex10-1.htm" TargetMode="External"/><Relationship Id="rId121" Type="http://schemas.openxmlformats.org/officeDocument/2006/relationships/hyperlink" Target="https://www.sec.gov/Archives/edgar/data/1368514/000119380513000287/e610467_ex10-21.htm" TargetMode="External"/><Relationship Id="rId122" Type="http://schemas.openxmlformats.org/officeDocument/2006/relationships/hyperlink" Target="https://www.sec.gov/Archives/edgar/data/1368514/000119380517001446/e616455_ex10-8.htm" TargetMode="External"/><Relationship Id="rId123" Type="http://schemas.openxmlformats.org/officeDocument/2006/relationships/hyperlink" Target="https://www.sec.gov/Archives/edgar/data/1368514/000114036123058160/ef20016811_ex10-1.htm" TargetMode="External"/><Relationship Id="rId124" Type="http://schemas.openxmlformats.org/officeDocument/2006/relationships/hyperlink" Target="https://www.sec.gov/Archives/edgar/data/1368514/000114036123058160/ef20016811_ex10-2.htm" TargetMode="External"/><Relationship Id="rId125" Type="http://schemas.openxmlformats.org/officeDocument/2006/relationships/hyperlink" Target="https://www.sec.gov/Archives/edgar/data/1368514/000114036124043222/ef20037071_ex16-1.htm" TargetMode="External"/><Relationship Id="rId136" Type="http://schemas.openxmlformats.org/officeDocument/2006/relationships/hyperlink" Target="https://www.sec.gov/Archives/edgar/data/1368514/000114036124010147/ef20015264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2025-03-18T15:31:42Z</dcterms:created>
  <dcterms:modified xsi:type="dcterms:W3CDTF">2025-03-18T15:31:42Z</dcterms:modified>
</cp:coreProperties>
</file>