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Grossman Adam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ADMA BIOLOGICS,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465 STATE ROUTE 17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ADMA BIOLOGICS,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ADMA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200" w:space="61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RAMSEY</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07446</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03/06/2026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F</w:t>
            </w: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56,438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15.39</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2,148,290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03/07/2026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F</w:t>
            </w: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29,513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15.39</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0"/>
              </w:rPr>
              <w:t>2,118,777</w:t>
            </w:r>
            <w:r>
              <w:rPr>
                <w:rFonts w:ascii="Times New Roman" w:cs="Times New Roman" w:eastAsia="Times New Roman" w:hAnsi="Times New Roman"/>
                <w:sz w:val="22"/>
                <w:szCs w:val="22"/>
                <w:color w:val="008000"/>
                <w:w w:val="90"/>
                <w:vertAlign w:val="superscript"/>
              </w:rPr>
              <w:t>(2)(3)(4)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1,143,426</w:t>
            </w:r>
          </w:p>
        </w:tc>
        <w:tc>
          <w:tcPr>
            <w:tcW w:w="300" w:type="dxa"/>
            <w:vAlign w:val="bottom"/>
          </w:tcPr>
          <w:p>
            <w:pPr>
              <w:spacing w:after="0"/>
              <w:rPr>
                <w:sz w:val="21"/>
                <w:szCs w:val="21"/>
                <w:color w:val="auto"/>
              </w:rPr>
            </w:pPr>
          </w:p>
        </w:tc>
        <w:tc>
          <w:tcPr>
            <w:tcW w:w="5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580,957</w:t>
            </w:r>
          </w:p>
        </w:tc>
        <w:tc>
          <w:tcPr>
            <w:tcW w:w="300" w:type="dxa"/>
            <w:vAlign w:val="bottom"/>
          </w:tcPr>
          <w:p>
            <w:pPr>
              <w:spacing w:after="0"/>
              <w:rPr>
                <w:sz w:val="21"/>
                <w:szCs w:val="21"/>
                <w:color w:val="auto"/>
              </w:rPr>
            </w:pPr>
          </w:p>
        </w:tc>
        <w:tc>
          <w:tcPr>
            <w:tcW w:w="5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mandatory tax withholding requirements upon vesting of restricted stock units ("RSUs"). This is not an open market sale of securities.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as of the transaction date, (i) 282,529 unvested RSUs granted on February 9, 2026, vesting quarterly on each annual anniversary of the date of grant over four years, subject to the Reporting Person's continued service as of the applicable vesting date and that will be settled into common stock upon vesting; (ii) 189,017 unvested RSUs out of 252,022 RSUs granted on February 19, 2025, vesting quarterly on each annual anniversary of the date of grant over four years, subject to the Reporting Person's continued service as of the applicable vesting date and that will be settled into common stock upon vesting;</w:t>
      </w:r>
    </w:p>
    <w:p>
      <w:pPr>
        <w:spacing w:after="0" w:line="24"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(iii) 278,864 unvested RSUs out of 557,728 RSUs granted on February 26, 2024, vesting quarterly on each annual anniversary of the date of grant over four years, subject to the Reporting Person's continued service as of the applicable vesting date and that will be settled into common stock upon vesting; (iv) 143,424 unvested RSUs out of 573,695 RSUs granted on March 6, 2023 that will vest quarterly on each annual anniversary of the date of grant, over four years, subject to the Reporting Person's continued service as of the applicable vesting date and that will be settled into common stock upon vesting;</w:t>
      </w:r>
    </w:p>
    <w:p>
      <w:pPr>
        <w:spacing w:after="0" w:line="24"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and (v) 1,224,943 shares of common stock owned by the Reporting Person, which reflects prior purchases and the prior net settlement upon vesting of previously granted RSUs after the withholding of shares to cover applicable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Areth, LLC ("Areth"). The Reporting Person is a control person of Areth.</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Hariden, LLC ("Hariden"). The Reporting Person is the managing member of Hariden.</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Adam S. Grossman,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55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Michael A. Goldstein as</w:t>
      </w:r>
      <w:r>
        <w:rPr>
          <w:sz w:val="20"/>
          <w:szCs w:val="20"/>
          <w:color w:val="auto"/>
        </w:rPr>
        <w:tab/>
      </w:r>
      <w:r>
        <w:rPr>
          <w:rFonts w:ascii="Times New Roman" w:cs="Times New Roman" w:eastAsia="Times New Roman" w:hAnsi="Times New Roman"/>
          <w:sz w:val="17"/>
          <w:szCs w:val="17"/>
          <w:color w:val="0000FF"/>
        </w:rPr>
        <w:t>03/10/2026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14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2517" TargetMode="External"/><Relationship Id="rId14" Type="http://schemas.openxmlformats.org/officeDocument/2006/relationships/hyperlink" Target="http://www.sec.gov/cgi-bin/browse-edgar?action=getcompany&amp;CIK=00013685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2026-03-10T20:02:59Z</dcterms:created>
  <dcterms:modified xsi:type="dcterms:W3CDTF">2026-03-10T20:02:59Z</dcterms:modified>
</cp:coreProperties>
</file>