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180" w:right="1940" w:hanging="172"/>
        <w:spacing w:after="0" w:line="25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220" w:right="1920" w:hanging="212"/>
        <w:spacing w:after="0" w:line="253" w:lineRule="auto"/>
        <w:tabs>
          <w:tab w:leader="none" w:pos="66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Arial" w:cs="Arial" w:eastAsia="Arial" w:hAnsi="Arial"/>
                <w:sz w:val="18"/>
                <w:szCs w:val="18"/>
                <w:color w:val="auto"/>
                <w:w w:val="89"/>
              </w:rPr>
              <w:t>Delaware</w:t>
            </w: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56-2590442</w:t>
            </w:r>
          </w:p>
        </w:tc>
        <w:tc>
          <w:tcPr>
            <w:tcW w:w="8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91"/>
        </w:trPr>
        <w:tc>
          <w:tcPr>
            <w:tcW w:w="720" w:type="dxa"/>
            <w:vAlign w:val="bottom"/>
          </w:tcPr>
          <w:p>
            <w:pPr>
              <w:spacing w:after="0"/>
              <w:rPr>
                <w:sz w:val="24"/>
                <w:szCs w:val="24"/>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465 State Route 17, Ramsey, New Jersey</w:t>
            </w:r>
          </w:p>
        </w:tc>
        <w:tc>
          <w:tcPr>
            <w:tcW w:w="1840" w:type="dxa"/>
            <w:vAlign w:val="bottom"/>
          </w:tcPr>
          <w:p>
            <w:pPr>
              <w:spacing w:after="0"/>
              <w:rPr>
                <w:sz w:val="24"/>
                <w:szCs w:val="24"/>
                <w:color w:val="auto"/>
              </w:rPr>
            </w:pPr>
          </w:p>
        </w:tc>
        <w:tc>
          <w:tcPr>
            <w:tcW w:w="21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07446</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4800" w:type="dxa"/>
            <w:vAlign w:val="bottom"/>
            <w:gridSpan w:val="4"/>
          </w:tcPr>
          <w:p>
            <w:pPr>
              <w:jc w:val="center"/>
              <w:ind w:right="184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(201) 478-5552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1700" w:type="dxa"/>
        <w:tblCellMar>
          <w:top w:w="0" w:type="dxa"/>
          <w:left w:w="0" w:type="dxa"/>
          <w:bottom w:w="0" w:type="dxa"/>
          <w:right w:w="0" w:type="dxa"/>
        </w:tblCellMar>
      </w:tblPr>
      <w:tr>
        <w:trPr>
          <w:trHeight w:val="221"/>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1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20"/>
              <w:spacing w:after="0"/>
              <w:rPr>
                <w:sz w:val="20"/>
                <w:szCs w:val="20"/>
                <w:color w:val="auto"/>
              </w:rPr>
            </w:pPr>
            <w:r>
              <w:rPr>
                <w:rFonts w:ascii="Arial" w:cs="Arial" w:eastAsia="Arial" w:hAnsi="Arial"/>
                <w:sz w:val="18"/>
                <w:szCs w:val="18"/>
                <w:color w:val="auto"/>
                <w:w w:val="94"/>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20"/>
              <w:spacing w:after="0"/>
              <w:rPr>
                <w:sz w:val="20"/>
                <w:szCs w:val="20"/>
                <w:color w:val="auto"/>
              </w:rPr>
            </w:pPr>
            <w:r>
              <w:rPr>
                <w:rFonts w:ascii="Arial" w:cs="Arial" w:eastAsia="Arial" w:hAnsi="Arial"/>
                <w:sz w:val="18"/>
                <w:szCs w:val="18"/>
                <w:color w:val="auto"/>
                <w:w w:val="95"/>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648"/>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660"/>
        <w:spacing w:after="0" w:line="207" w:lineRule="exact"/>
        <w:tabs>
          <w:tab w:leader="none" w:pos="898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4, 2023, there were 224,906,426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88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(Unaudited) and December 31, 2022</w:t>
            </w:r>
          </w:p>
        </w:tc>
        <w:tc>
          <w:tcPr>
            <w:tcW w:w="8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Operations (Unaudited) for the Three and Six Months Ended June 30, 2023 and 2022</w:t>
            </w:r>
          </w:p>
        </w:tc>
        <w:tc>
          <w:tcPr>
            <w:tcW w:w="8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76"/>
        </w:trPr>
        <w:tc>
          <w:tcPr>
            <w:tcW w:w="90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Changes in Stockholders’ Equity (Unaudited) for the Three and Six Months Ended June 30,</w:t>
            </w:r>
          </w:p>
        </w:tc>
        <w:tc>
          <w:tcPr>
            <w:tcW w:w="880" w:type="dxa"/>
            <w:vAlign w:val="bottom"/>
            <w:tcBorders>
              <w:bottom w:val="single" w:sz="8" w:color="CCEEFF"/>
            </w:tcBorders>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79"/>
              </w:rPr>
              <w:t>3</w:t>
            </w:r>
          </w:p>
        </w:tc>
      </w:tr>
      <w:tr>
        <w:trPr>
          <w:trHeight w:val="217"/>
        </w:trPr>
        <w:tc>
          <w:tcPr>
            <w:tcW w:w="900" w:type="dxa"/>
            <w:vAlign w:val="bottom"/>
            <w:shd w:val="clear" w:color="auto" w:fill="CCEEFF"/>
          </w:tcPr>
          <w:p>
            <w:pPr>
              <w:spacing w:after="0"/>
              <w:rPr>
                <w:sz w:val="18"/>
                <w:szCs w:val="18"/>
                <w:color w:val="auto"/>
              </w:rPr>
            </w:pPr>
          </w:p>
        </w:tc>
        <w:tc>
          <w:tcPr>
            <w:tcW w:w="9460" w:type="dxa"/>
            <w:vAlign w:val="bottom"/>
            <w:gridSpan w:val="16"/>
            <w:shd w:val="clear" w:color="auto" w:fill="CCEEFF"/>
          </w:tcPr>
          <w:p>
            <w:pPr>
              <w:spacing w:after="0" w:line="196" w:lineRule="exact"/>
              <w:rPr>
                <w:sz w:val="20"/>
                <w:szCs w:val="20"/>
                <w:color w:val="auto"/>
              </w:rPr>
            </w:pPr>
            <w:r>
              <w:rPr>
                <w:rFonts w:ascii="Arial" w:cs="Arial" w:eastAsia="Arial" w:hAnsi="Arial"/>
                <w:sz w:val="18"/>
                <w:szCs w:val="18"/>
                <w:color w:val="0000EE"/>
              </w:rPr>
              <w:t>2023 and 2022</w:t>
            </w:r>
          </w:p>
        </w:tc>
        <w:tc>
          <w:tcPr>
            <w:tcW w:w="880" w:type="dxa"/>
            <w:vAlign w:val="bottom"/>
            <w:shd w:val="clear" w:color="auto" w:fill="CCEEFF"/>
          </w:tcPr>
          <w:p>
            <w:pPr>
              <w:spacing w:after="0"/>
              <w:rPr>
                <w:sz w:val="18"/>
                <w:szCs w:val="18"/>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 (Unaudited) for the Six Months Ended June 30, 2023 and 2022</w:t>
            </w:r>
          </w:p>
        </w:tc>
        <w:tc>
          <w:tcPr>
            <w:tcW w:w="8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88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36</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10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PART II OTHER INFORMATION</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68</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68</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68</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4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68</w:t>
            </w:r>
          </w:p>
        </w:tc>
      </w:tr>
      <w:tr>
        <w:trPr>
          <w:trHeight w:val="216"/>
        </w:trPr>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9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4"/>
              </w:rPr>
              <w:t>Exhibits.</w:t>
            </w:r>
          </w:p>
        </w:tc>
        <w:tc>
          <w:tcPr>
            <w:tcW w:w="8800" w:type="dxa"/>
            <w:vAlign w:val="bottom"/>
            <w:tcBorders>
              <w:bottom w:val="single" w:sz="8" w:color="CCEEFF"/>
            </w:tcBorders>
            <w:gridSpan w:val="14"/>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68</w:t>
            </w:r>
          </w:p>
        </w:tc>
      </w:tr>
      <w:tr>
        <w:trPr>
          <w:trHeight w:val="216"/>
        </w:trPr>
        <w:tc>
          <w:tcPr>
            <w:tcW w:w="11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5"/>
        </w:trPr>
        <w:tc>
          <w:tcPr>
            <w:tcW w:w="103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880" w:type="dxa"/>
            <w:vAlign w:val="bottom"/>
            <w:shd w:val="clear" w:color="auto" w:fill="CCEEFF"/>
          </w:tcPr>
          <w:p>
            <w:pPr>
              <w:jc w:val="center"/>
              <w:ind w:left="210"/>
              <w:spacing w:after="0" w:line="176" w:lineRule="exact"/>
              <w:rPr>
                <w:sz w:val="20"/>
                <w:szCs w:val="20"/>
                <w:color w:val="auto"/>
              </w:rPr>
            </w:pPr>
            <w:r>
              <w:rPr>
                <w:rFonts w:ascii="Arial" w:cs="Arial" w:eastAsia="Arial" w:hAnsi="Arial"/>
                <w:sz w:val="18"/>
                <w:szCs w:val="18"/>
                <w:color w:val="auto"/>
                <w:w w:val="89"/>
              </w:rPr>
              <w:t>69</w:t>
            </w:r>
          </w:p>
        </w:tc>
      </w:tr>
      <w:tr>
        <w:trPr>
          <w:trHeight w:val="20"/>
        </w:trPr>
        <w:tc>
          <w:tcPr>
            <w:tcW w:w="9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5" w:lineRule="exact"/>
        <w:rPr>
          <w:sz w:val="20"/>
          <w:szCs w:val="20"/>
          <w:color w:val="auto"/>
        </w:rPr>
      </w:pPr>
    </w:p>
    <w:p>
      <w:pPr>
        <w:ind w:right="40" w:firstLine="648"/>
        <w:spacing w:after="0" w:line="267"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which are protected under applicable intellectual property laws and are the property of ADMA Biologics, Inc., or its subsidiaries. Solely for</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(“IG”) products to other comparably run hyperimmune and immune globulin clinical trials;</w:t>
      </w:r>
    </w:p>
    <w:p>
      <w:pPr>
        <w:spacing w:after="0" w:line="170" w:lineRule="exact"/>
        <w:rPr>
          <w:rFonts w:ascii="Arial" w:cs="Arial" w:eastAsia="Arial" w:hAnsi="Arial"/>
          <w:sz w:val="18"/>
          <w:szCs w:val="18"/>
          <w:color w:val="auto"/>
        </w:rPr>
      </w:pPr>
    </w:p>
    <w:p>
      <w:pPr>
        <w:ind w:left="660" w:right="7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positive cash flows and the need for and availability of additional financing;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coronavirus COVID-19 pandemic and other potential pandemics on our business, financial condition, liquidity and results of operations, and our ability to continue operations in the same manner as previously conducted prior to the macroeconomic effects of the COVID-19 pandemic and other potential pandemics;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domestic and global economic conditions including, but not limited to, supply chain constraints, inflationary pressures or performance.</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2022 and in this Quarterly Report on Form 10-Q for the quarter ended June 30, 2023.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00" w:type="dxa"/>
            <w:vAlign w:val="bottom"/>
          </w:tcPr>
          <w:p>
            <w:pPr>
              <w:ind w:left="3700"/>
              <w:spacing w:after="0"/>
              <w:rPr>
                <w:sz w:val="20"/>
                <w:szCs w:val="20"/>
                <w:color w:val="auto"/>
              </w:rPr>
            </w:pPr>
            <w:r>
              <w:rPr>
                <w:rFonts w:ascii="Arial" w:cs="Arial" w:eastAsia="Arial" w:hAnsi="Arial"/>
                <w:sz w:val="18"/>
                <w:szCs w:val="18"/>
                <w:b w:val="1"/>
                <w:bCs w:val="1"/>
                <w:color w:val="auto"/>
              </w:rPr>
              <w:t>ADMA BIOLOGICS, INC. AND SUBSIDIARIES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400" w:type="dxa"/>
            <w:vAlign w:val="bottom"/>
          </w:tcPr>
          <w:p>
            <w:pPr>
              <w:ind w:left="3480"/>
              <w:spacing w:after="0"/>
              <w:rPr>
                <w:sz w:val="20"/>
                <w:szCs w:val="20"/>
                <w:color w:val="auto"/>
              </w:rPr>
            </w:pPr>
            <w:r>
              <w:rPr>
                <w:rFonts w:ascii="Arial" w:cs="Arial" w:eastAsia="Arial" w:hAnsi="Arial"/>
                <w:sz w:val="18"/>
                <w:szCs w:val="18"/>
                <w:b w:val="1"/>
                <w:bCs w:val="1"/>
                <w:color w:val="auto"/>
              </w:rPr>
              <w:t>CONDENSED CONSOLIDATED BALANCE SHEETS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8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62,512,889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86,521,542</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36,731,612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15,505,048</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161,780,063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163,280,047</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5,218,735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5,095,146</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266,243,299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270,401,783</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56,305,620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58,261,481</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1,013,415</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3,529,509</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10,003,826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10,485,447</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6,289,048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4,770,246</w:t>
            </w:r>
          </w:p>
        </w:tc>
        <w:tc>
          <w:tcPr>
            <w:tcW w:w="100" w:type="dxa"/>
            <w:vAlign w:val="bottom"/>
          </w:tcPr>
          <w:p>
            <w:pPr>
              <w:spacing w:after="0"/>
              <w:rPr>
                <w:sz w:val="19"/>
                <w:szCs w:val="19"/>
                <w:color w:val="auto"/>
              </w:rPr>
            </w:pPr>
          </w:p>
        </w:tc>
      </w:tr>
      <w:tr>
        <w:trPr>
          <w:trHeight w:val="25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343,027,042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348,461,881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12,084,529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13,229,390</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28,745,598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24,989,349</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979,536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905,369</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41,952,497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39,266,942</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Senior notes payable, net of discount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140,312,070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142,833,063</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1,833,031</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End of term fee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1,567,139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10,221,914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10,704,176</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449,513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350,454</w:t>
            </w:r>
          </w:p>
        </w:tc>
        <w:tc>
          <w:tcPr>
            <w:tcW w:w="100" w:type="dxa"/>
            <w:vAlign w:val="bottom"/>
          </w:tcPr>
          <w:p>
            <w:pPr>
              <w:spacing w:after="0"/>
              <w:rPr>
                <w:sz w:val="19"/>
                <w:szCs w:val="19"/>
                <w:color w:val="auto"/>
              </w:rPr>
            </w:pP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196,264,747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196,487,666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 voting, $0.0001 par value, 300,000,000 shares authorized, 224,526,748 and 221,816,930 shares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shd w:val="clear" w:color="auto" w:fill="CCEEFF"/>
          </w:tcPr>
          <w:p>
            <w:pPr>
              <w:spacing w:after="0"/>
              <w:rPr>
                <w:sz w:val="20"/>
                <w:szCs w:val="20"/>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637,916,035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629,968,704</w:t>
            </w:r>
          </w:p>
        </w:tc>
        <w:tc>
          <w:tcPr>
            <w:tcW w:w="100" w:type="dxa"/>
            <w:vAlign w:val="bottom"/>
          </w:tcPr>
          <w:p>
            <w:pPr>
              <w:spacing w:after="0"/>
              <w:rPr>
                <w:sz w:val="18"/>
                <w:szCs w:val="18"/>
                <w:color w:val="auto"/>
              </w:rPr>
            </w:pPr>
          </w:p>
        </w:tc>
      </w:tr>
      <w:tr>
        <w:trPr>
          <w:trHeight w:val="223"/>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(491,176,193)</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(478,016,671)</w:t>
            </w:r>
          </w:p>
        </w:tc>
      </w:tr>
      <w:tr>
        <w:trPr>
          <w:trHeight w:val="223"/>
        </w:trPr>
        <w:tc>
          <w:tcPr>
            <w:tcW w:w="8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146,762,295</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151,974,215</w:t>
            </w:r>
          </w:p>
        </w:tc>
        <w:tc>
          <w:tcPr>
            <w:tcW w:w="100" w:type="dxa"/>
            <w:vAlign w:val="bottom"/>
            <w:tcBorders>
              <w:top w:val="single" w:sz="8" w:color="CCEEFF"/>
            </w:tcBorders>
          </w:tcPr>
          <w:p>
            <w:pPr>
              <w:spacing w:after="0"/>
              <w:rPr>
                <w:sz w:val="19"/>
                <w:szCs w:val="19"/>
                <w:color w:val="auto"/>
              </w:rPr>
            </w:pPr>
          </w:p>
        </w:tc>
      </w:tr>
      <w:tr>
        <w:trPr>
          <w:trHeight w:val="25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343,027,042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348,461,881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gridSpan w:val="7"/>
          </w:tcPr>
          <w:p>
            <w:pPr>
              <w:jc w:val="right"/>
              <w:ind w:right="141"/>
              <w:spacing w:after="0"/>
              <w:rPr>
                <w:sz w:val="20"/>
                <w:szCs w:val="20"/>
                <w:color w:val="auto"/>
              </w:rPr>
            </w:pPr>
            <w:r>
              <w:rPr>
                <w:rFonts w:ascii="Arial" w:cs="Arial" w:eastAsia="Arial" w:hAnsi="Arial"/>
                <w:sz w:val="18"/>
                <w:szCs w:val="18"/>
                <w:b w:val="1"/>
                <w:bCs w:val="1"/>
                <w:color w:val="auto"/>
                <w:w w:val="93"/>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5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60,123,191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33,905,007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117,036,725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63,008,100</w:t>
            </w:r>
          </w:p>
        </w:tc>
        <w:tc>
          <w:tcPr>
            <w:tcW w:w="100" w:type="dxa"/>
            <w:vAlign w:val="bottom"/>
            <w:shd w:val="clear" w:color="auto" w:fill="CCEEFF"/>
          </w:tcPr>
          <w:p>
            <w:pPr>
              <w:spacing w:after="0"/>
              <w:rPr>
                <w:sz w:val="18"/>
                <w:szCs w:val="18"/>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43,433,188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26,135,614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83,833,732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51,576,660</w:t>
            </w:r>
          </w:p>
        </w:tc>
        <w:tc>
          <w:tcPr>
            <w:tcW w:w="100" w:type="dxa"/>
            <w:vAlign w:val="bottom"/>
          </w:tcPr>
          <w:p>
            <w:pPr>
              <w:spacing w:after="0"/>
              <w:rPr>
                <w:sz w:val="19"/>
                <w:szCs w:val="19"/>
                <w:color w:val="auto"/>
              </w:rPr>
            </w:pPr>
          </w:p>
        </w:tc>
      </w:tr>
      <w:tr>
        <w:trPr>
          <w:trHeight w:val="223"/>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16,690,003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7,769,393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33,202,993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11,431,440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1,403,260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2,258,611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1,497,497</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Plasma center operating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3,921,486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7,896,075</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178,838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357,676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357,676</w:t>
            </w:r>
          </w:p>
        </w:tc>
        <w:tc>
          <w:tcPr>
            <w:tcW w:w="100" w:type="dxa"/>
            <w:vAlign w:val="bottom"/>
          </w:tcPr>
          <w:p>
            <w:pPr>
              <w:spacing w:after="0"/>
              <w:rPr>
                <w:sz w:val="18"/>
                <w:szCs w:val="18"/>
                <w:color w:val="auto"/>
              </w:rPr>
            </w:pPr>
          </w:p>
        </w:tc>
      </w:tr>
      <w:tr>
        <w:trPr>
          <w:trHeight w:val="22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14,247,558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11,970,422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28,759,214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25,669,997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17,163,080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16,944,132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34,489,388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35,421,245</w:t>
            </w:r>
          </w:p>
        </w:tc>
        <w:tc>
          <w:tcPr>
            <w:tcW w:w="10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(473,077)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(9,174,739)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(1,286,395)</w:t>
            </w:r>
          </w:p>
        </w:tc>
        <w:tc>
          <w:tcPr>
            <w:tcW w:w="1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(23,989,805)</w:t>
            </w:r>
          </w:p>
        </w:tc>
      </w:tr>
      <w:tr>
        <w:trPr>
          <w:trHeight w:val="216"/>
        </w:trPr>
        <w:tc>
          <w:tcPr>
            <w:tcW w:w="5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35,337</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(6,299,107)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(4,573,015)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(12,414,591)</w:t>
            </w:r>
          </w:p>
        </w:tc>
        <w:tc>
          <w:tcPr>
            <w:tcW w:w="1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(7,962,053)</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(6,669,941)</w:t>
            </w: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(12,827)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(39,811)</w:t>
            </w:r>
          </w:p>
        </w:tc>
        <w:tc>
          <w:tcPr>
            <w:tcW w:w="1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(186,301)</w:t>
            </w:r>
          </w:p>
        </w:tc>
      </w:tr>
      <w:tr>
        <w:trPr>
          <w:trHeight w:val="223"/>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expense, net</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(5,897,630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(4,590,167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(11,873,127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(14,782,958</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16"/>
        </w:trPr>
        <w:tc>
          <w:tcPr>
            <w:tcW w:w="55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7"/>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(6,370,707)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9"/>
              </w:rPr>
              <w:t>(13,764,906)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(13,159,522)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(38,772,763)</w:t>
            </w:r>
          </w:p>
        </w:tc>
      </w:tr>
      <w:tr>
        <w:trPr>
          <w:trHeight w:val="210"/>
        </w:trPr>
        <w:tc>
          <w:tcPr>
            <w:tcW w:w="5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(0.20)</w:t>
            </w:r>
          </w:p>
        </w:tc>
      </w:tr>
      <w:tr>
        <w:trPr>
          <w:trHeight w:val="210"/>
        </w:trPr>
        <w:tc>
          <w:tcPr>
            <w:tcW w:w="5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222,683,393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196,353,185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222,304,676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196,113,888</w:t>
            </w:r>
          </w:p>
        </w:tc>
        <w:tc>
          <w:tcPr>
            <w:tcW w:w="100" w:type="dxa"/>
            <w:vAlign w:val="bottom"/>
          </w:tcPr>
          <w:p>
            <w:pPr>
              <w:spacing w:after="0"/>
              <w:rPr>
                <w:sz w:val="18"/>
                <w:szCs w:val="18"/>
                <w:color w:val="auto"/>
              </w:rPr>
            </w:pPr>
          </w:p>
        </w:tc>
      </w:tr>
      <w:tr>
        <w:trPr>
          <w:trHeight w:val="21"/>
        </w:trPr>
        <w:tc>
          <w:tcPr>
            <w:tcW w:w="5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2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5"/>
            <w:vMerge w:val="restart"/>
          </w:tcPr>
          <w:p>
            <w:pPr>
              <w:jc w:val="right"/>
              <w:ind w:right="7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25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Paid-in</w:t>
            </w:r>
          </w:p>
        </w:tc>
        <w:tc>
          <w:tcPr>
            <w:tcW w:w="8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221,816,930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629,968,704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(478,016,671)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151,974,215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1,110,166</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1,110,166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443,215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(640,990)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(640,946)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2,443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(6,788,815)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(6,788,815)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1120" w:type="dxa"/>
            <w:vAlign w:val="bottom"/>
          </w:tcPr>
          <w:p>
            <w:pPr>
              <w:jc w:val="right"/>
              <w:spacing w:after="0"/>
              <w:rPr>
                <w:sz w:val="20"/>
                <w:szCs w:val="20"/>
                <w:color w:val="auto"/>
              </w:rPr>
            </w:pPr>
            <w:r>
              <w:rPr>
                <w:rFonts w:ascii="Arial" w:cs="Arial" w:eastAsia="Arial" w:hAnsi="Arial"/>
                <w:sz w:val="18"/>
                <w:szCs w:val="18"/>
                <w:color w:val="auto"/>
              </w:rPr>
              <w:t>222,262,588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630,437,880</w:t>
            </w:r>
          </w:p>
        </w:tc>
        <w:tc>
          <w:tcPr>
            <w:tcW w:w="140" w:type="dxa"/>
            <w:vAlign w:val="bottom"/>
          </w:tcPr>
          <w:p>
            <w:pPr>
              <w:spacing w:after="0"/>
              <w:rPr>
                <w:sz w:val="18"/>
                <w:szCs w:val="18"/>
                <w:color w:val="auto"/>
              </w:rPr>
            </w:pPr>
          </w:p>
        </w:tc>
        <w:tc>
          <w:tcPr>
            <w:tcW w:w="1420" w:type="dxa"/>
            <w:vAlign w:val="bottom"/>
            <w:gridSpan w:val="3"/>
          </w:tcPr>
          <w:p>
            <w:pPr>
              <w:jc w:val="right"/>
              <w:ind w:right="81"/>
              <w:spacing w:after="0"/>
              <w:rPr>
                <w:sz w:val="20"/>
                <w:szCs w:val="20"/>
                <w:color w:val="auto"/>
              </w:rPr>
            </w:pPr>
            <w:r>
              <w:rPr>
                <w:rFonts w:ascii="Arial" w:cs="Arial" w:eastAsia="Arial" w:hAnsi="Arial"/>
                <w:sz w:val="18"/>
                <w:szCs w:val="18"/>
                <w:color w:val="auto"/>
              </w:rPr>
              <w:t>(484,805,486)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145,654,620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1,637,038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taxes</w:t>
            </w:r>
          </w:p>
        </w:tc>
        <w:tc>
          <w:tcPr>
            <w:tcW w:w="1120" w:type="dxa"/>
            <w:vAlign w:val="bottom"/>
          </w:tcPr>
          <w:p>
            <w:pPr>
              <w:jc w:val="right"/>
              <w:spacing w:after="0"/>
              <w:rPr>
                <w:sz w:val="20"/>
                <w:szCs w:val="20"/>
                <w:color w:val="auto"/>
              </w:rPr>
            </w:pPr>
            <w:r>
              <w:rPr>
                <w:rFonts w:ascii="Arial" w:cs="Arial" w:eastAsia="Arial" w:hAnsi="Arial"/>
                <w:sz w:val="18"/>
                <w:szCs w:val="18"/>
                <w:color w:val="auto"/>
              </w:rPr>
              <w:t>117,484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(224,978)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(224,966)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5,594,764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Cashless exercise of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1,967,847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3"/>
          </w:tcPr>
          <w:p>
            <w:pPr>
              <w:jc w:val="right"/>
              <w:ind w:right="81"/>
              <w:spacing w:after="0"/>
              <w:rPr>
                <w:sz w:val="20"/>
                <w:szCs w:val="20"/>
                <w:color w:val="auto"/>
              </w:rPr>
            </w:pPr>
            <w:r>
              <w:rPr>
                <w:rFonts w:ascii="Arial" w:cs="Arial" w:eastAsia="Arial" w:hAnsi="Arial"/>
                <w:sz w:val="18"/>
                <w:szCs w:val="18"/>
                <w:color w:val="auto"/>
              </w:rPr>
              <w:t>(6,370,707)</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(6,370,707)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224,526,748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637,916,035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(491,176,193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146,762,295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8580" w:type="dxa"/>
            <w:vAlign w:val="bottom"/>
            <w:tcBorders>
              <w:bottom w:val="single" w:sz="8" w:color="auto"/>
            </w:tcBorders>
            <w:gridSpan w:val="10"/>
          </w:tcPr>
          <w:p>
            <w:pPr>
              <w:ind w:left="3640"/>
              <w:spacing w:after="0"/>
              <w:rPr>
                <w:sz w:val="20"/>
                <w:szCs w:val="20"/>
                <w:color w:val="auto"/>
              </w:rPr>
            </w:pPr>
            <w:r>
              <w:rPr>
                <w:rFonts w:ascii="Arial" w:cs="Arial" w:eastAsia="Arial" w:hAnsi="Arial"/>
                <w:sz w:val="18"/>
                <w:szCs w:val="18"/>
                <w:b w:val="1"/>
                <w:bCs w:val="1"/>
                <w:color w:val="auto"/>
              </w:rPr>
              <w:t>For the Three and Six Months Ended June 30, 2022</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580" w:type="dxa"/>
            <w:vAlign w:val="bottom"/>
            <w:gridSpan w:val="5"/>
            <w:vMerge w:val="restart"/>
          </w:tcPr>
          <w:p>
            <w:pPr>
              <w:jc w:val="right"/>
              <w:ind w:right="7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25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Paid-in</w:t>
            </w:r>
          </w:p>
        </w:tc>
        <w:tc>
          <w:tcPr>
            <w:tcW w:w="8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195,813,817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553,265,706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(412,112,721)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141,172,566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Warrants issued in connection with notes payable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9,569,604</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9,569,604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1,641,388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taxes and retired</w:t>
            </w:r>
          </w:p>
        </w:tc>
        <w:tc>
          <w:tcPr>
            <w:tcW w:w="1120" w:type="dxa"/>
            <w:vAlign w:val="bottom"/>
          </w:tcPr>
          <w:p>
            <w:pPr>
              <w:jc w:val="right"/>
              <w:spacing w:after="0"/>
              <w:rPr>
                <w:sz w:val="20"/>
                <w:szCs w:val="20"/>
                <w:color w:val="auto"/>
              </w:rPr>
            </w:pPr>
            <w:r>
              <w:rPr>
                <w:rFonts w:ascii="Arial" w:cs="Arial" w:eastAsia="Arial" w:hAnsi="Arial"/>
                <w:sz w:val="18"/>
                <w:szCs w:val="18"/>
                <w:color w:val="auto"/>
              </w:rPr>
              <w:t>533,712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(442,690)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(442,636)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(25,007,857)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(25,007,857)</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196,347,529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564,034,008</w:t>
            </w:r>
          </w:p>
        </w:tc>
        <w:tc>
          <w:tcPr>
            <w:tcW w:w="140" w:type="dxa"/>
            <w:vAlign w:val="bottom"/>
          </w:tcPr>
          <w:p>
            <w:pPr>
              <w:spacing w:after="0"/>
              <w:rPr>
                <w:sz w:val="18"/>
                <w:szCs w:val="18"/>
                <w:color w:val="auto"/>
              </w:rPr>
            </w:pPr>
          </w:p>
        </w:tc>
        <w:tc>
          <w:tcPr>
            <w:tcW w:w="1420" w:type="dxa"/>
            <w:vAlign w:val="bottom"/>
            <w:gridSpan w:val="3"/>
          </w:tcPr>
          <w:p>
            <w:pPr>
              <w:jc w:val="right"/>
              <w:ind w:right="81"/>
              <w:spacing w:after="0"/>
              <w:rPr>
                <w:sz w:val="20"/>
                <w:szCs w:val="20"/>
                <w:color w:val="auto"/>
              </w:rPr>
            </w:pPr>
            <w:r>
              <w:rPr>
                <w:rFonts w:ascii="Arial" w:cs="Arial" w:eastAsia="Arial" w:hAnsi="Arial"/>
                <w:sz w:val="18"/>
                <w:szCs w:val="18"/>
                <w:color w:val="auto"/>
              </w:rPr>
              <w:t>(437,120,578)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126,933,065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taxes and retired</w:t>
            </w:r>
          </w:p>
        </w:tc>
        <w:tc>
          <w:tcPr>
            <w:tcW w:w="1120" w:type="dxa"/>
            <w:vAlign w:val="bottom"/>
          </w:tcPr>
          <w:p>
            <w:pPr>
              <w:jc w:val="right"/>
              <w:spacing w:after="0"/>
              <w:rPr>
                <w:sz w:val="20"/>
                <w:szCs w:val="20"/>
                <w:color w:val="auto"/>
              </w:rPr>
            </w:pPr>
            <w:r>
              <w:rPr>
                <w:rFonts w:ascii="Arial" w:cs="Arial" w:eastAsia="Arial" w:hAnsi="Arial"/>
                <w:sz w:val="18"/>
                <w:szCs w:val="18"/>
                <w:color w:val="auto"/>
              </w:rPr>
              <w:t>8,703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41,320</w:t>
            </w: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(13,764,906)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(13,764,906)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196,356,232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19,636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565,266,375</w:t>
            </w:r>
          </w:p>
        </w:tc>
        <w:tc>
          <w:tcPr>
            <w:tcW w:w="140" w:type="dxa"/>
            <w:vAlign w:val="bottom"/>
          </w:tcPr>
          <w:p>
            <w:pPr>
              <w:spacing w:after="0"/>
              <w:rPr>
                <w:sz w:val="18"/>
                <w:szCs w:val="18"/>
                <w:color w:val="auto"/>
              </w:rPr>
            </w:pPr>
          </w:p>
        </w:tc>
        <w:tc>
          <w:tcPr>
            <w:tcW w:w="1420" w:type="dxa"/>
            <w:vAlign w:val="bottom"/>
            <w:gridSpan w:val="3"/>
          </w:tcPr>
          <w:p>
            <w:pPr>
              <w:jc w:val="right"/>
              <w:ind w:right="81"/>
              <w:spacing w:after="0"/>
              <w:rPr>
                <w:sz w:val="20"/>
                <w:szCs w:val="20"/>
                <w:color w:val="auto"/>
              </w:rPr>
            </w:pPr>
            <w:r>
              <w:rPr>
                <w:rFonts w:ascii="Arial" w:cs="Arial" w:eastAsia="Arial" w:hAnsi="Arial"/>
                <w:sz w:val="18"/>
                <w:szCs w:val="18"/>
                <w:color w:val="auto"/>
                <w:w w:val="97"/>
              </w:rPr>
              <w:t>$ (450,885,484)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114,400,527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8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(13,159,522)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(38,772,763)</w:t>
            </w: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4,130,542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3,314,500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Loss on disposal of fixed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in kind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1,045,660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2,747,204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2,832,435</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927,061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6,669,941</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license revenue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(71,417)</w:t>
            </w: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(21,226,562)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9,693,011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1,499,984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(21,351,368)</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(1,060,683)</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Deposits and other assets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(1,037,181)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684,777</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(1,144,862)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(1,041,361)</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4,738,377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(1,461,621)</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(293,009)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(254,991)</w:t>
            </w:r>
          </w:p>
        </w:tc>
      </w:tr>
      <w:tr>
        <w:trPr>
          <w:trHeight w:val="27"/>
        </w:trPr>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(20,781,030)</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(38,844,181)</w:t>
            </w:r>
          </w:p>
        </w:tc>
      </w:tr>
      <w:tr>
        <w:trPr>
          <w:trHeight w:val="216"/>
        </w:trPr>
        <w:tc>
          <w:tcPr>
            <w:tcW w:w="8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(2,817,229)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(6,782,169)</w:t>
            </w:r>
          </w:p>
        </w:tc>
      </w:tr>
      <w:tr>
        <w:trPr>
          <w:trHeight w:val="27"/>
        </w:trPr>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(2,817,229)</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(6,782,169)</w:t>
            </w:r>
          </w:p>
        </w:tc>
      </w:tr>
      <w:tr>
        <w:trPr>
          <w:trHeight w:val="216"/>
        </w:trPr>
        <w:tc>
          <w:tcPr>
            <w:tcW w:w="8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(100,000,000)</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Payment of debt refinancing fees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(2,000,000)</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note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151,750,000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Taxes paid on vested Restricted Stock Units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(865,912)</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(401,315)</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(18,034)</w:t>
            </w:r>
          </w:p>
        </w:tc>
      </w:tr>
      <w:tr>
        <w:trPr>
          <w:trHeight w:val="216"/>
        </w:trPr>
        <w:tc>
          <w:tcPr>
            <w:tcW w:w="8660" w:type="dxa"/>
            <w:vAlign w:val="bottom"/>
          </w:tcPr>
          <w:p>
            <w:pPr>
              <w:ind w:left="320"/>
              <w:spacing w:after="0"/>
              <w:rPr>
                <w:sz w:val="20"/>
                <w:szCs w:val="20"/>
                <w:color w:val="auto"/>
              </w:rPr>
            </w:pPr>
            <w:r>
              <w:rPr>
                <w:rFonts w:ascii="Arial" w:cs="Arial" w:eastAsia="Arial" w:hAnsi="Arial"/>
                <w:sz w:val="18"/>
                <w:szCs w:val="18"/>
                <w:color w:val="auto"/>
              </w:rPr>
              <w:t>Proceeds from the exercise of stock options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471,546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deferred financing fees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(2,378,366)</w:t>
            </w:r>
          </w:p>
        </w:tc>
      </w:tr>
      <w:tr>
        <w:trPr>
          <w:trHeight w:val="27"/>
        </w:trPr>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(410,394)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46,952,285</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(24,008,653)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1,325,935</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86,521,542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51,089,118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62,512,889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52,415,053</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60" w:firstLine="608"/>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08"/>
        <w:spacing w:after="0" w:line="272"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of BTBU, including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located throughout the U.S., nine of which hold an approved license with the FDA.</w:t>
      </w:r>
    </w:p>
    <w:p>
      <w:pPr>
        <w:spacing w:after="0" w:line="177" w:lineRule="exact"/>
        <w:rPr>
          <w:sz w:val="20"/>
          <w:szCs w:val="20"/>
          <w:color w:val="auto"/>
        </w:rPr>
      </w:pPr>
    </w:p>
    <w:p>
      <w:pPr>
        <w:ind w:firstLine="608"/>
        <w:spacing w:after="0" w:line="253" w:lineRule="auto"/>
        <w:rPr>
          <w:sz w:val="20"/>
          <w:szCs w:val="20"/>
          <w:color w:val="auto"/>
        </w:rPr>
      </w:pPr>
      <w:r>
        <w:rPr>
          <w:rFonts w:ascii="Arial" w:cs="Arial" w:eastAsia="Arial" w:hAnsi="Arial"/>
          <w:sz w:val="18"/>
          <w:szCs w:val="18"/>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9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of June 30, 2023, the Company had working capital of $224.3 million, including $62.5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will be sufficient to fund ADMA’s operations, as currently conducted, through the end of the third quarter of 2024, by which time the Company believes it will have been generating positive cash flow from operations. These estimates may change based upon several factors, including the success of the Company’s commercial efforts with respect to the sale of its products, whether or not the assumptions underlying the Company’s projected revenues and expenses are correct and the continued acceptability of ADMA’s immune globulin products by physicians, patients or payers. There can be no assurance that the Company’s approved products will be commercially viable, or that plant capacity expansion or other capital improvements will be successfully completed or that any product developed in the future will be approved. The Company is subject to risks common to companies in the biologics,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spacing w:after="0" w:line="16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ADMA continues to evaluate a variety of strategic alternatives. While the exploration of value-creating opportunities remains a top corporate priority for the Company, ADMA has terminated its financial advisory agreement with Morgan Stanley.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notes thereto as of and for the year ended December 31, 2022 included in the Company’s Annual Report on Form 10-K filed with the U.S. Securities and Exchange Commission (the “SEC”) on March 23, 2023. The accompanying consolidated balance sheet as of December 31, 2022 was derived from the audited financial statements as of and for the year ended December 31, 2022.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2023, its results of operations and changes in stockholders’ equity for the three and six months ended June 30, 2023 and its cash flows for the six months ended June 30, 2023 and 2022.</w:t>
      </w:r>
    </w:p>
    <w:p>
      <w:pPr>
        <w:spacing w:after="0" w:line="16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three and six months ended June 30, 2023 and 2022,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Accounts receivable is reported at realizable value, net of allowances for contractual credits and doubtful accounts in the amount of $0.2 million and $0.1 million at June 30, 2023 and December 31, 2022, respectively, which are recognized in the period the related revenue is recorded. </w:t>
      </w:r>
      <w:r>
        <w:rPr>
          <w:rFonts w:ascii="Arial" w:cs="Arial" w:eastAsia="Arial" w:hAnsi="Arial"/>
          <w:sz w:val="17"/>
          <w:szCs w:val="17"/>
          <w:color w:val="212529"/>
        </w:rPr>
        <w:t>The Company</w:t>
      </w:r>
      <w:r>
        <w:rPr>
          <w:rFonts w:ascii="Arial" w:cs="Arial" w:eastAsia="Arial" w:hAnsi="Arial"/>
          <w:sz w:val="17"/>
          <w:szCs w:val="17"/>
          <w:color w:val="auto"/>
        </w:rPr>
        <w:t xml:space="preserve"> </w:t>
      </w:r>
      <w:r>
        <w:rPr>
          <w:rFonts w:ascii="Arial" w:cs="Arial" w:eastAsia="Arial" w:hAnsi="Arial"/>
          <w:sz w:val="17"/>
          <w:szCs w:val="17"/>
          <w:color w:val="212529"/>
        </w:rPr>
        <w:t xml:space="preserve">extends credit to its customers based upon an evaluation of each customer’s financial condition and credit history. Evaluations of the financial condition, payment history and associated credit risk of customers are performed on an ongoing basis. </w:t>
      </w:r>
      <w:r>
        <w:rPr>
          <w:rFonts w:ascii="Arial" w:cs="Arial" w:eastAsia="Arial" w:hAnsi="Arial"/>
          <w:sz w:val="17"/>
          <w:szCs w:val="17"/>
          <w:color w:val="000000"/>
        </w:rPr>
        <w:t>Based on these evaluations, the Company has concluded that its</w:t>
      </w:r>
      <w:r>
        <w:rPr>
          <w:rFonts w:ascii="Arial" w:cs="Arial" w:eastAsia="Arial" w:hAnsi="Arial"/>
          <w:sz w:val="17"/>
          <w:szCs w:val="17"/>
          <w:color w:val="212529"/>
        </w:rPr>
        <w:t xml:space="preserve"> </w:t>
      </w:r>
      <w:r>
        <w:rPr>
          <w:rFonts w:ascii="Arial" w:cs="Arial" w:eastAsia="Arial" w:hAnsi="Arial"/>
          <w:sz w:val="17"/>
          <w:szCs w:val="17"/>
          <w:color w:val="000000"/>
        </w:rPr>
        <w:t>credit risk is minimal. At June 30, 2023, three customers accounted for an aggregate of 94% of the Company’s total accounts receivable, and at December 31, 2022, two customers accounted for approximately 92% of the Company’s total accounts receivable.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60" w:firstLine="608"/>
        <w:spacing w:after="0" w:line="273" w:lineRule="auto"/>
        <w:rPr>
          <w:sz w:val="20"/>
          <w:szCs w:val="20"/>
          <w:color w:val="auto"/>
        </w:rPr>
      </w:pPr>
      <w:r>
        <w:rPr>
          <w:rFonts w:ascii="Arial" w:cs="Arial" w:eastAsia="Arial" w:hAnsi="Arial"/>
          <w:sz w:val="17"/>
          <w:szCs w:val="17"/>
          <w:color w:val="auto"/>
        </w:rPr>
        <w:t>Raw materials inventory consists of various materials purchased from suppliers, including normal source plasma and Respiratory Syncytial Virus (“RSV”)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78" w:lineRule="exact"/>
        <w:rPr>
          <w:sz w:val="20"/>
          <w:szCs w:val="20"/>
          <w:color w:val="auto"/>
        </w:rPr>
      </w:pPr>
    </w:p>
    <w:p>
      <w:pPr>
        <w:ind w:right="40" w:firstLine="608"/>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June 30, 2023 and December 31, 2022 was $3.5 million. All of the Company’s goodwill is attributable to its ADMA BioManufacturing business segment and is related to the Biotest Transaction.</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2022 did not result in a goodwill impairment charge, and the Company did not record any impairment charges related to goodwill for the three and six months ended June 30, 2023 and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six months ended June 30, 2023 and 2022, the Company determined that there was no impairment of its long-lived assets.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Revenues for the three and six months ended June 30, 2023 and 2022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For the six months ended June 30, 2023, two customers represented an aggregate of 68% of the Company’s consolidated revenues. For the six months ended June 30, 2022, two customers represented an aggregate of 73% of the Company’s consolidated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as well as Restricted Stock Units (“RSUs”).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For the six months ended June 30, 2023 and 2022, the following securities were excluded from the calculation of diluted loss per common share because of their anti-dilutive effects: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For the Six Months Ended June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5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7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9,641,312</w:t>
            </w:r>
          </w:p>
        </w:tc>
        <w:tc>
          <w:tcPr>
            <w:tcW w:w="2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4,818,649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4,742,383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47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12,502,906</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13,556,898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26,962,867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26,803,460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720" w:type="dxa"/>
            <w:vAlign w:val="bottom"/>
            <w:vMerge w:val="restart"/>
          </w:tcPr>
          <w:p>
            <w:pPr>
              <w:jc w:val="right"/>
              <w:ind w:right="2576"/>
              <w:spacing w:after="0"/>
              <w:rPr>
                <w:sz w:val="20"/>
                <w:szCs w:val="20"/>
                <w:color w:val="auto"/>
              </w:rPr>
            </w:pPr>
            <w:r>
              <w:rPr>
                <w:rFonts w:ascii="Arial" w:cs="Arial" w:eastAsia="Arial" w:hAnsi="Arial"/>
                <w:sz w:val="14"/>
                <w:szCs w:val="14"/>
                <w:color w:val="auto"/>
              </w:rPr>
              <w:t>8</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6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0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generally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the Company has elected not to establish a forfeiture rate, as stock-based compensation expense related to forfeitures of unvested stock options is fully reversed at the time of forfeiture.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2018 and for previous periods as it relates to the Company’s net operating loss carryforwards.</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June 30, 2023 and December 31, 2022, and during the six months ended June 30, 2023 and 2022 the Company recognized no adjustments for uncertain tax positions.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20" w:type="dxa"/>
            <w:vAlign w:val="bottom"/>
            <w:gridSpan w:val="2"/>
          </w:tcPr>
          <w:p>
            <w:pPr>
              <w:ind w:left="3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r>
      <w:tr>
        <w:trPr>
          <w:trHeight w:val="241"/>
        </w:trPr>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49,999,565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48,644,527</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59,438,404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56,170,853</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52,342,094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58,464,667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161,780,063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163,280,047</w:t>
            </w:r>
          </w:p>
        </w:tc>
        <w:tc>
          <w:tcPr>
            <w:tcW w:w="10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w:t>
      </w:r>
    </w:p>
    <w:p>
      <w:pPr>
        <w:spacing w:after="0" w:line="23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June 30, 2023 and December 31, 2022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Net</w:t>
            </w: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4,100,046</w:t>
            </w: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3,563,135</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536,911</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3,270,276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829,770</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788,592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118,829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723,776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183,645</w:t>
            </w:r>
          </w:p>
        </w:tc>
      </w:tr>
      <w:tr>
        <w:trPr>
          <w:trHeight w:val="257"/>
        </w:trPr>
        <w:tc>
          <w:tcPr>
            <w:tcW w:w="3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4,351,727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655,740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1,013,415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was $0.2 million for the three months ended June 30, 2023 and 2022, and $0.4 million for the six months ended June 30, 2023 and 2022. Estimated future aggregate amortization expense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357,676</w:t>
            </w:r>
          </w:p>
        </w:tc>
        <w:tc>
          <w:tcPr>
            <w:tcW w:w="100" w:type="dxa"/>
            <w:vAlign w:val="bottom"/>
            <w:shd w:val="clear" w:color="auto" w:fill="CCEEFF"/>
          </w:tcPr>
          <w:p>
            <w:pPr>
              <w:spacing w:after="0"/>
              <w:rPr>
                <w:sz w:val="18"/>
                <w:szCs w:val="18"/>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2024</w:t>
            </w:r>
          </w:p>
        </w:tc>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298,064</w:t>
            </w:r>
          </w:p>
        </w:tc>
        <w:tc>
          <w:tcPr>
            <w:tcW w:w="100" w:type="dxa"/>
            <w:vAlign w:val="bottom"/>
          </w:tcPr>
          <w:p>
            <w:pPr>
              <w:spacing w:after="0"/>
              <w:rPr>
                <w:sz w:val="20"/>
                <w:szCs w:val="20"/>
                <w:color w:val="auto"/>
              </w:rPr>
            </w:pPr>
          </w:p>
        </w:tc>
      </w:tr>
      <w:tr>
        <w:trPr>
          <w:trHeight w:val="377"/>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00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2023</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2022</w:t>
            </w: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19,882,071</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18,767,807</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5,939,060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5,318,669</w:t>
            </w:r>
          </w:p>
        </w:tc>
        <w:tc>
          <w:tcPr>
            <w:tcW w:w="10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5,686,470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5,109,898</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3,001,429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6,726,995</w:t>
            </w:r>
          </w:p>
        </w:tc>
        <w:tc>
          <w:tcPr>
            <w:tcW w:w="10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20,804,547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17,930,905</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4,339,441</w:t>
            </w:r>
          </w:p>
        </w:tc>
        <w:tc>
          <w:tcPr>
            <w:tcW w:w="100" w:type="dxa"/>
            <w:vAlign w:val="bottom"/>
          </w:tcPr>
          <w:p>
            <w:pPr>
              <w:spacing w:after="0"/>
              <w:rPr>
                <w:sz w:val="18"/>
                <w:szCs w:val="18"/>
                <w:color w:val="auto"/>
              </w:rPr>
            </w:pPr>
          </w:p>
        </w:tc>
      </w:tr>
      <w:tr>
        <w:trPr>
          <w:trHeight w:val="223"/>
        </w:trPr>
        <w:tc>
          <w:tcPr>
            <w:tcW w:w="8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19,856,505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79,509,523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77,738,022</w:t>
            </w:r>
          </w:p>
        </w:tc>
        <w:tc>
          <w:tcPr>
            <w:tcW w:w="100" w:type="dxa"/>
            <w:vAlign w:val="bottom"/>
          </w:tcPr>
          <w:p>
            <w:pPr>
              <w:spacing w:after="0"/>
              <w:rPr>
                <w:sz w:val="18"/>
                <w:szCs w:val="18"/>
                <w:color w:val="auto"/>
              </w:rPr>
            </w:pPr>
          </w:p>
        </w:tc>
      </w:tr>
      <w:tr>
        <w:trPr>
          <w:trHeight w:val="223"/>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(23,203,903)</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(19,476,541)</w:t>
            </w:r>
          </w:p>
        </w:tc>
      </w:tr>
      <w:tr>
        <w:trPr>
          <w:trHeight w:val="216"/>
        </w:trPr>
        <w:tc>
          <w:tcPr>
            <w:tcW w:w="83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56,305,620</w:t>
            </w: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58,261,481</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recorded depreciation expense on property and equipment for the three months ended June 30, 2023 and 2022 of $1.9 million and $1.5 million, respectively, and for the six months ended June 30, 2023 and 2022 of $3.8 million and $3.0 million,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 AND OTHER CURRENT LIABILITIES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000" w:type="dxa"/>
            <w:vAlign w:val="bottom"/>
            <w:gridSpan w:val="2"/>
          </w:tcPr>
          <w:p>
            <w:pPr>
              <w:ind w:left="320"/>
              <w:spacing w:after="0"/>
              <w:rPr>
                <w:sz w:val="20"/>
                <w:szCs w:val="20"/>
                <w:color w:val="auto"/>
              </w:rPr>
            </w:pPr>
            <w:r>
              <w:rPr>
                <w:rFonts w:ascii="Arial" w:cs="Arial" w:eastAsia="Arial" w:hAnsi="Arial"/>
                <w:sz w:val="18"/>
                <w:szCs w:val="18"/>
                <w:color w:val="auto"/>
                <w:w w:val="93"/>
              </w:rPr>
              <w:t>Accrued expenses and other current liabilities at June 30, 2023 and December 31, 2022 are as follows: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8"/>
              </w:rPr>
              <w:t>June 30, 2023</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2022</w:t>
            </w: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16,029,095</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11,436,484</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Accrued distribution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5,344,306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3,166,896</w:t>
            </w:r>
          </w:p>
        </w:tc>
        <w:tc>
          <w:tcPr>
            <w:tcW w:w="10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2,200,871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4,193,919</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Accrued testing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301,980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309,867</w:t>
            </w:r>
          </w:p>
        </w:tc>
        <w:tc>
          <w:tcPr>
            <w:tcW w:w="100" w:type="dxa"/>
            <w:vAlign w:val="bottom"/>
          </w:tcPr>
          <w:p>
            <w:pPr>
              <w:spacing w:after="0"/>
              <w:rPr>
                <w:sz w:val="18"/>
                <w:szCs w:val="18"/>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payroll and other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2,671,851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4,086,379</w:t>
            </w:r>
          </w:p>
        </w:tc>
        <w:tc>
          <w:tcPr>
            <w:tcW w:w="100" w:type="dxa"/>
            <w:vAlign w:val="bottom"/>
            <w:shd w:val="clear" w:color="auto" w:fill="CCEEFF"/>
          </w:tcPr>
          <w:p>
            <w:pPr>
              <w:spacing w:after="0"/>
              <w:rPr>
                <w:sz w:val="18"/>
                <w:szCs w:val="18"/>
                <w:color w:val="auto"/>
              </w:rPr>
            </w:pPr>
          </w:p>
        </w:tc>
      </w:tr>
      <w:tr>
        <w:trPr>
          <w:trHeight w:val="223"/>
        </w:trPr>
        <w:tc>
          <w:tcPr>
            <w:tcW w:w="83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2,197,495</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1,795,804</w:t>
            </w:r>
          </w:p>
        </w:tc>
        <w:tc>
          <w:tcPr>
            <w:tcW w:w="100" w:type="dxa"/>
            <w:vAlign w:val="bottom"/>
          </w:tcPr>
          <w:p>
            <w:pPr>
              <w:spacing w:after="0"/>
              <w:rPr>
                <w:sz w:val="19"/>
                <w:szCs w:val="19"/>
                <w:color w:val="auto"/>
              </w:rPr>
            </w:pPr>
          </w:p>
        </w:tc>
      </w:tr>
      <w:tr>
        <w:trPr>
          <w:trHeight w:val="257"/>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28,745,598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24,989,349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7.  DEBT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000" w:type="dxa"/>
            <w:vAlign w:val="bottom"/>
            <w:gridSpan w:val="2"/>
          </w:tcPr>
          <w:p>
            <w:pPr>
              <w:ind w:left="320"/>
              <w:spacing w:after="0"/>
              <w:rPr>
                <w:sz w:val="20"/>
                <w:szCs w:val="20"/>
                <w:color w:val="auto"/>
              </w:rPr>
            </w:pPr>
            <w:r>
              <w:rPr>
                <w:rFonts w:ascii="Arial" w:cs="Arial" w:eastAsia="Arial" w:hAnsi="Arial"/>
                <w:sz w:val="18"/>
                <w:szCs w:val="18"/>
                <w:color w:val="auto"/>
              </w:rPr>
              <w:t>A summary of outstanding senior notes payable is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8"/>
              </w:rPr>
              <w:t>June 30, 2023</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2022</w:t>
            </w: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156,713,906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154,747,746</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(16,401,836)</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(11,914,683)</w:t>
            </w:r>
          </w:p>
        </w:tc>
      </w:tr>
      <w:tr>
        <w:trPr>
          <w:trHeight w:val="216"/>
        </w:trPr>
        <w:tc>
          <w:tcPr>
            <w:tcW w:w="83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Senior notes payable</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140,312,070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142,833,063</w:t>
            </w:r>
          </w:p>
        </w:tc>
        <w:tc>
          <w:tcPr>
            <w:tcW w:w="100" w:type="dxa"/>
            <w:vAlign w:val="bottom"/>
            <w:tcBorders>
              <w:top w:val="single" w:sz="8" w:color="CCEEFF"/>
            </w:tcBorders>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was to have expired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 On March 22, 2023, the Company and Hayfin entered into an amendment to the Hayfin Credit Agreement whereby the lenders’ obligation to make the Hayfin Delayed Draw Loan was extended to June 30, 2023.</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From the time of the Hayfin Closing Date through May 1, 2023, borrowings under the Hayfin Credit Agreement bore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increases by an additional 3% per annum. On the last day of each calendar month or quarter during the term of the Hayfin Credit Facility, the Company pays accrued interest to Hayfin. The rate of interest in effect as of June 30,2023 and December 31, 2022 was 13.7% and 13.9%, respectively. The Company is also permitted to pay “in kind” a portion of the interest on the Hayfin Loans for each monthly or quarterly interest period in an amount equal to 2.5% per annum, which is added to the principal amount of the outstanding debt under the Hayfin Credit Facility. For the six months ending June 30,2023, approximately $2.0 million of interest was paid in kind and added to the balance of the outstanding Hayfin Loans.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the Hayfin Maturity Date, the Company will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consolidated balance sheets as of June 30,2023 and December 31,2022. Prior to the Hayfin Maturity Date, there are no scheduled principal payments on the Hayfin Loans.</w:t>
      </w:r>
    </w:p>
    <w:p>
      <w:pPr>
        <w:spacing w:after="0" w:line="187"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certain other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6" w:lineRule="exact"/>
        <w:rPr>
          <w:sz w:val="20"/>
          <w:szCs w:val="20"/>
          <w:color w:val="auto"/>
        </w:rPr>
      </w:pPr>
    </w:p>
    <w:p>
      <w:pPr>
        <w:ind w:right="200" w:firstLine="8"/>
        <w:spacing w:after="0" w:line="302"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the last day of each fiscal quarter, report IVIG product and related revenues for the trailing 12-month period that exceed the amounts set forth in the Hayfin Credit Agreement, which range from $75.0 million for the fiscal quarter ended June 30, 2022 to $250.0 million for the fiscal quarter ended December 31, 2026. As of June 30, 2023, the Company was in compliance with all of the covenants contained in the Hayfin Credit Agreement.</w:t>
      </w:r>
    </w:p>
    <w:p>
      <w:pPr>
        <w:spacing w:after="0" w:line="15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May 1, 2023, the Company entered into a second amendment to the Hayfin Credit Agreement (the “Hayfin Second Amendment”) whereby the Applicable Margin for adjusted Term SOFR Loans was reduced from 9.5% to 8.5%. The Hayfin Second Amendment also extended the obligation of the lenders to make the Hayfin Delayed Draw Loan from June 30, 2023 to December 31, 2023.</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the terms of the Hayfin Second Amendment, in the event the Company elects to prepay all or any portion of the outstanding principal on the Hayfin Loans, the Company will be subject to an early prepayment fee in the amount equal to (i) 7.0% of the prepaid principal amount, if prepaid on or prior to the first anniversary of the Hayfin Second Amendment, (ii) 3.0% of the prepaid principal amount, if prepaid after the first anniversary of the Hayfin Second Amendment and on or prior to the second anniversary of the Hayfin Second Amendment, or (iii) 1.0% of the prepaid principal amount, if prepaid after the second anniversary of the Hayfin Second Amendment and on or prior to the third anniversary of the Hayfin Second Amendment. For any prepayments of principal or payment of principal on the Hayfin Maturity Date, the Company is also required to pay the exit fee. In addition, the Hayfin Second Amendment provides for a 50% reduction to the foregoing early prepayment fees if the Hayfin Loans are prepaid in connection with a change in control of the Company or other strategic transactions as further described in the Hayfin Second Amendment.</w:t>
      </w:r>
    </w:p>
    <w:p>
      <w:pPr>
        <w:spacing w:after="0" w:line="16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In connection with the Hayfin Second Amendment, the Company issued additional warrants to the lenders to purchase 2,391,244 shares of the Company’s common stock at an exercise price of $3.2619 per share (the “Hayfin Second Amendment Warrants”). The Hayfin Second Amendment Warrants were valued at approximately $5.6 million and have an expiration date of May 1, 2030.</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a result of the upfront fee and exit fee paid or payable to Hayfin, the expenses incurred by the Company in connection with this transaction and the value of the Hayfin Warrants and Hayfin Second Amendment Warrants, the Company recognized an aggregate discount on the Hayfin Loans in the amount of $19.5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June 30,2023 and December 31, 2022 was approximately 17.4% and 16.1%,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June 30, 2023 and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of June 30, 2023 and December 31, 2022, the Company was authorized to issue 300,000,000 shares of its common stock, $0.0001 par value per share, and 224,526,748 and 221,816,930 shares of common stock were outstanding as of June 30, 2023 and December 31, 2022, respectively. After giving effect to the 46,940,501 shares reserved for outstanding warrants and awards issued or reserved for future issuance under the Company’s equity incentive plans, as of June 30, 2023 there were 28,532,751 shares of common stock available for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Hayfin Credit Agreement that the Company entered into on March 23, 2022 (see Note 7), the Company issued the Hayfin Warrants to purchase 9,103,047 shares of the Company’s common stock. The Hayfin Warrants were valued at $9.6 million using the Black-Scholes option-pricing model assuming an expected term of seven years, a volatility of 68.1%, a dividend yield of 0% and a risk-free rate of interest of 2.36%. On May 1, 2023 the Company issued the Hayfin Second Amendment Warrants, which were valued at $5.6 million using the Black-Scholes option-pricing model assuming an expected term of seven years, a volatility of 67.8%, a dividend yield of 0% and a risk-free rate of interest of 3.62%.</w:t>
      </w:r>
    </w:p>
    <w:p>
      <w:pPr>
        <w:spacing w:after="0" w:line="17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 May 13, 2023, warrants to purchase 24,800 shares of the Company’s common stock held by a former noteholder of the Company expired in accordance with their terms. On June 16, 2023, various entities affiliated with Hayfin exercised 3,388,686 Hayfin Warrants in a cashless exercise transaction resulting in the Company issuing 1,967,847 shares of its common stock to such entities. At June 30, 2023 and December 31, 2022, the Company had outstanding warrants to purchase an aggregate of 12,502,906 and 13,525,148 shares, respectively, of common stock, with weighted-average exercise prices of $2.32 and $1.99 per share, respectively, with expiration dates ranging between December 2024 and December 2030.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2023 and 2022:</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80" w:type="dxa"/>
            <w:vAlign w:val="bottom"/>
          </w:tcPr>
          <w:p>
            <w:pPr>
              <w:spacing w:after="0"/>
              <w:rPr>
                <w:sz w:val="20"/>
                <w:szCs w:val="20"/>
                <w:color w:val="auto"/>
              </w:rPr>
            </w:pPr>
          </w:p>
        </w:tc>
        <w:tc>
          <w:tcPr>
            <w:tcW w:w="26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85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5.5 - 6.3 years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5.5 - 6.3 years</w:t>
            </w: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4.20-4.24%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1.72-1.73%</w:t>
            </w:r>
          </w:p>
        </w:tc>
      </w:tr>
    </w:tbl>
    <w:p>
      <w:pPr>
        <w:spacing w:after="0" w:line="18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June 21, 2022, the Company’s stockholders approved the ADMA Biologics, Inc. 2022 Compensation Plan (the “2022 Equity Plan”), which replaced the ADMA Biologics, Inc. 2014 Omnibus Incentive Compensation Plan. Approval of the 2022 Equity Plan resulted in approximately 18 million additional shares of the Company’s common stock being reserved for future awards. During the six months ended June 30, 2023 and 2022, the Company granted options to purchase an aggregate of 1,727,510 and 1,194,032 shares of common stock, respectively, to its directors and employees. The weighted average remaining contractual life of stock options outstanding and expected to vest at June 30, 2023 is 6.2 years. The weighted average remaining contractual life of stock options exercisable at June 30, 2023 is 5.0 years. During the six months ended June 30, 2023, options to purchase 178,829 shares of common stock were exercised and the Company received aggregate exercise proceeds of $0.5 million. Also during the six months ended June 30, 2023, options to purchase 5,416 shares of common stock were exercised in a cashless transaction resulting in the issuance of 2,443 shares of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Company’s equity incentive plans and related information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Weighted</w:t>
            </w:r>
          </w:p>
        </w:tc>
        <w:tc>
          <w:tcPr>
            <w:tcW w:w="100" w:type="dxa"/>
            <w:vAlign w:val="bottom"/>
          </w:tcPr>
          <w:p>
            <w:pPr>
              <w:spacing w:after="0"/>
              <w:rPr>
                <w:sz w:val="18"/>
                <w:szCs w:val="18"/>
                <w:color w:val="auto"/>
              </w:rPr>
            </w:pPr>
          </w:p>
        </w:tc>
      </w:tr>
      <w:tr>
        <w:trPr>
          <w:trHeight w:val="216"/>
        </w:trPr>
        <w:tc>
          <w:tcPr>
            <w:tcW w:w="8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r>
      <w:tr>
        <w:trPr>
          <w:trHeight w:val="241"/>
        </w:trPr>
        <w:tc>
          <w:tcPr>
            <w:tcW w:w="86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2022</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8,256,211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(76,866)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(81,298)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1,727,510</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(184,245)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r>
      <w:tr>
        <w:trPr>
          <w:trHeight w:val="27"/>
        </w:trPr>
        <w:tc>
          <w:tcPr>
            <w:tcW w:w="864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Options outstanding, vested and expected to vest at June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9,641,312</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Options exercisable</w:t>
            </w:r>
          </w:p>
        </w:tc>
        <w:tc>
          <w:tcPr>
            <w:tcW w:w="1140" w:type="dxa"/>
            <w:vAlign w:val="bottom"/>
          </w:tcPr>
          <w:p>
            <w:pPr>
              <w:jc w:val="right"/>
              <w:spacing w:after="0"/>
              <w:rPr>
                <w:sz w:val="20"/>
                <w:szCs w:val="20"/>
                <w:color w:val="auto"/>
              </w:rPr>
            </w:pPr>
            <w:r>
              <w:rPr>
                <w:rFonts w:ascii="Arial" w:cs="Arial" w:eastAsia="Arial" w:hAnsi="Arial"/>
                <w:sz w:val="18"/>
                <w:szCs w:val="18"/>
                <w:color w:val="auto"/>
              </w:rPr>
              <w:t>6,690,912</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2023, the Company had $4.9 million of unrecognized compensation expense related to options granted under the Company’s equity incentive plans, which is expected to be recognized over a weighted-average period of 2.9 years.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the six months ended June 30, 2023 and 2022, the Company granted RSUs representing an aggregate of 2,976,260 and 1,109,266 shares, respectively, to certain employees of the Company and to members of its Board of Directors. These RSUs generally vest annually over a period of four years for employees and semi-annually over a period of one year for directors. During the six months ended June 30, 2023, an aggregate of 806,781 shares of common stock vested in connection with grants of RSUs. With respect to these vested RSUs, 246,082 shares valued at approximately $0.9 million were withheld by the Company to cover employees’ tax liabilities. These shares were no longer outstanding as of June 30, 2023. A summary of the Company’s unvested RSU activity and related information is as follows: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Weighted</w:t>
            </w:r>
          </w:p>
        </w:tc>
        <w:tc>
          <w:tcPr>
            <w:tcW w:w="100" w:type="dxa"/>
            <w:vAlign w:val="bottom"/>
          </w:tcPr>
          <w:p>
            <w:pPr>
              <w:spacing w:after="0"/>
              <w:rPr>
                <w:sz w:val="18"/>
                <w:szCs w:val="18"/>
                <w:color w:val="auto"/>
              </w:rPr>
            </w:pPr>
          </w:p>
        </w:tc>
      </w:tr>
      <w:tr>
        <w:trPr>
          <w:trHeight w:val="216"/>
        </w:trPr>
        <w:tc>
          <w:tcPr>
            <w:tcW w:w="8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Average Grant</w:t>
            </w:r>
          </w:p>
        </w:tc>
        <w:tc>
          <w:tcPr>
            <w:tcW w:w="100" w:type="dxa"/>
            <w:vAlign w:val="bottom"/>
          </w:tcPr>
          <w:p>
            <w:pPr>
              <w:spacing w:after="0"/>
              <w:rPr>
                <w:sz w:val="18"/>
                <w:szCs w:val="18"/>
                <w:color w:val="auto"/>
              </w:rPr>
            </w:pPr>
          </w:p>
        </w:tc>
      </w:tr>
      <w:tr>
        <w:trPr>
          <w:trHeight w:val="241"/>
        </w:trPr>
        <w:tc>
          <w:tcPr>
            <w:tcW w:w="85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2"/>
              </w:rPr>
              <w:t>Date Fair Value</w:t>
            </w:r>
          </w:p>
        </w:tc>
        <w:tc>
          <w:tcPr>
            <w:tcW w:w="10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2,866,987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2,976,260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(806,781)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(217,817)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56"/>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4,818,649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As of June 30, 2023, the Company had $11.6 million of unrecognized compensation expense related to unvested RSUs granted under the Company’s equity incentive plans, which is expected to be recognized over a weighted-average period of 3.2 years.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stock-based compensation expense for all awards granted under the Company’s equity incentive plans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3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19,615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40,667</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1,068,215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2,388,197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2,585,817</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98,319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196,382</w:t>
            </w:r>
          </w:p>
        </w:tc>
        <w:tc>
          <w:tcPr>
            <w:tcW w:w="100" w:type="dxa"/>
            <w:vAlign w:val="bottom"/>
          </w:tcPr>
          <w:p>
            <w:pPr>
              <w:spacing w:after="0"/>
              <w:rPr>
                <w:sz w:val="19"/>
                <w:szCs w:val="19"/>
                <w:color w:val="auto"/>
              </w:rPr>
            </w:pPr>
          </w:p>
        </w:tc>
      </w:tr>
      <w:tr>
        <w:trPr>
          <w:trHeight w:val="25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1,637,038</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2,747,204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2,832,435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and pays monthly rent on this facility in the amount of $10,000 through December 31, 2026. Rent expense for the three and six months ended June 30, 2023 and 2022 amounted to $30,000 and $60,000, respectively.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six months ended June 30, 2023 and 2022.</w:t>
      </w:r>
    </w:p>
    <w:p>
      <w:pPr>
        <w:spacing w:after="0" w:line="16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the six months ended June 30, 2023 and 2022, the Company purchased certain specialized medical equipment and services primarily related to the Company’s plasma collection centers, as well as personal protective equipment, from GenesisBPS and its affiliates (“Genesis”), aggregating to $0.2 million and $0.1 million, respectively. Genesis is owned by Dr. Grossman and Adam Grossman.</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See Note 7 for a discussion of the Company’s former credit facility and related transactions with Perceptive, a holder of more than 5% of the Company’s common stock during the six months ended June 30, 2022. There were no transactions with Perceptive during the six months ended June 30, 2023.</w:t>
      </w:r>
    </w:p>
    <w:p>
      <w:pPr>
        <w:spacing w:after="0" w:line="18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 Systems Disruption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June 19, 2023, the Company experienced an IT systems disruption, which rendered certain of the Company’s IT technology systems inaccessible for less than one week. The Company’s investigation of the disruption remains ongoing with the assistance of third-party consultants. As no definitive root cause has been identified, the Company believes, theoretically, this IT systems disruption may have been caused by a third-party who may have gained access to the system. There was no original financial systems or other data loss or any evidence of files exfiltrated due to this disruption. Normal course operations have resumed across the Company’s business units. At the time of the disruption, the Company was in production of two batches of BIVIGAM, and after a prolonged hold time, it was deemed to be a prudent GMP quality decision to discard these two in-process production batches as these batches were no longer viable for further production or had any alternative use. As a result, the Company recorded a one-time, non-recurring charge of $2.1 million for this inventory, which is reflected in Cost of product revenue in the accompanying consolidated statements of operations. In addition, the Company believes that its Plasma center operating expenses were adversely impacted by approximately $0.7 million due to the temporary closing of the Company’s plasma collection centers while their IT systems were restored.</w:t>
      </w:r>
    </w:p>
    <w:p>
      <w:pPr>
        <w:spacing w:after="0" w:line="18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carries appropriate insurance for these types of instances, and while there can be no assurances ADMA will be reimbursed for the insurance claims made pertaining to these charges, the Company is actively working with its insurance broker and carriers.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continues to monitor the ongoing developments related to the COVID-19 pandemic, including the emergence of the Delta, Omicron and BA.2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a combination of previously mandated state and local “shelter-in-place” orders, as well as government stimulus packages, persisting social distancing measures and varying roll-outs of vaccinations by state, the Company at times experienced lower than normal donor collections at its FDA approved plasma collection centers during 2021 and part of 2022. From time to time during 2021 and 2022,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has been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previously impacted, to a certain degree, the Company’s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the Company’s ability to communicate with potential customers.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pandemic could also impact the Company’s ability to interact with the FDA or other regulatory authorities and could result in delays in the conduct of inspections or review of pending applications or submissions. Although the Company has received FDA approvals for six of its plasma collection centers since January 1, 2022 and received several other FDA approvals while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spacing w:after="0" w:line="18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the six months ended June 30, 2023 and 2022, revenue attributable to international customers was approximately 7% of the Company’s total revenues. As the Company seeks to grow this aspect of its business, it may also be subject to the impacts of the COVID-19 pandemic in locations outside the United States.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the COVID-19 pandemic has not, to date, materially adversely impacted the Company’s capital and financial resources, because the Company is unable to determine the ultimate severity or duration of the COVID-19 pandemic or other pandemics or their long-term effects on, among other things, the global, national or local economies, the capital and credit markets or the Company’s workforce, customers or our suppliers, at this time the Company is unable to predict whether COVID-19 or other pandemics will have a material adverse impact on the Company’s business, financial condition, liquidity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spacing w:after="0" w:line="18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7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Effective as of May 12, 2021, the Company and Grifols amended the foregoing 2017 Plasma Purchase Agreement whereby, among other things, the term of the agreement was extended through December 31, 2022, however Grifols’ commitment to supply the Company with NSP under this agreement was not satisfied until March of 2023. In order to maintain a reliable supply of raw material plasma thereafter, the Company has executed additional agreements with multiple third-party suppliers of NSP to supplement the 2017 Plasma Purchase Agreement. The Company has also increased its number of planned plasma collection center buildouts such that the Company expects to have ten FDA-approved plasma collection centers in operation by the end of 2023, while also continuing to increase its plasma collection capabilities at its ADMA BioCenters plasma collection centers business segment.</w:t>
      </w:r>
    </w:p>
    <w:p>
      <w:pPr>
        <w:spacing w:after="0" w:line="16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Through December 31, 2022, the Company purchased substantially all of its raw material plasma from Grifols. For the six months ended June 30, 2023, plasma purchases from Grifols totaled $5.2 million, or approximately 26% of the Company’s total inventory purchases. For the six months ended June 30, 2022, plasma purchases from Grifols totaled $22.8 million, representing approximately 66% of the Company’s total inventory 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were required to be completed by June of 2023 and both studies have been completed and the study reports have been submitted to the FDA. ADMA had assumed the remaining obligations, and the costs of the studies have been expensed as incurred as research and development expenses. For the six months ended June 30, 2023 and 2022, the Company incurred expenses related to these studies of $1.4 million and $0.9 million, respectively.</w:t>
      </w:r>
    </w:p>
    <w:p>
      <w:pPr>
        <w:spacing w:after="0" w:line="16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For the six months ended June 30, 2023 and 2022, the Company incurred expenses related to this study in the amount of $0.4 million and $0.2 million, respectively. The Company expects to incur expenses of approximately $1.5 million to complete this study, which is required to be completed by June of 2026.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entered into employment agreements with Mr. Grossman and with Brian Lenz, its Executive Vice President, Chief Financial Officer and General Manager, ADMA BioCenters.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2023. The Company does not anticipate recognizing any significant losses relating to these arrangements.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immunoglobulin manufacturing, commercial and development operations in Boca Raton, FL. The Plasma Collection Centers segment consists of ten operational plasma collection facilities located throughout the U.S., nine of which currently hold FDA licenses.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ADMA</w:t>
            </w:r>
          </w:p>
        </w:tc>
        <w:tc>
          <w:tcPr>
            <w:tcW w:w="1600" w:type="dxa"/>
            <w:vAlign w:val="bottom"/>
            <w:tcBorders>
              <w:top w:val="single" w:sz="8" w:color="auto"/>
            </w:tcBorders>
            <w:gridSpan w:val="4"/>
          </w:tcPr>
          <w:p>
            <w:pPr>
              <w:ind w:left="80"/>
              <w:spacing w:after="0" w:line="205" w:lineRule="exact"/>
              <w:rPr>
                <w:sz w:val="20"/>
                <w:szCs w:val="20"/>
                <w:color w:val="auto"/>
              </w:rPr>
            </w:pPr>
            <w:r>
              <w:rPr>
                <w:rFonts w:ascii="Arial" w:cs="Arial" w:eastAsia="Arial" w:hAnsi="Arial"/>
                <w:sz w:val="18"/>
                <w:szCs w:val="18"/>
                <w:b w:val="1"/>
                <w:bCs w:val="1"/>
                <w:color w:val="auto"/>
                <w:w w:val="96"/>
              </w:rPr>
              <w:t>Plasma Collection</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BioManufacturing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Centers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Corporate</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59,761,136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326,346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60,123,191</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43,040,754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43,433,188</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6,083,663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(1,399,512)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(5,157,228)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(473,077)</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(5,892,031)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(5,897,630)</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(1,399,489)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(11,049,259)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(6,370,707)</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248,163,333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37,459,126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57,404,583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343,027,042</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1,282,401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815,176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2,097,577</w:t>
            </w:r>
          </w:p>
        </w:tc>
      </w:tr>
      <w:tr>
        <w:trPr>
          <w:trHeight w:val="425"/>
        </w:trPr>
        <w:tc>
          <w:tcPr>
            <w:tcW w:w="35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 June 30, 2022</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ADMA</w:t>
            </w:r>
          </w:p>
        </w:tc>
        <w:tc>
          <w:tcPr>
            <w:tcW w:w="8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6"/>
              </w:rPr>
              <w:t>Plasma Collection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BioManufacturing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Centers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Corporate</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226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32,120,119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33,905,007</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24,287,122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26,135,614</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(445,248)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(4,020,799)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(4,708,692)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(9,174,739)</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(4,572,035)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(4,590,167)</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(463,044)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(4,021,135)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(9,280,727)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(13,764,906)</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220,052,465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34,078,909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42,800,955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296,932,329</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1,159,732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564,396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1,724,283</w:t>
            </w:r>
          </w:p>
        </w:tc>
      </w:tr>
      <w:tr>
        <w:trPr>
          <w:trHeight w:val="541"/>
        </w:trPr>
        <w:tc>
          <w:tcPr>
            <w:tcW w:w="3560" w:type="dxa"/>
            <w:vAlign w:val="bottom"/>
          </w:tcPr>
          <w:p>
            <w:pPr>
              <w:spacing w:after="0"/>
              <w:rPr>
                <w:sz w:val="24"/>
                <w:szCs w:val="24"/>
                <w:color w:val="auto"/>
              </w:rPr>
            </w:pPr>
          </w:p>
        </w:tc>
        <w:tc>
          <w:tcPr>
            <w:tcW w:w="2260" w:type="dxa"/>
            <w:vAlign w:val="bottom"/>
            <w:gridSpan w:val="3"/>
          </w:tcPr>
          <w:p>
            <w:pPr>
              <w:jc w:val="right"/>
              <w:ind w:right="30"/>
              <w:spacing w:after="0"/>
              <w:rPr>
                <w:sz w:val="20"/>
                <w:szCs w:val="20"/>
                <w:color w:val="auto"/>
              </w:rPr>
            </w:pPr>
            <w:r>
              <w:rPr>
                <w:rFonts w:ascii="Arial" w:cs="Arial" w:eastAsia="Arial" w:hAnsi="Arial"/>
                <w:sz w:val="14"/>
                <w:szCs w:val="14"/>
                <w:color w:val="auto"/>
              </w:rPr>
              <w:t>19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5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Six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5"/>
          </w:tcPr>
          <w:p>
            <w:pPr>
              <w:jc w:val="right"/>
              <w:ind w:right="600"/>
              <w:spacing w:after="0" w:line="205" w:lineRule="exact"/>
              <w:rPr>
                <w:sz w:val="20"/>
                <w:szCs w:val="20"/>
                <w:color w:val="auto"/>
              </w:rPr>
            </w:pPr>
            <w:r>
              <w:rPr>
                <w:rFonts w:ascii="Arial" w:cs="Arial" w:eastAsia="Arial" w:hAnsi="Arial"/>
                <w:sz w:val="18"/>
                <w:szCs w:val="18"/>
                <w:b w:val="1"/>
                <w:bCs w:val="1"/>
                <w:color w:val="auto"/>
              </w:rPr>
              <w:t>ADMA</w:t>
            </w:r>
          </w:p>
        </w:tc>
        <w:tc>
          <w:tcPr>
            <w:tcW w:w="1520" w:type="dxa"/>
            <w:vAlign w:val="bottom"/>
            <w:tcBorders>
              <w:top w:val="single" w:sz="8" w:color="auto"/>
            </w:tcBorders>
            <w:gridSpan w:val="6"/>
          </w:tcPr>
          <w:p>
            <w:pPr>
              <w:ind w:left="40"/>
              <w:spacing w:after="0" w:line="205" w:lineRule="exact"/>
              <w:rPr>
                <w:sz w:val="20"/>
                <w:szCs w:val="20"/>
                <w:color w:val="auto"/>
              </w:rPr>
            </w:pPr>
            <w:r>
              <w:rPr>
                <w:rFonts w:ascii="Arial" w:cs="Arial" w:eastAsia="Arial" w:hAnsi="Arial"/>
                <w:sz w:val="18"/>
                <w:szCs w:val="18"/>
                <w:b w:val="1"/>
                <w:bCs w:val="1"/>
                <w:color w:val="auto"/>
                <w:w w:val="94"/>
              </w:rPr>
              <w:t>Plasma Collection</w:t>
            </w: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0" w:type="dxa"/>
            <w:vAlign w:val="bottom"/>
            <w:gridSpan w:val="6"/>
          </w:tcPr>
          <w:p>
            <w:pPr>
              <w:spacing w:after="0"/>
              <w:rPr>
                <w:sz w:val="20"/>
                <w:szCs w:val="20"/>
                <w:color w:val="auto"/>
              </w:rPr>
            </w:pPr>
            <w:r>
              <w:rPr>
                <w:rFonts w:ascii="Arial" w:cs="Arial" w:eastAsia="Arial" w:hAnsi="Arial"/>
                <w:sz w:val="18"/>
                <w:szCs w:val="18"/>
                <w:b w:val="1"/>
                <w:bCs w:val="1"/>
                <w:color w:val="auto"/>
              </w:rPr>
              <w:t>BioManufacturing</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5"/>
              </w:rPr>
              <w:t>Centers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Corporate</w:t>
            </w:r>
          </w:p>
        </w:tc>
        <w:tc>
          <w:tcPr>
            <w:tcW w:w="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109,338,071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7,627,237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117,036,725</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76,974,537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6,859,195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83,833,732</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11,560,102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(2,345,845)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(10,500,652)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(1,286,395)</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(11,843,522)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(11,873,127)</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11,530,701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(2,346,049)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(22,344,174)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(13,159,522)</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1,622,027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2,817,229</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2,575,009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1,555,533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4,130,542</w:t>
            </w:r>
          </w:p>
        </w:tc>
      </w:tr>
      <w:tr>
        <w:trPr>
          <w:trHeight w:val="425"/>
        </w:trPr>
        <w:tc>
          <w:tcPr>
            <w:tcW w:w="3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ind w:left="760"/>
              <w:spacing w:after="0"/>
              <w:rPr>
                <w:sz w:val="20"/>
                <w:szCs w:val="20"/>
                <w:color w:val="auto"/>
              </w:rPr>
            </w:pPr>
            <w:r>
              <w:rPr>
                <w:rFonts w:ascii="Arial" w:cs="Arial" w:eastAsia="Arial" w:hAnsi="Arial"/>
                <w:sz w:val="18"/>
                <w:szCs w:val="18"/>
                <w:b w:val="1"/>
                <w:bCs w:val="1"/>
                <w:color w:val="auto"/>
                <w:w w:val="99"/>
              </w:rPr>
              <w:t>Six Months Ended June 30, 2022</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5"/>
          </w:tcPr>
          <w:p>
            <w:pPr>
              <w:jc w:val="right"/>
              <w:ind w:right="600"/>
              <w:spacing w:after="0" w:line="198" w:lineRule="exact"/>
              <w:rPr>
                <w:sz w:val="20"/>
                <w:szCs w:val="20"/>
                <w:color w:val="auto"/>
              </w:rPr>
            </w:pPr>
            <w:r>
              <w:rPr>
                <w:rFonts w:ascii="Arial" w:cs="Arial" w:eastAsia="Arial" w:hAnsi="Arial"/>
                <w:sz w:val="18"/>
                <w:szCs w:val="18"/>
                <w:b w:val="1"/>
                <w:bCs w:val="1"/>
                <w:color w:val="auto"/>
              </w:rPr>
              <w:t>ADMA</w:t>
            </w:r>
          </w:p>
        </w:tc>
        <w:tc>
          <w:tcPr>
            <w:tcW w:w="1520" w:type="dxa"/>
            <w:vAlign w:val="bottom"/>
            <w:gridSpan w:val="6"/>
          </w:tcPr>
          <w:p>
            <w:pPr>
              <w:ind w:left="40"/>
              <w:spacing w:after="0" w:line="198" w:lineRule="exact"/>
              <w:rPr>
                <w:sz w:val="20"/>
                <w:szCs w:val="20"/>
                <w:color w:val="auto"/>
              </w:rPr>
            </w:pPr>
            <w:r>
              <w:rPr>
                <w:rFonts w:ascii="Arial" w:cs="Arial" w:eastAsia="Arial" w:hAnsi="Arial"/>
                <w:sz w:val="18"/>
                <w:szCs w:val="18"/>
                <w:b w:val="1"/>
                <w:bCs w:val="1"/>
                <w:color w:val="auto"/>
                <w:w w:val="94"/>
              </w:rPr>
              <w:t>Plasma Collection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0" w:type="dxa"/>
            <w:vAlign w:val="bottom"/>
            <w:gridSpan w:val="6"/>
          </w:tcPr>
          <w:p>
            <w:pPr>
              <w:spacing w:after="0"/>
              <w:rPr>
                <w:sz w:val="20"/>
                <w:szCs w:val="20"/>
                <w:color w:val="auto"/>
              </w:rPr>
            </w:pPr>
            <w:r>
              <w:rPr>
                <w:rFonts w:ascii="Arial" w:cs="Arial" w:eastAsia="Arial" w:hAnsi="Arial"/>
                <w:sz w:val="18"/>
                <w:szCs w:val="18"/>
                <w:b w:val="1"/>
                <w:bCs w:val="1"/>
                <w:color w:val="auto"/>
              </w:rPr>
              <w:t>BioManufacturing</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5"/>
              </w:rPr>
              <w:t>Centers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Corporate</w:t>
            </w:r>
          </w:p>
        </w:tc>
        <w:tc>
          <w:tcPr>
            <w:tcW w:w="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57,848,744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5,087,939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63,008,100</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46,500,902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5,075,758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51,576,660</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(4,720,538)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(7,883,894)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(11,385,373)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(23,989,805)</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(8,044,889)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(8,113,017)</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(6,669,941)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(6,669,941)</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(4,787,600)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(7,884,960)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(26,100,203)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(38,772,763)</w:t>
            </w:r>
          </w:p>
        </w:tc>
      </w:tr>
      <w:tr>
        <w:trPr>
          <w:trHeight w:val="216"/>
        </w:trPr>
        <w:tc>
          <w:tcPr>
            <w:tcW w:w="3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2,584,906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4,197,263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6,782,169</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2,271,683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1,041,899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3,314,500</w:t>
            </w:r>
          </w:p>
        </w:tc>
      </w:tr>
      <w:tr>
        <w:trPr>
          <w:trHeight w:val="418"/>
        </w:trPr>
        <w:tc>
          <w:tcPr>
            <w:tcW w:w="8620" w:type="dxa"/>
            <w:vAlign w:val="bottom"/>
            <w:gridSpan w:val="14"/>
          </w:tcPr>
          <w:p>
            <w:pPr>
              <w:spacing w:after="0"/>
              <w:rPr>
                <w:sz w:val="20"/>
                <w:szCs w:val="20"/>
                <w:color w:val="auto"/>
              </w:rPr>
            </w:pPr>
            <w:r>
              <w:rPr>
                <w:rFonts w:ascii="Arial" w:cs="Arial" w:eastAsia="Arial" w:hAnsi="Arial"/>
                <w:sz w:val="18"/>
                <w:szCs w:val="18"/>
                <w:color w:val="auto"/>
                <w:w w:val="96"/>
              </w:rPr>
              <w:t>Net revenues according to geographic area, based on the location of where the product is shipped, is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10"/>
          </w:tcPr>
          <w:p>
            <w:pPr>
              <w:jc w:val="right"/>
              <w:ind w:right="260"/>
              <w:spacing w:after="0"/>
              <w:rPr>
                <w:sz w:val="20"/>
                <w:szCs w:val="20"/>
                <w:color w:val="auto"/>
              </w:rPr>
            </w:pPr>
            <w:r>
              <w:rPr>
                <w:rFonts w:ascii="Arial" w:cs="Arial" w:eastAsia="Arial" w:hAnsi="Arial"/>
                <w:sz w:val="18"/>
                <w:szCs w:val="18"/>
                <w:b w:val="1"/>
                <w:bCs w:val="1"/>
                <w:color w:val="auto"/>
                <w:w w:val="93"/>
              </w:rPr>
              <w:t>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35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56,607,815</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31,274,844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109,302,538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58,590,995</w:t>
            </w:r>
          </w:p>
        </w:tc>
        <w:tc>
          <w:tcPr>
            <w:tcW w:w="10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3,515,376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2,630,163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7,734,187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4,417,105</w:t>
            </w:r>
          </w:p>
        </w:tc>
        <w:tc>
          <w:tcPr>
            <w:tcW w:w="100" w:type="dxa"/>
            <w:vAlign w:val="bottom"/>
          </w:tcPr>
          <w:p>
            <w:pPr>
              <w:spacing w:after="0"/>
              <w:rPr>
                <w:sz w:val="19"/>
                <w:szCs w:val="19"/>
                <w:color w:val="auto"/>
              </w:rPr>
            </w:pPr>
          </w:p>
        </w:tc>
      </w:tr>
      <w:tr>
        <w:trPr>
          <w:trHeight w:val="25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60,123,191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33,905,007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117,036,725</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63,008,100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For all of its leases, the Company has elected and applies the practical expedient available to lessees to combine non-lease components with their related lease components and account for them as a single combined lease component.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June 30, 2023 and 2022 was approximately $0.6 million and $0.5 million, respectively, and aggregate lease expense for the six months ended June 30, 2023 and 2022 was $1.2 million and $0.9 million, respectively. Cash paid for the Company’s leases for the three months ended June 30, 2023 and 2022 was approximately $0.6 million and $0.4 million, respectively, and cash paid for the six months ended June 30, 2023 and 2022 was approximately $1.1 million and $0.8 million, respectively.</w:t>
      </w:r>
    </w:p>
    <w:p>
      <w:pPr>
        <w:spacing w:after="0" w:line="1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aggregate lease liabilities of $11.2 million and $11.6 million as of June 30, 2023 and December 31, 2022,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8.1 years. Scheduled payments under the Company’s lease obligations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jc w:val="right"/>
              <w:ind w:right="7650"/>
              <w:spacing w:after="0"/>
              <w:rPr>
                <w:sz w:val="20"/>
                <w:szCs w:val="20"/>
                <w:color w:val="auto"/>
              </w:rPr>
            </w:pPr>
            <w:r>
              <w:rPr>
                <w:rFonts w:ascii="Arial" w:cs="Arial" w:eastAsia="Arial" w:hAnsi="Arial"/>
                <w:sz w:val="18"/>
                <w:szCs w:val="18"/>
                <w:color w:val="auto"/>
              </w:rPr>
              <w:t>Remainder of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1,213,264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7650"/>
              <w:spacing w:after="0"/>
              <w:rPr>
                <w:sz w:val="20"/>
                <w:szCs w:val="20"/>
                <w:color w:val="auto"/>
              </w:rPr>
            </w:pPr>
            <w:r>
              <w:rPr>
                <w:rFonts w:ascii="Arial" w:cs="Arial" w:eastAsia="Arial" w:hAnsi="Arial"/>
                <w:sz w:val="18"/>
                <w:szCs w:val="18"/>
                <w:color w:val="auto"/>
                <w:w w:val="88"/>
              </w:rPr>
              <w:t>Year ended December 31, 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2,343,314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765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765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2,116,036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765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2,040,690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765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2,087,825</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jc w:val="right"/>
              <w:ind w:right="765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6,150,746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jc w:val="right"/>
              <w:ind w:right="7650"/>
              <w:spacing w:after="0"/>
              <w:rPr>
                <w:sz w:val="20"/>
                <w:szCs w:val="20"/>
                <w:color w:val="auto"/>
              </w:rPr>
            </w:pPr>
            <w:r>
              <w:rPr>
                <w:rFonts w:ascii="Arial" w:cs="Arial" w:eastAsia="Arial" w:hAnsi="Arial"/>
                <w:sz w:val="18"/>
                <w:szCs w:val="18"/>
                <w:color w:val="auto"/>
              </w:rPr>
              <w:t>Total payments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18,318,307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7650"/>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(7,116,857)</w:t>
            </w:r>
          </w:p>
        </w:tc>
      </w:tr>
      <w:tr>
        <w:trPr>
          <w:trHeight w:val="223"/>
        </w:trPr>
        <w:tc>
          <w:tcPr>
            <w:tcW w:w="10020" w:type="dxa"/>
            <w:vAlign w:val="bottom"/>
          </w:tcPr>
          <w:p>
            <w:pPr>
              <w:jc w:val="right"/>
              <w:ind w:right="7650"/>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(979,536)</w:t>
            </w:r>
          </w:p>
        </w:tc>
      </w:tr>
      <w:tr>
        <w:trPr>
          <w:trHeight w:val="256"/>
        </w:trPr>
        <w:tc>
          <w:tcPr>
            <w:tcW w:w="10020" w:type="dxa"/>
            <w:vAlign w:val="bottom"/>
            <w:tcBorders>
              <w:bottom w:val="single" w:sz="8" w:color="CCEEFF"/>
            </w:tcBorders>
            <w:shd w:val="clear" w:color="auto" w:fill="CCEEFF"/>
          </w:tcPr>
          <w:p>
            <w:pPr>
              <w:jc w:val="right"/>
              <w:ind w:right="7650"/>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10,221,914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for the six months ended June 30,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9,273,681</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5,989,332</w:t>
            </w:r>
          </w:p>
        </w:tc>
        <w:tc>
          <w:tcPr>
            <w:tcW w:w="100" w:type="dxa"/>
            <w:vAlign w:val="bottom"/>
            <w:shd w:val="clear" w:color="auto" w:fill="CCEEFF"/>
          </w:tcPr>
          <w:p>
            <w:pPr>
              <w:spacing w:after="0"/>
              <w:rPr>
                <w:sz w:val="19"/>
                <w:szCs w:val="19"/>
                <w:color w:val="auto"/>
              </w:rPr>
            </w:pPr>
          </w:p>
        </w:tc>
      </w:tr>
      <w:tr>
        <w:trPr>
          <w:trHeight w:val="216"/>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3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Equipment acquired reflected in accounts payable and accrued liabilities</w:t>
            </w:r>
          </w:p>
        </w:tc>
        <w:tc>
          <w:tcPr>
            <w:tcW w:w="3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511,377</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1,164,319</w:t>
            </w:r>
          </w:p>
        </w:tc>
        <w:tc>
          <w:tcPr>
            <w:tcW w:w="100" w:type="dxa"/>
            <w:vAlign w:val="bottom"/>
            <w:shd w:val="clear" w:color="auto" w:fill="CCEEFF"/>
          </w:tcPr>
          <w:p>
            <w:pPr>
              <w:spacing w:after="0"/>
              <w:rPr>
                <w:sz w:val="20"/>
                <w:szCs w:val="20"/>
                <w:color w:val="auto"/>
              </w:rPr>
            </w:pP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5460" w:type="dxa"/>
            <w:vAlign w:val="bottom"/>
          </w:tcPr>
          <w:p>
            <w:pPr>
              <w:ind w:left="180"/>
              <w:spacing w:after="0"/>
              <w:rPr>
                <w:sz w:val="20"/>
                <w:szCs w:val="20"/>
                <w:color w:val="auto"/>
              </w:rPr>
            </w:pPr>
            <w:r>
              <w:rPr>
                <w:rFonts w:ascii="Arial" w:cs="Arial" w:eastAsia="Arial" w:hAnsi="Arial"/>
                <w:sz w:val="18"/>
                <w:szCs w:val="18"/>
                <w:color w:val="auto"/>
              </w:rPr>
              <w:t>Right-to-use assets in exchange for lease obligations</w:t>
            </w:r>
          </w:p>
        </w:tc>
        <w:tc>
          <w:tcPr>
            <w:tcW w:w="3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ind w:left="160"/>
              <w:spacing w:after="0"/>
              <w:rPr>
                <w:sz w:val="20"/>
                <w:szCs w:val="20"/>
                <w:color w:val="auto"/>
              </w:rPr>
            </w:pPr>
            <w:r>
              <w:rPr>
                <w:rFonts w:ascii="Arial" w:cs="Arial" w:eastAsia="Arial" w:hAnsi="Arial"/>
                <w:sz w:val="18"/>
                <w:szCs w:val="18"/>
                <w:color w:val="auto"/>
                <w:w w:val="89"/>
              </w:rPr>
              <w:t>3,660,890</w:t>
            </w:r>
          </w:p>
        </w:tc>
        <w:tc>
          <w:tcPr>
            <w:tcW w:w="100" w:type="dxa"/>
            <w:vAlign w:val="bottom"/>
          </w:tcPr>
          <w:p>
            <w:pPr>
              <w:spacing w:after="0"/>
              <w:rPr>
                <w:sz w:val="18"/>
                <w:szCs w:val="18"/>
                <w:color w:val="auto"/>
              </w:rPr>
            </w:pPr>
          </w:p>
        </w:tc>
      </w:tr>
      <w:tr>
        <w:trPr>
          <w:trHeight w:val="257"/>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issued in connection with notes payable</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5,594,764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9"/>
              </w:rPr>
              <w:t>9,569,604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5460" w:type="dxa"/>
            <w:vAlign w:val="bottom"/>
          </w:tcPr>
          <w:p>
            <w:pPr>
              <w:spacing w:after="0"/>
              <w:rPr>
                <w:sz w:val="24"/>
                <w:szCs w:val="24"/>
                <w:color w:val="auto"/>
              </w:rPr>
            </w:pPr>
          </w:p>
        </w:tc>
        <w:tc>
          <w:tcPr>
            <w:tcW w:w="3200" w:type="dxa"/>
            <w:vAlign w:val="bottom"/>
          </w:tcPr>
          <w:p>
            <w:pPr>
              <w:jc w:val="right"/>
              <w:ind w:right="2875"/>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6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2022, filed on March 23, 2023 (the “2022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but not limited to, a product based on our most recently approved patent application under U.S. Patent No. 10,259,865 related to methods of treatment and prevention of </w:t>
      </w:r>
      <w:r>
        <w:rPr>
          <w:rFonts w:ascii="Arial" w:cs="Arial" w:eastAsia="Arial" w:hAnsi="Arial"/>
          <w:sz w:val="17"/>
          <w:szCs w:val="17"/>
          <w:i w:val="1"/>
          <w:iCs w:val="1"/>
          <w:color w:val="auto"/>
        </w:rPr>
        <w: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pneumonia </w:t>
      </w:r>
      <w:r>
        <w:rPr>
          <w:rFonts w:ascii="Arial" w:cs="Arial" w:eastAsia="Arial" w:hAnsi="Arial"/>
          <w:sz w:val="17"/>
          <w:szCs w:val="17"/>
          <w:color w:val="auto"/>
        </w:rPr>
        <w:t>infection for an immunoglobulin manufactured to contain standardized antibodies to numerous serotypes of</w:t>
      </w:r>
      <w:r>
        <w:rPr>
          <w:rFonts w:ascii="Arial" w:cs="Arial" w:eastAsia="Arial" w:hAnsi="Arial"/>
          <w:sz w:val="17"/>
          <w:szCs w:val="17"/>
          <w:i w:val="1"/>
          <w:iCs w:val="1"/>
          <w:color w:val="auto"/>
        </w:rPr>
        <w:t xml:space="preserve"> S. pneumoniae</w:t>
      </w:r>
      <w:r>
        <w:rPr>
          <w:rFonts w:ascii="Arial" w:cs="Arial" w:eastAsia="Arial" w:hAnsi="Arial"/>
          <w:sz w:val="17"/>
          <w:szCs w:val="17"/>
          <w:color w:val="auto"/>
        </w:rPr>
        <w:t>. Our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manufacture these products at our FDA-licensed, plasma fractionation and purification facility located in Boca Raton, Florida with a peak annual source plasma processing capability of up to 600,000 liters (the “Boca Facility”). Based on current production yields, our completed and ongoing supply chain enhancements and capacity expansion initiatives, we believe this facility has the potential to produce quantities of our immune globulin (“IG”) products representing annual revenues of $240 million or more in 2023, potentially more than $275 million in annual revenue in 2024 and potentially in excess of $325 million of annual revenue thereafter, as well as achieving profitability during the first quarter of 2024. At these revenue levels, we forecast achieving consolidated gross margins in the range of 40-50% and net income margins in the range of 20-30%. These assumptions translate to potential annual gross profit and net income in the range of $110-$160 million and $55-$100 million, respectively, during the 2024-2025 time period and beyond.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Through our ADMA BioCenters subsidiary, we currently operate ten source plasma collection facilities in the U.S. This business unit, which we refer to as our Plasma Collection Centers business segment, provides us with substantially all of our blood plasma for the manufacture of our products, and also allows us to sell certain quantities of source plasma and certain other plasma products to third-party customers for further manufacturing. Currently, nine of our plasma collection centers hold FDA licenses, with the remaining plasma collection center anticipated to receive FDA approval later in 2023.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18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packaging services in light of the FDA approval of our in-house fill-finish capabilities.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work with the FDA and the immunology and infectious disease community to design an appropriate clinical trial to evaluate the use of ASCENIV in this patient population. Commercial sales of ASCENIV commenced in October of 2019 and our commercial and medical education efforts are focused on the labeled indication of patients with PIDD. ASCENIV’s prescriber and patient base continued to expand during the fourth quarter of 2022, which drove record utilization and pull-through for the product. These elevated demand trends have sustained into 2023, and ADMA currently expects that this product’s rapid growth will continue throughout 2023 and beyond.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POTENTIAL IMPACT OF COVID-19</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continue to monitor the ongoing developments related to the COVID-19 pandemic, including the emergence of the Delta, Omicron and BA.2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Due to a combination of previously mandated state and local “shelter-in-place” orders, as well as government stimulus packages, persisting social distancing measures and varying roll-outs of vaccinations by state, we experienced at times lower than normal donor collections at our FDA approved plasma collection centers during 2021 and part of 2022. From time to time during 2021 and 2022,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have been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previously impacted, to a certain degree, our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our ability to communicate with potential customers.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pandemic could also impact our ability to interact with the FDA or other regulatory authorities and could result in delays in the conduct of inspections or review of pending applications or submissions. Although we have received FDA approvals for six of our plasma collection centers since January 1, 2022 and received several other FDA approvals while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six months ended June 30, 2023 and 2022, our revenue attributable to international customers was approximately 7% of our total revenues. As we seek to grow this aspect of our business, we may also be subject to the impacts of the COVID-19 pandemic in locations outside the United States.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or any known or future variant or government order, will have a material adverse impact on our business, financial condition, liquidity and results of operations. After the COVID-19 global pandemic has settled, we may continue to experience adverse impacts to our business as a result of evolving macroeconomic factors, including general economic uncertainty, unemployment rates, inflationary pressures and any actual economic recession that has occurred or may occur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 SYSTEMS DISRUPTION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June 19, 2023, we experienced an IT systems disruption, which rendered certain of our IT technology systems inaccessible for less than one week. Our investigation of the disruption remains ongoing with the assistance of third-party consultants. As no definitive root cause has been identified, we believe, theoretically, this IT systems disruption may have been caused by a third-party who may have gained access to the system. There was no original financial systems or other data loss or any evidence of files exfiltrated due to this disruption. Normal operations have resumed across our business units. At the time of the disruption, we were in production of two batches of BIVIGAM, and after a prolonged hold time, it was deemed to be a prudent GMP quality decision to discard these two in-process production batches as these batches were no longer viable for further production or had any alternative use. As a result, we recorded a one-time, non-recurring charge of $2.1 million for this inventory, which is reflected in Cost of product revenue in the accompanying consolidated statements of operations. In addition, we believe that our Plasma center operating expenses were adversely impacted by approximately $0.7 million due to the temporary closing of our plasma collection centers while their IT systems were restored.</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appropriate insurance for these types of instances, and while there can be no assurances ADMA will be reimbursed for the insurance claims made pertaining to these charges, we are actively working with its insurance broker and carriers.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2022 10-K. Estimates and assumptions used in projecting future liquidity and capital requirements are described in Note 1 to the condensed consolidated financial statements appearing elsewhere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delay between when this obligation is initially recorded and ultimately settled could potentially materially impact our revenues and our results of operations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Valuation of Warrants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We will continue to analyze the expected stock price volatility and expected term assumptions and will adjust our Black-Scholes option pricing assumptions as appropriate. Any changes in the foregoing Black-Scholes assumptions, or if we were to elect to utilize an alternative method for valuing stock options granted to employees, directors and officers, could potentially impact our stock-based compensation expense and our results of operations.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We also use the Black-Scholes option valuation model for the purpose of estimating the fair value of warrants we issue from time to time in connection with the issuance of notes payable. Changes in our Black-Scholes assumptions, or if we were to utilize an alternative method for valuing warrants issued to our lenders, could impact our interest expense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six months ended June 30, 2023 and 2022, we determined that there was no impairment of our long-lived assets. Examples of events or circumstances that may be indicative of impairment that would require the use of significant judgment by management include:</w:t>
      </w:r>
    </w:p>
    <w:p>
      <w:pPr>
        <w:spacing w:after="0" w:line="16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and continued cash flow losses.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4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six months ended June 30, 2023 and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maintain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at this time we have not included future projected taxable income as a source of income to recognize our deferred tax assets.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June 30, 2023, our second fiscal quarter, compared to the three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10"/>
          </w:tcPr>
          <w:p>
            <w:pPr>
              <w:jc w:val="right"/>
              <w:ind w:right="860"/>
              <w:spacing w:after="0"/>
              <w:rPr>
                <w:sz w:val="20"/>
                <w:szCs w:val="20"/>
                <w:color w:val="auto"/>
              </w:rPr>
            </w:pPr>
            <w:r>
              <w:rPr>
                <w:rFonts w:ascii="Arial" w:cs="Arial" w:eastAsia="Arial" w:hAnsi="Arial"/>
                <w:sz w:val="18"/>
                <w:szCs w:val="18"/>
                <w:b w:val="1"/>
                <w:bCs w:val="1"/>
                <w:color w:val="auto"/>
              </w:rPr>
              <w:t>Three Months Ended June 30,</w:t>
            </w:r>
          </w:p>
        </w:tc>
      </w:tr>
      <w:tr>
        <w:trPr>
          <w:trHeight w:val="198"/>
        </w:trPr>
        <w:tc>
          <w:tcPr>
            <w:tcW w:w="6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6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60,123,191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33,905,007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26,218,184</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43,433,188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26,135,614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17,297,574</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16,690,003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7,769,393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8,920,610</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1,403,260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529,874</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1,333,424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3,921,486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(2,588,062)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178,838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14,247,558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11,970,422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2,277,136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(473,077)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(9,174,739)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8,701,662</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(6,299,107)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(4,573,015)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(1,726,092)</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401,477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(17,152)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418,629</w:t>
            </w:r>
          </w:p>
        </w:tc>
        <w:tc>
          <w:tcPr>
            <w:tcW w:w="100" w:type="dxa"/>
            <w:vAlign w:val="bottom"/>
          </w:tcPr>
          <w:p>
            <w:pPr>
              <w:spacing w:after="0"/>
              <w:rPr>
                <w:sz w:val="19"/>
                <w:szCs w:val="19"/>
                <w:color w:val="auto"/>
              </w:rPr>
            </w:pPr>
          </w:p>
        </w:tc>
      </w:tr>
      <w:tr>
        <w:trPr>
          <w:trHeight w:val="223"/>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(6,370,707</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(13,764,906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7,394,199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w:t>
            </w:r>
          </w:p>
        </w:tc>
        <w:tc>
          <w:tcPr>
            <w:tcW w:w="10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6,432,987</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(6,276,562)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12,709,549</w:t>
            </w:r>
          </w:p>
        </w:tc>
        <w:tc>
          <w:tcPr>
            <w:tcW w:w="100" w:type="dxa"/>
            <w:vAlign w:val="bottom"/>
            <w:shd w:val="clear" w:color="auto" w:fill="CCEEFF"/>
          </w:tcPr>
          <w:p>
            <w:pPr>
              <w:spacing w:after="0"/>
              <w:rPr>
                <w:sz w:val="19"/>
                <w:szCs w:val="19"/>
                <w:color w:val="auto"/>
              </w:rPr>
            </w:pPr>
          </w:p>
        </w:tc>
      </w:tr>
      <w:tr>
        <w:trPr>
          <w:trHeight w:val="432"/>
        </w:trPr>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 - See Non-GAAP Financial Measures appearing at the end of this discussion</w:t>
            </w:r>
          </w:p>
        </w:tc>
        <w:tc>
          <w:tcPr>
            <w:tcW w:w="8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recorded total revenues of $60.1 million during the three months ended June 30, 2023, as compared to $33.9 million during the three months ended June 30, 2022, an increase of $26.2 million, or approximately 77%. The increase is primarily related to increased sales of our immunoglobulin products, mainly ASCENIV and BIVIGAM, generated by our Boca Facility manufacturing operations in 2023 of $27.7 million, as we continue to experience increased physician, payer and patient acceptance and utilization of ASCENIV and expand our customer base for BIVIGAM.</w:t>
      </w:r>
    </w:p>
    <w:p>
      <w:pPr>
        <w:spacing w:after="0" w:line="15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foregoing increase in IVIG revenues in the second quarter of 2023 was partially offset by a $1.4 million decrease in third-party plasma sales by our Plasma Collection Centers business segment. During the first quarter of 2023, we fulfilled our entire commitment to supply normal source plasma (“NSP”) to our primary third-party customer for fiscal 2023. As a result, we do not expect to generate significant revenues from this business segment during the remainder of 2023, as we anticipate using all of the plasma collected during that period to support our IVIG production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Cost of product revenue was $43.4 million for the three months ended June 30, 2023, as compared to $26.1 million for the three months ended June 30, 2022. This increase is primarily attributable to volume-driven increases in product revenue costs related to the increased sales of our IVIG products of $16.9 million and to the inventory losses resulting from the IT disruption in the amount of $2.1 million, partially offset by $1.5 million of lower product revenue costs related to plasma sales.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June 30, 2023, we had gross profit of $16.7 million, as compared to $7.8 million for the same period of a year ago, which represents an increase of $8.9 million. As a result, we achieved a gross margin of 27.8% in the second quarter of 2023 as compared to 22.9% in the second quarter of 2022. This improvement is mainly due to the increase in IVIG product revenues and, to a lesser extent, the absence of lower margin NSP sales in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Research and development (“R&amp;D”) expenses totaled $1.4 million for the second quarter of 2023, as compared to $0.9 million for the second quarter of 2022. The increase is primarily due to higher expenditures related to the BIVIGAM post-marketing commitments we have with the FDA, which were required to be completed by June of 2023 (see Note 10 to the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Plasma Center Operating Expenses decreased from $3.9 million in the second quarter of 2022 to $1.3 million in the second quarter of 2023. As a result of our plasma center expansion initiatives which have resulted in 10 plasma centers currently collecting plasma, we have more than doubled the amount of plasma collected in the second quarter of 2023 as compared to the second quarter of 2022. In addition, as a result of changes in the market price of NSP and the impact on the net realizable value of our plasma inventory, the amount of plasma center costs we capitalized into inventory increased by approximately $10.9 million for the three months ended June 30, 2023 as compared to the same period of a year ago. This amount was largely offset by increases in donor fees of $3.3 million, compensation, benefits and temporary labor of $1.3 million, softgoods and supplies of $1.7 million, donor testing expenses of $1.2 million, depreciation of $0.3 million, software maintenance expense of $0.2 million and utilities, janitorial and security services of $0.1 million. In addition, our plasma center collections and operating costs were adversely impacted by approximately $0.7 million due to the temporary closing of our plasma collection centers to restore their IT systems as a result of the IT disruption.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a 2017 acquisition transaction and was $0.2 million for the three months ended June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Selling, general and administrative (“SG&amp;A”) expenses were $14.2 million for the three months ended June 30, 2023, an increase of $2.3 million from the three months ended June 30, 2022. The increase reflects increases in employee-related costs, including salaries, benefits, stock-based compensation, travel, relocation and recruiting, in the amount of $0.9 million, data services and market intelligence fees in support of the continued ASCENIV and BIVIGAM commercialization efforts in the amount of $0.7 million, marketing and advertising expenses of $0.2 million, utilities of $0.1 million and software maintenance fees of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operating loss was $0.5 million for the second quarter of 2023, as compared to $9.2 million for the second quarter of 2022. The $8.7 million decrease in operating loss was mainly due to the improved gross profit of $8.9 million, partially offset by the increases in total operating expenses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Interest expense for the three months ended June 30, 2023 was $6.3 million, as compared to $4.6 million for the three months ended June 30, 2022. The increase is mainly due to rising interest rates on the indebtedness underlying our senior credit facility (see “Liquidity and Capital Resources”), increases in debt principal resulting from “in kind” interest paid in the form of additional indebtedness and higher amortization of debt discount in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Other income, net, for the three months ended June 30, 2023 was $0.4 million, as compared to other expense, net, of $17,000 for the three months ended June 30, 2022. The increase is mainly due to an increase in interest income of approximately $0.4 million in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net loss was $6.4 million for the second quarter of 2023, as compared to $13.8 million for the second quarter of 2022. The $7.4 million decrease in net loss was mainly due to the narrowed operating loss of $8.7 million attributable to the increased revenues and gross profit and the increase in interest income of $0.4 million, partially offset by the $1.7 million increase in interest expense.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six months ended June 30, 2023, our second fiscal quarter, compared to the three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9"/>
          </w:tcPr>
          <w:p>
            <w:pPr>
              <w:jc w:val="right"/>
              <w:ind w:right="960"/>
              <w:spacing w:after="0"/>
              <w:rPr>
                <w:sz w:val="20"/>
                <w:szCs w:val="20"/>
                <w:color w:val="auto"/>
              </w:rPr>
            </w:pPr>
            <w:r>
              <w:rPr>
                <w:rFonts w:ascii="Arial" w:cs="Arial" w:eastAsia="Arial" w:hAnsi="Arial"/>
                <w:sz w:val="18"/>
                <w:szCs w:val="18"/>
                <w:b w:val="1"/>
                <w:bCs w:val="1"/>
                <w:color w:val="auto"/>
              </w:rPr>
              <w:t>Six Months Ended June 30,</w:t>
            </w:r>
          </w:p>
        </w:tc>
      </w:tr>
      <w:tr>
        <w:trPr>
          <w:trHeight w:val="198"/>
        </w:trPr>
        <w:tc>
          <w:tcPr>
            <w:tcW w:w="7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117,036,725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63,008,100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54,028,625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83,833,732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51,576,660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32,257,072</w:t>
            </w:r>
          </w:p>
        </w:tc>
        <w:tc>
          <w:tcPr>
            <w:tcW w:w="100" w:type="dxa"/>
            <w:vAlign w:val="bottom"/>
          </w:tcPr>
          <w:p>
            <w:pPr>
              <w:spacing w:after="0"/>
              <w:rPr>
                <w:sz w:val="19"/>
                <w:szCs w:val="19"/>
                <w:color w:val="auto"/>
              </w:rPr>
            </w:pPr>
          </w:p>
        </w:tc>
      </w:tr>
      <w:tr>
        <w:trPr>
          <w:trHeight w:val="216"/>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11,431,440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21,771,553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2,258,611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1,497,497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761,114</w:t>
            </w:r>
          </w:p>
        </w:tc>
        <w:tc>
          <w:tcPr>
            <w:tcW w:w="100" w:type="dxa"/>
            <w:vAlign w:val="bottom"/>
          </w:tcPr>
          <w:p>
            <w:pPr>
              <w:spacing w:after="0"/>
              <w:rPr>
                <w:sz w:val="18"/>
                <w:szCs w:val="18"/>
                <w:color w:val="auto"/>
              </w:rPr>
            </w:pPr>
          </w:p>
        </w:tc>
      </w:tr>
      <w:tr>
        <w:trPr>
          <w:trHeight w:val="216"/>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7,896,075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(4,782,188)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357,676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73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28,759,214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25,669,997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(1,286,395)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(23,989,805)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22,703,410</w:t>
            </w:r>
          </w:p>
        </w:tc>
        <w:tc>
          <w:tcPr>
            <w:tcW w:w="100" w:type="dxa"/>
            <w:vAlign w:val="bottom"/>
          </w:tcPr>
          <w:p>
            <w:pPr>
              <w:spacing w:after="0"/>
              <w:rPr>
                <w:sz w:val="18"/>
                <w:szCs w:val="18"/>
                <w:color w:val="auto"/>
              </w:rPr>
            </w:pPr>
          </w:p>
        </w:tc>
      </w:tr>
      <w:tr>
        <w:trPr>
          <w:trHeight w:val="216"/>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(12,414,591)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(7,962,053)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(4,452,538)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(6,669,941)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6,669,941</w:t>
            </w:r>
          </w:p>
        </w:tc>
        <w:tc>
          <w:tcPr>
            <w:tcW w:w="100" w:type="dxa"/>
            <w:vAlign w:val="bottom"/>
          </w:tcPr>
          <w:p>
            <w:pPr>
              <w:spacing w:after="0"/>
              <w:rPr>
                <w:sz w:val="18"/>
                <w:szCs w:val="18"/>
                <w:color w:val="auto"/>
              </w:rPr>
            </w:pPr>
          </w:p>
        </w:tc>
      </w:tr>
      <w:tr>
        <w:trPr>
          <w:trHeight w:val="216"/>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(150,964)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692,428</w:t>
            </w:r>
          </w:p>
        </w:tc>
        <w:tc>
          <w:tcPr>
            <w:tcW w:w="100" w:type="dxa"/>
            <w:vAlign w:val="bottom"/>
            <w:shd w:val="clear" w:color="auto" w:fill="CCEEFF"/>
          </w:tcPr>
          <w:p>
            <w:pPr>
              <w:spacing w:after="0"/>
              <w:rPr>
                <w:sz w:val="18"/>
                <w:szCs w:val="18"/>
                <w:color w:val="auto"/>
              </w:rPr>
            </w:pPr>
          </w:p>
        </w:tc>
      </w:tr>
      <w:tr>
        <w:trPr>
          <w:trHeight w:val="27"/>
        </w:trPr>
        <w:tc>
          <w:tcPr>
            <w:tcW w:w="7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(13,159,522)</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(38,772,763)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25,613,241</w:t>
            </w:r>
          </w:p>
        </w:tc>
        <w:tc>
          <w:tcPr>
            <w:tcW w:w="100" w:type="dxa"/>
            <w:vAlign w:val="bottom"/>
          </w:tcPr>
          <w:p>
            <w:pPr>
              <w:spacing w:after="0"/>
              <w:rPr>
                <w:sz w:val="19"/>
                <w:szCs w:val="19"/>
                <w:color w:val="auto"/>
              </w:rPr>
            </w:pPr>
          </w:p>
        </w:tc>
      </w:tr>
      <w:tr>
        <w:trPr>
          <w:trHeight w:val="216"/>
        </w:trPr>
        <w:tc>
          <w:tcPr>
            <w:tcW w:w="7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Adjusted EBITDA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8,902,787</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(17,993,834)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26,896,621</w:t>
            </w:r>
          </w:p>
        </w:tc>
        <w:tc>
          <w:tcPr>
            <w:tcW w:w="100" w:type="dxa"/>
            <w:vAlign w:val="bottom"/>
          </w:tcPr>
          <w:p>
            <w:pPr>
              <w:spacing w:after="0"/>
              <w:rPr>
                <w:sz w:val="19"/>
                <w:szCs w:val="19"/>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 - See Non-GAAP Financial Measures appearing at the end of this discussion</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recorded total revenues of $117.0 million during the six months ended June 30, 2023, as compared to $63.0 million during the six months ended June 30, 2022, an increase of $54.0 million, or approximately 86%. The increase is primarily related to increased sales of our immunoglobulin products, mainly ASCENIV and BIVIGAM, generated by our Boca Facility manufacturing operations in 2023 of $51.5 million, as we continue to experience increased physician, payer and patient acceptance and utilization of ASCENIV and expand our customer base for BIVIGAM. We also benefitted from an increase in sales of NSP through our Plasma Collection Centers business segment of $2.5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Cost of product revenue was $83.8 million for the three months ended June 30, 2023, as compared to $51.6 million for the six months ended June 30, 2022. This increase is primarily attributable to volume-driven increases in product revenue costs related to the increased sales of our immunoglobulin products and NSP of $32.0 million and $1.8 million, respectively. Cost of product revenue was also impacted by the inventory losses of $2.1 million related to the IT disruption, partially offset by a decrease in other manufacturing expenses of approximately $3.7 million in the first half of 2023 as compared to the same period of a year ago, mainly due to a shorter routine shutdown of the Boca Facility in 2023 as compared to 2022.</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six months ended June 30, 2023, we had gross profit of $33.2 million, as compared to $11.4 million for the same period of a year ago. This gross profit improvement of $21.8 million was primarily due to the revenue increases and the reduction in other manufacturing costs discussed above as we elected to extend our otherwise-routine plant shutdown in the first quarter of 2022 in order to complete certain projects. As a result, we achieved a gross margin of 28.4% in the first half of 2023 as compared to 18.1% in the first half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Research and development (“R&amp;D”) expenses totaled $2.3 million for the first six months of 2023, as compared to $1.5 million for the first six months of 2022. The increase is primarily due to higher expenditures related to the BIVIGAM post-marketing commitments we have with the FDA, which were required to be completed by June of 2023.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Plasma Center Operating Expenses decreased from $7.9 million in the first six months of 2022 to $3.1 million in the first six months of 2023. As a result of our plasma center expansion initiatives, and our more than doubling the number of liters of plasma collected in the first half of 2023 as compared to the first half of 2022, coupled with the changes in the market price of NSP and its impact on the net realizable value of our plasma inventory, the amount of plasma center costs we capitalized into inventory increased by approximately $21.5 million in the first half of 2023 as compared to the same period of a year ago. This amount was largely offset by increases in donor fees of $6.7 million, compensation, benefits and temporary labor of $2.7 million, softgoods and supplies of $3.0 million, donor testing expenses of $2.3 million, depreciation of $0.5 million, software maintenance expense of $0.4 million, utilities, janitorial and security services of $0.3 million, travel expenses of $0.1 million, transportation costs of $0.1 million, advertising expense of $0.1 million, repairs and maintenance expense of $0.1 million and rent of $0.2 million. In addition, our plasma center collections and operating costs were unfavorably impacted by approximately $0.7 million due to the temporary closing of our plasma collection centers while their IT systems were restored.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a 2017 acquisition transaction and was $0.4 million for the six months ended June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Selling, general and administrative (“SG&amp;A”) expenses were $28.8 million for the six months ended June 30, 2023, an increase of $3.1 million from the six months ended June 30, 2022. The increase reflects higher expenses for data services and market intelligence fees in support of the continued ASCENIV and BIVIGAM commercialization efforts in the amount of $1.4 million, employee-related costs including salaries, benefits, stock-based compensation, travel, relocation and recruiting of $0.6 million, marketing and advertising expenses of $0.3 million, insurance expense of $0.2 million, software maintenance expense of $0.3 million and utilities of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operating loss was $1.3 million for the first six months of 2023, as compared to $24.0 million for the first six months of 2022. This $22.7 million improvement in operating loss was mainly due to the improved gross profit of $21.8 million and the reduction in plasma center operating expenses of $4.8 million, partially offset by the increases in R&amp;D and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Interest expense for the six months ended June 30, 2023 was $12.4 million, as compared to $8.0 million for the six months ended June 30, 2022. The increase is mainly due to approximately $56.7 million of additional debt principal resulting from the refinancing of our senior credit facility on March 23, 2022 (see Note 7 to the consolidated financial statements and “Liquidity and Capital Resources”), including interest payments made “in kind” in the form of additional indebtedness of approximately $5.0 million, as well as an increase in the stated interest rate on our senior debt from 10.75% in 2022 to as high as 14.4% at certain points in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Other income, net, for the six months ended June 30, 2023 was $0.5 million, as compared to other expense, net, of $0.2 million for the six months ended June 30, 2022. The increase is mainly due to an increase in interest and other income of approximately $0.5 million in 2023, and to several non-recurring non-operational charges in 2022 of approximately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net loss was $13.2 million for the first six months of 2023, as compared to $38.8 million for the first six months of 2022. The $25.6 million decrease in net loss was mainly due to the narrowed operating loss of $22.7 million mainly attributable to the increased revenues and gross profit and the loss on extinguishment of debt of $6.7 million we recorded in the first quarter of 2022 in connection with the refinancing of our senior credit facility, partially offset by the increase in interest expense.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Interest, Taxes, Depreciation and Amortization (“EBITDA”), Adjusted EBITDA and Adjusted Net Loss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EBITDA, Adjusted EBITDA and Adjusted net loss are important non-GAAP financial measures used by our management and board of directors to assess our operating performance. We use EBITDA, Adjusted EBITDA and Adjusted net loss as key performance measures because we believe that they facilitate operating performance comparisons from period to period that exclude, in the case of Adjusted net loss, one-time and non-recurring items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loss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loss to net income/loss, the most directly comparable financial measure calculated and presented in accordance with U.S. GAAP.</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Because EBITDA, Adjusted EBITDA and Adjusted net loss are measures not deemed to be in accordance with U.S. GAAP and are susceptible to varying calculations, our EBITDA, Adjusted EBITDA and Adjusted net loss may not be comparable to similarly titled measures of other companies, including companies in our industry, because other companies may calculate EBITDA, Adjusted EBITDA and Adjusted net loss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loss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loss to EBITDA and Adjusted EBITDA for the three and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2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4"/>
              </w:rPr>
              <w:t>Three Months Ended June 30,</w:t>
            </w:r>
          </w:p>
        </w:tc>
        <w:tc>
          <w:tcPr>
            <w:tcW w:w="140" w:type="dxa"/>
            <w:vAlign w:val="bottom"/>
          </w:tcPr>
          <w:p>
            <w:pPr>
              <w:spacing w:after="0"/>
              <w:rPr>
                <w:sz w:val="20"/>
                <w:szCs w:val="20"/>
                <w:color w:val="auto"/>
              </w:rPr>
            </w:pPr>
          </w:p>
        </w:tc>
        <w:tc>
          <w:tcPr>
            <w:tcW w:w="24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(6,370,707)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(13,764,906)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(13,159,522)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(38,772,763)</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1,918,739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1,545,444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3,772,866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2,956,824</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178,838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357,676</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6,299,107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4,573,015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12,414,591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7,962,053</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2,025,977</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(7,467,609)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3,385,611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(27,496,210)</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1,637,038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1,191,047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2,747,204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2,832,435</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IT systems disruption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6,669,941</w:t>
            </w:r>
          </w:p>
        </w:tc>
        <w:tc>
          <w:tcPr>
            <w:tcW w:w="100" w:type="dxa"/>
            <w:vAlign w:val="bottom"/>
          </w:tcPr>
          <w:p>
            <w:pPr>
              <w:spacing w:after="0"/>
              <w:rPr>
                <w:sz w:val="19"/>
                <w:szCs w:val="19"/>
                <w:color w:val="auto"/>
              </w:rPr>
            </w:pPr>
          </w:p>
        </w:tc>
      </w:tr>
      <w:tr>
        <w:trPr>
          <w:trHeight w:val="25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6,432,987</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(6,276,562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8,902,787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(17,993,834</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bl>
    <w:p>
      <w:pPr>
        <w:spacing w:after="0" w:line="20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Adjusted EBITDA increased by $26.9 million for the six months ended June 30, 2023 as compared to the same period of a year ago. The improvement is driven primarily by the lower net loss attributable to increased sales and gross profit in 2023, as well as responsible and fiscal operational management of the business.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presents the reconciliation of net loss to Adjusted net loss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2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4"/>
              </w:rPr>
              <w:t>Three Months Ended June 30,</w:t>
            </w:r>
          </w:p>
        </w:tc>
        <w:tc>
          <w:tcPr>
            <w:tcW w:w="140" w:type="dxa"/>
            <w:vAlign w:val="bottom"/>
          </w:tcPr>
          <w:p>
            <w:pPr>
              <w:spacing w:after="0"/>
              <w:rPr>
                <w:sz w:val="20"/>
                <w:szCs w:val="20"/>
                <w:color w:val="auto"/>
              </w:rPr>
            </w:pPr>
          </w:p>
        </w:tc>
        <w:tc>
          <w:tcPr>
            <w:tcW w:w="244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(6,370,707)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(13,764,906)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(13,159,522)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(38,772,763)</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IT systems disruption</w:t>
            </w:r>
          </w:p>
        </w:tc>
        <w:tc>
          <w:tcPr>
            <w:tcW w:w="22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2,769,972</w:t>
            </w:r>
          </w:p>
        </w:tc>
        <w:tc>
          <w:tcPr>
            <w:tcW w:w="18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2,769,972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(3,600,735</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(13,764,906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(10,389,550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(38,772,763</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2023, we had working capital of $224.3 million, primarily consisting of $161.8 million of inventory, cash and cash equivalents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$62.5 million and $36.7 million of accounts receivable, partially offset by current liabilities of $42.0 million, as compared to working capital at December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 2022 of $231.1 million, primarily consisting of $163.3 million of inventory, cash and cash equivalents of $86.5 million and accounts receivable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$15.5 million, partially offset by current liabilities of $39.3 million. We have incurred an accumulated deficit of $491.2 million since inception and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negative cash flows from operations of $20.8 million and $38.8 million for the six months ended June 30, 2023 and 2022, respectively, and $59.5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$112.4 million for the years ended December 31, 2022 and 2021, respectively. We have funded our operations over the past few years primarily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sale of our equity and debt securities. Our material cash requirements are primarily comprised of:</w:t>
      </w:r>
    </w:p>
    <w:p>
      <w:pPr>
        <w:spacing w:after="0" w:line="211" w:lineRule="exact"/>
        <w:rPr>
          <w:sz w:val="20"/>
          <w:szCs w:val="20"/>
          <w:color w:val="auto"/>
        </w:rPr>
      </w:pPr>
    </w:p>
    <w:p>
      <w:pPr>
        <w:ind w:left="1300" w:right="280" w:hanging="320"/>
        <w:spacing w:after="0" w:line="25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collection and procurement of raw material plasma and other raw materials necessary to maintain and scale up our manufacturing operations;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compensation and benefits;</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to complete the buildout for and maintain our plasma collection facilities and for equipment upgrades and capacity expansion at the Boca Facility;</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Plasma donor fees and plasma center supplies;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our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programs, medical education and continued commercialization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Boca Facility maintenance, upgrades, repairs and supplies;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required post-marketing clinical trials for our FDA-approved products.</w:t>
      </w:r>
    </w:p>
    <w:p>
      <w:pPr>
        <w:spacing w:after="0" w:line="9" w:lineRule="exact"/>
        <w:rPr>
          <w:rFonts w:ascii="Arial" w:cs="Arial" w:eastAsia="Arial" w:hAnsi="Arial"/>
          <w:sz w:val="18"/>
          <w:szCs w:val="18"/>
          <w:color w:val="auto"/>
        </w:rPr>
      </w:pPr>
    </w:p>
    <w:p>
      <w:pPr>
        <w:ind w:left="1300" w:right="780" w:hanging="320"/>
        <w:spacing w:after="0" w:line="26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Continuous improvements and updates to our IT infrastructure, laboratory equipment and assays, and facilities and engineering equipment.</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will be sufficient to fund our operations, as currently conducted, through the end of the third quarter of 2024, by which time we believe we will have been generating positive cash flow from operations. This time frame may change based upon several factors, including the success of our commercial efforts with respect to the sale of our products and the acceptability of our immune globulin products by physicians, patients or payers, and whether or not the assumptions underlying our projected revenues and expenses are correct. If we are unable to achieve positive cash flow by the beginning of 2024, we may need to raise additional capital and if such capital is not available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If we are unable to generate sufficient revenue to achieve positive cash flow by the beginning of 2024 and need to raise additional capital, we may decide to do so through public or private equity offerings or debt financings, or we may enter into a corporate collaboration or licensing arrangement. The sale of additional equity or debt securities, if convertible, could result in dilution to our stockholders and, in such event, the value and potential future market price of our common stock may decline.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20" w:firstLine="738"/>
        <w:spacing w:after="0" w:line="277" w:lineRule="auto"/>
        <w:rPr>
          <w:sz w:val="20"/>
          <w:szCs w:val="20"/>
          <w:color w:val="auto"/>
        </w:rPr>
      </w:pPr>
      <w:r>
        <w:rPr>
          <w:rFonts w:ascii="Arial" w:cs="Arial" w:eastAsia="Arial" w:hAnsi="Arial"/>
          <w:sz w:val="18"/>
          <w:szCs w:val="18"/>
          <w:color w:val="auto"/>
        </w:rPr>
        <w:t>ADMA continues to evaluate a variety of strategic alternatives. While the exploration of value-creating opportunities remains a top corporate priority for us, we have terminated our financial advisory agreement with Morgan Stanley.</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Pursuant to an amendment to the Hayfin Credit Agreement dated May 1, 2023 (the “Hayfin Second Amendment”), the obligation of the lenders to make the Hayfin Delayed Draw Loan expires on December 31, 2023, and was subject to the satisfaction of certain conditions, including, but not limited to, our meeting certain 12-month revenue targets as set forth in the Hayfin Credit Agreement which have been met. The Hayfin Credit Facility has a maturity date of March 23, 2027 (the “Hayfin Maturity Date”), subject to acceleration pursuant to the Hayfin Credit Agreement, including upon an Event of Default (as defined in the Hayfin Credit Agreement).</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After giving effect to the Hayfin Second Amendment, borrowings under the Hayfin Credit Agreement currently bear interest at the adjusted Term Secured Overnight Financing Rate (“SOFR”) for either a one-month or three-month tenor, as elected by us, and subject to a floor of 1.25%, plus an applicable margin of 8.5% (the “Applicable Margin”); provided, however, that upon, and during the continuance of, an Event of Default, the Applicable Margin shall increase by an additional 3% per annum. We will also continue to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As a result, our outstanding debt principal on the Hayfin Loans will increase each month as long as we elect to continue to pay a portion of our interest obligation “in kind.” On the Hayfin Closing Date and as of June 30, 2023, the stated interest rate on the Hayfin Loans was 10.75% and 13.7%, respectively. On the last day of each calendar month or quarter during the term of the Hayfin Credit Facility, we are required to pay accrued interest to Hayfin of approximately $1.5 million per month or approximately $4.4 million per quarter based on current interest rates, after giving effect to the “in kind” interest of 2.5% per annum, but without giving effect to the Hayfin Delayed Draw Loan, which we have yet to draw upon. As of June 30, 2023, the outstanding principal balance on the Hayfin Loans is $156.7 million.</w:t>
      </w:r>
    </w:p>
    <w:p>
      <w:pPr>
        <w:spacing w:after="0" w:line="1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 prepayment fee in the amount equal to (i) 7.0% of the prepaid principal amount, if prepaid on or prior to the first anniversary of the Hayfin Second Amendment, (ii) 3.0% of the prepaid principal amount, if prepaid after the first anniversary of the Hayfin Second Amendment and on or prior to the second anniversary of the Hayfin Second Amendment, or (iii) 1.0% of the prepaid principal amount, if prepaid after the second anniversary of the Hayfin Second Amendment and on or prior to the third anniversary of the Hayfin Second Amendment. The Hayfin Second Amendment also provides for a 50% reduction to the foregoing early prepayment fees if the Hayfin Loans are prepaid under certain circumstances as defined in the Hayfin Second Amendment. In addition, for any prepayments of principal, we are required to pay the 1.0% exit fee for the amount of principal being paid.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 As of June 30, 2023, we were in compliance with all of the financial covenants contained in the Hayfin Credit Agreement.</w:t>
      </w:r>
    </w:p>
    <w:p>
      <w:pPr>
        <w:spacing w:after="0" w:line="168" w:lineRule="exact"/>
        <w:rPr>
          <w:sz w:val="20"/>
          <w:szCs w:val="20"/>
          <w:color w:val="auto"/>
        </w:rPr>
      </w:pPr>
    </w:p>
    <w:p>
      <w:pPr>
        <w:ind w:right="220" w:firstLine="648"/>
        <w:spacing w:after="0" w:line="220" w:lineRule="exact"/>
        <w:rPr>
          <w:sz w:val="20"/>
          <w:szCs w:val="20"/>
          <w:color w:val="auto"/>
        </w:rPr>
      </w:pPr>
      <w:r>
        <w:rPr>
          <w:rFonts w:ascii="Arial" w:cs="Arial" w:eastAsia="Arial" w:hAnsi="Arial"/>
          <w:sz w:val="17"/>
          <w:szCs w:val="17"/>
          <w:color w:val="auto"/>
        </w:rPr>
        <w:t>On December 9, 2022, we completed an underwritten public offering whereby we issued 24,125,873 shares of our common stock. Net proceeds after underwriting discounts and expenses associated with the offering were approximately $64.6 million and are being used to accelerate commercialization and production activities, complete plasma center buildouts and obtain FDA approvals, to conclude post</w:t>
      </w:r>
      <w:r>
        <w:rPr>
          <w:rFonts w:ascii="MS PGothic" w:cs="MS PGothic" w:eastAsia="MS PGothic" w:hAnsi="MS PGothic"/>
          <w:sz w:val="17"/>
          <w:szCs w:val="17"/>
          <w:color w:val="auto"/>
        </w:rPr>
        <w:t>‑</w:t>
      </w:r>
      <w:r>
        <w:rPr>
          <w:rFonts w:ascii="Arial" w:cs="Arial" w:eastAsia="Arial" w:hAnsi="Arial"/>
          <w:sz w:val="17"/>
          <w:szCs w:val="17"/>
          <w:color w:val="auto"/>
        </w:rPr>
        <w:t>FDA marketing approval research and development projects, and for working capital, capital expenditures and general corporate purposes.</w:t>
      </w:r>
    </w:p>
    <w:p>
      <w:pPr>
        <w:spacing w:after="0" w:line="20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We currently have approximately $42.8 million of shares available to sell under the Distribution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6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8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(20,781,030)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(38,844,181)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(2,817,229)</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(6,782,169)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(410,394)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46,952,285</w:t>
            </w:r>
          </w:p>
        </w:tc>
        <w:tc>
          <w:tcPr>
            <w:tcW w:w="100" w:type="dxa"/>
            <w:vAlign w:val="bottom"/>
            <w:shd w:val="clear" w:color="auto" w:fill="CCEEFF"/>
          </w:tcPr>
          <w:p>
            <w:pPr>
              <w:spacing w:after="0"/>
              <w:rPr>
                <w:sz w:val="18"/>
                <w:szCs w:val="18"/>
                <w:color w:val="auto"/>
              </w:rPr>
            </w:pPr>
          </w:p>
        </w:tc>
      </w:tr>
      <w:tr>
        <w:trPr>
          <w:trHeight w:val="27"/>
        </w:trPr>
        <w:tc>
          <w:tcPr>
            <w:tcW w:w="8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(24,008,653)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1,325,935</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86,521,542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51,089,118</w:t>
            </w:r>
          </w:p>
        </w:tc>
        <w:tc>
          <w:tcPr>
            <w:tcW w:w="100" w:type="dxa"/>
            <w:vAlign w:val="bottom"/>
          </w:tcPr>
          <w:p>
            <w:pPr>
              <w:spacing w:after="0"/>
              <w:rPr>
                <w:sz w:val="19"/>
                <w:szCs w:val="19"/>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62,512,889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52,415,053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Cash used in operations for the six months ended June 30, 2023 was $20.8 million, a decrease of $18.1 million from the same period of a year ago, mainly due to a lower net loss after non-cash items and favorable changes in inventories, accounts payable and accrued expenses in 2023, partially offset by unfavorable changes in accounts receivable. The following table illustrates the primary components of and changes to our cash flows from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3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(13,159,522)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(38,772,763)</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Non-cash expenses, gains and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9,965,335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14,720,818</w:t>
            </w:r>
          </w:p>
        </w:tc>
        <w:tc>
          <w:tcPr>
            <w:tcW w:w="10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(21,226,562)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9,693,011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Changes in inventories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1,499,984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(21,351,368)</w:t>
            </w: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(123,590)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(1,060,683)</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Changes in accounts payable and accrued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3,593,515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(2,502,982)</w:t>
            </w: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(1,330,190)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429,786</w:t>
            </w:r>
          </w:p>
        </w:tc>
        <w:tc>
          <w:tcPr>
            <w:tcW w:w="100" w:type="dxa"/>
            <w:vAlign w:val="bottom"/>
            <w:shd w:val="clear" w:color="auto" w:fill="CCEEFF"/>
          </w:tcPr>
          <w:p>
            <w:pPr>
              <w:spacing w:after="0"/>
              <w:rPr>
                <w:sz w:val="18"/>
                <w:szCs w:val="18"/>
                <w:color w:val="auto"/>
              </w:rPr>
            </w:pPr>
          </w:p>
        </w:tc>
      </w:tr>
      <w:tr>
        <w:trPr>
          <w:trHeight w:val="27"/>
        </w:trPr>
        <w:tc>
          <w:tcPr>
            <w:tcW w:w="320" w:type="dxa"/>
            <w:vAlign w:val="bottom"/>
            <w:shd w:val="clear" w:color="auto" w:fill="CCEEFF"/>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Cash used in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(20,781,030)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(38,844,181)</w:t>
            </w:r>
          </w:p>
        </w:tc>
      </w:tr>
      <w:tr>
        <w:trPr>
          <w:trHeight w:val="27"/>
        </w:trPr>
        <w:tc>
          <w:tcPr>
            <w:tcW w:w="3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20" w:firstLine="648"/>
        <w:spacing w:after="0" w:line="229" w:lineRule="auto"/>
        <w:rPr>
          <w:sz w:val="20"/>
          <w:szCs w:val="20"/>
          <w:color w:val="auto"/>
        </w:rPr>
      </w:pPr>
      <w:r>
        <w:rPr>
          <w:rFonts w:ascii="Arial" w:cs="Arial" w:eastAsia="Arial" w:hAnsi="Arial"/>
          <w:sz w:val="18"/>
          <w:szCs w:val="18"/>
          <w:color w:val="auto"/>
        </w:rPr>
        <w:t>Net cash used in investing activities for the six months ended June 30, 2023 and 2022 was $2.8 million and $6.8 million, respectively, and is comprised of capital expenditures for the construction and buildout of new plasma collection centers and related equipment and capital expenditures at the Boca Facility. The decrease in capital expenditures in 2023 is due to the completion of the construction and buildout of our 10 plasma collection facilities, with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facility opening in the first quarter of 2023. While we currently have no firm commitments for capital expenditures, we expect our total capital expenditures will be between $5.0 million and $7.0 million for the remainder of fiscal 2023, mainly for additional upgrades to the Boca Facility manufacturing operations and related systems.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Cash used in financing activities was $0.4 million for the six months ended June 30, 2023, as compared to cash provided by financing activities of $47.0 million for the six months ended June 30, 2022, which mainly consisted of proceeds received from the Hayfin Credit Facility, net of payments to retire our previously existing credit facility with Perceptive (see Note 7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Inflation impacted a number of facets of our business during the six months ended June 30, 2023 and 2022 at both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publicly available information and reports form the U.S. Government, we expect this trend to continue through 2023 and potentially longer, which could potentially have a significant impact on our future results of operations. In addition, some of our third-party plasma purchase agreements provide for annual price increases that are tied to various consumer price indices, which have resulted in higher than historical percentage price increases and has resulted in and is expected to continue to result in higher source plasma and other raw material and supplies costs for the remainder of 2023 and into future periods. We are unable to predict when these external drivers of inflation will subside.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exposed to market risk as the result of changes in interest rates. Our senior credit facility with Hayfin requires monthly or quarterly payments of interest based on the adjusted Term SOFR plus the Applicable Margin. We currently do not utilize any derivative financial instruments, such as interest rate swaps or caps, to mitigate this risk. As of June 30, 2023, we had $156.7 million outstanding under our senior credit facility that is subject to a variable interest rate. As a result, the effect of a hypothetical, instantaneous and unfavorable change of 100 basis points in the interest rate would have an approximate $1.6 million annualized negative impact on our earnings and cash flows.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June 30, 2023. Based on this evaluation, our principal executive officer and our principal financial officer concluded that our disclosure controls and procedures as of June 30, 2023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2023 that have materially affected, or are reasonably likely to materially affect, our internal control over financial reporting.</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the 2022 10-K and our other filings with the SEC, before making an investment decision regarding our common stock.</w:t>
      </w:r>
    </w:p>
    <w:p>
      <w:pPr>
        <w:spacing w:after="0" w:line="187" w:lineRule="exact"/>
        <w:rPr>
          <w:sz w:val="20"/>
          <w:szCs w:val="20"/>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history of losses and we may, in the future,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jc w:val="both"/>
        <w:ind w:left="660" w:right="1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or other pandemics and efforts to reduce their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4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for or test our products and product candidates, and such parties are outside of our control.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senior credit facility with Hayfin Services LLP (“Hayfin”) is subject to acceleration in specified circumstances, which may result in Hayfin taking possession and disposing of any collateral.</w:t>
      </w:r>
    </w:p>
    <w:p>
      <w:pPr>
        <w:spacing w:after="0" w:line="170" w:lineRule="exact"/>
        <w:rPr>
          <w:rFonts w:ascii="Arial" w:cs="Arial" w:eastAsia="Arial" w:hAnsi="Arial"/>
          <w:sz w:val="18"/>
          <w:szCs w:val="18"/>
          <w:color w:val="auto"/>
        </w:rPr>
      </w:pPr>
    </w:p>
    <w:p>
      <w:pPr>
        <w:ind w:left="660" w:right="8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will be sufficient to fund our operations, as currently conducted, through the end of the third quarter of 2024, by which time we believe we will have begun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anticipate that we will not be able to generate a sufficient amount of product revenue to achieve profitability until the beginning of 2024. If we are unable to generate sufficient positive cash flow in the first quarter of 2024 and cannot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6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Historically, the major source of our cash has been from proceeds from various public offerings of our common stock and the issuance of debt securities. The actual amount of additional cash that we may need, if any,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 fiscal 2023, and we may never achieve or maintain profitability. For the years ended December 31, 2022 and 2021, we incurred net losses of $65.9 million and $71.6 million, respectively, and for the six months ended June 30, 2023 and 2022 we incurred net losses of $13.2 million and $38.8 million, respectively. From our inception in 2004 through June 30, 2023, we have incurred an accumulated deficit of $491.2 million. We expect that we will not be able to generate a sufficient amount of product revenue to achieve profitability until the beginning of 2024 and if we are unable to achieve positive cash flow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4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COVID-19 pandemic, including the Delta, Omicron and BA.2 variants and other resistant, mutating and emerging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from the COVID-19 pandemic or future pandemics.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or the continuation of no in-person meetings) could impact our results of operations. In addition, travel and other restrictions that were implemented in the United States or could be implemented in the future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were subject to limitations, rescheduling, virtual attendance or outright cancellation in response to the pandemic. Also, due to a combination of previous state and local “shelter-in-place” orders, as well as government stimulus packages, amongst other initiatives, we were experiencing, and may experience in the future, lower than expected donor collections at our FDA-licensed plasma collection centers. We are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 After the COVID-19 global pandemic has settled, we may continue to experience adverse impacts to our business as a result of evolving macroeconomic factors, including general economic uncertainty, unemployment rates, high inflation, recessionary pressures and any actual economic recession that has occurred or may occur in the future.</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pandemics or the restrictions resulting from outbreaks,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pandemics that may otherwise adversely impact our supply chains or the quality of the resulting products or supplies. Depending on the change, we may need to obtain FDA pre-approval or otherwise provide the FDA with a notification of the change.</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To the extent that we or our partners are conducting clinical trials, pandemics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could require that we consult with relevant review and ethics committees, IRBs, and the FDA. The foregoing could also impact the integrity of study data. The effects of pandemics may also increase the need for clinical trial patient monitoring and regulatory reporting of adverse effects. Pandemics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or other circumstances unknown to us presently or that are out of our direct control. Due to the potential impact of the COVID-19 outbreak on clinical trials, drug development, and manufacturing, the FDA issued a number of guidances specifically concerning COVID-19, including guidance with respect to blood and blood components. The FDA’s guidance is continually evolving.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COVID-19 pandemic resulted in and future pandemics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4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meeting the necessary quality standards or at all could have a material and adverse effect on our products, business, financial condition and results from operations.</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Although we are utilizing our FDA-approved fill/finish suite that we built at the Boca Facility for a portion of our finished drug product, we also intend to continue to utilize third parties to supplement our fill/finish process for final drug product. Any failure by us, our contract fill/finishers, or other third parties involved in the process for producing our products or product candidates to comply with the applicable manufacturing, including manufacturing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the following risks:</w:t>
      </w:r>
    </w:p>
    <w:p>
      <w:pPr>
        <w:spacing w:after="0" w:line="225" w:lineRule="exact"/>
        <w:rPr>
          <w:sz w:val="20"/>
          <w:szCs w:val="20"/>
          <w:color w:val="auto"/>
        </w:rPr>
      </w:pPr>
    </w:p>
    <w:p>
      <w:pPr>
        <w:ind w:left="660" w:right="20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3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4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1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our suppliers and contractors may be unable to comply with our specifications, cGMP requirements and with other FDA, state, and foreign regulatory requirements for commercial and clinical supply. The FDA is authorized to perform inspections and remote regulatory assessments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8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the event of any FDA enforcement actions, we and our third-party contractors would need to implement remedial actions which may be time-intensive or costly. 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9"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or ultimate product approval for any current or future development product candidate may be delayed by several factors, including:</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safety or effectiveness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6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supply or inadequate quality of our product candidates or other materials necessary to conduct clinical trials;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trade policies that may impact our ability to obtain raw materials and/or finished product for commercialization;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FDA or comparable regulatory authorities taking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inability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4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8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our production capabilities through the addition of new equipment, including if we do not obtain requisite approval from the FDA.</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make the necessary submissions to FDA, obtain any FDA required approvals and have it inspected by the FDA. Given the significant delays that may result during the validation process,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as well as the FDA’s approval of our BLA for ASCENIV, require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83" w:lineRule="exact"/>
        <w:rPr>
          <w:sz w:val="20"/>
          <w:szCs w:val="20"/>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requirements to conduct further post-marketing studies or clinical trials, implement risk mitigation strategies, or to issue corrective information;</w:t>
      </w:r>
    </w:p>
    <w:p>
      <w:pPr>
        <w:spacing w:after="0" w:line="248" w:lineRule="exact"/>
        <w:rPr>
          <w:rFonts w:ascii="Arial" w:cs="Arial" w:eastAsia="Arial" w:hAnsi="Arial"/>
          <w:sz w:val="16"/>
          <w:szCs w:val="16"/>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660" w:right="280" w:hanging="283"/>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23" w:lineRule="exact"/>
        <w:rPr>
          <w:rFonts w:ascii="Arial" w:cs="Arial" w:eastAsia="Arial" w:hAnsi="Arial"/>
          <w:sz w:val="16"/>
          <w:szCs w:val="16"/>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660" w:hanging="28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penalties or criminal fines.</w:t>
      </w:r>
    </w:p>
    <w:p>
      <w:pPr>
        <w:spacing w:after="0" w:line="22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six months ended June 30, 2023, two customers, BioCARE, Inc. (“BioCare”) and Priority Healthcare Distribution, Inc. (“Curascript”), represented an aggregate of 68% of our consolidated revenues. For the year ended December 31, 2022, two customers BioCare and Curascript, represented an aggregate of 74% of our consolidated revenues.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June 30, 2023, three customers, BioCare, Healix Infusion Therapy, LLC (“Healix”) and AmerisourceBergen Corporation, represented an aggregate of 94% of our consolidated accounts receivable. As of December 31, 2022, two customers, BioCare and Healix, represented an aggregate of 92% of our consolidated accounts receivable.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protected health information (“PHI”) held by covered entities and business associates. A “covered entity” is the primary type of HIPAA-regulated entity. Health plans/insurers, healthcare providers engaging in standard transactions (i.e., insurance/health plan claims and encounters, payment and remittance advice, claims status, eligibility, enrollment/disenrollment, referrals and authorizations, coordination of benefits and premium payments), and healthcare clearinghouses (i.e., switches that convert data between standard and non-standard data sets) are covered entities.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spacing w:after="0" w:line="16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may violate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the California Consumer Privacy Act (“CCPA”) was amended by the California Privacy Rights Act,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through implementing regulations or how it will be interpreted and enforced. We could be subject to enforcement action and litigation exposure if we fail to adhere to these data privacy and security laws. Virginia, Colorado, Connecticut and Utah have also enacted privacy laws that become effective in 2023 and are similar in many respects to the CCPA.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December 31, 2023 and is subject to the satisfaction of certain conditions, including but not limited to, our meeting certain 12-month revenue targets as set forth in the Hayfin Credit Agreement which have been met.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objectives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construct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intend to maintain FDA approval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laws governing our conduct in the U.S.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federal and state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delayed implementation of this portion of the rule until January 1, 2026, and previously proposed legislation would permanently prohibit implementation of the rule beginning in 2026.</w:t>
      </w:r>
    </w:p>
    <w:p>
      <w:pPr>
        <w:spacing w:after="0" w:line="18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78"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products or product candidates could harm our business.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and the collection of plasma from our FDA-approved plasma collection centers to manufacture our products. We can give no assurances that appropriate plasma will be available to us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7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our supply contract with Grifols for the purchase of normal source plasma (“NSP”) expired on December 31, 2022.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biosimilar pathway established as part of healthcare reform may make it easier for competitors to market biosimilar products.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2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six months ended June 30, 2023 and 2022, we had negative cash flows from operations of $20.8 million and $38.8 million, respectively, and for the years ended December 31, 2022 and 2021, we had negative cash flows from operations of approximately $59.5 million and $112.4 million, respectively. We expect to continue to spend substantial amounts for collecting plasma at our plasma collection centers, plasma center expansion, maintaining our plasma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if we do not achieve positive cash flow by the beginning of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will be sufficient to fund our operations, as currently conducted, through the end of the third quarter of 2024, by which time we believe we will have begun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generate sufficient revenue to achieve positive cash flow by the beginning of 2024, we may need to raise additional capital and if such capital is not available due to widespread liquidity constraints or significant market instability that could result from the COVID-19 pandemic, we will have to delay, curtail or eliminate our commercialization efforts or our product development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Hayfin Credit Facility provides for a senior secured term loan facility in an aggregate principal amount of up to $175.0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$150.0 million has been drawn down and is currently outstanding. Borrowings under the Hayfin Credit Facility currently bear interest at a rate per annum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8.5% plus the greater of (i) one or three-month SOFR as we elect and (ii) 1.25%, as more fully described in “Liquidity and Capital Resources”;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however, that upon, and during the continuance of, an Event of Default, the interest rate will automatically increase by an additional 300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points. We are currently required to make monthly payments of interest during the term of the Hayfin Credit Facility of approximately $1.5 million, with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and unpaid interest due at maturity. In addition, our monthly interest rate obligation is subject to rising interest rates. The Hayfin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a maturity date of March 23, 2027, subject to acceleration pursuant to the Hayfin Credit Agreement, including upon an Event of Default. All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the Hayfin Credit Facility are secured by a first-priority lien and security interest in substantially all of our and our subsidiaries’ tangible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intangible assets, including intellectual property, and all of the equity interests in our subsidiaries.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current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achieve positive cash flow sufficient to repay our outstanding debt obligations when they mature,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incurred substantial losses during our history. As of December 31, 2022, we had federal and state NOLs of $334.5 million and $211.7 million, respectively. Federal and State NOLs of approximately $55.2 million and $91.8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August 4, 2023, most of our 224,906,426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As of June 30, 2023, BlackRock Inc., Perceptive Advisors and our directors and executive officers and their affiliates owned approximately 16%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June 30, 2023, there were 28,532,751 shares remaining available for issuance, after giving effect to 26,962,867 shares of our common stock that were subject to outstanding stock options, RSUs and warrants as of June 30, 2023 that may be issued by us without stockholder approval, as well as an additional 19,977,634 shares reserved for the future issuance of awards under our equity compensation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660" w:val="left"/>
          <w:tab w:leader="none" w:pos="560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6"/>
          <w:szCs w:val="16"/>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tabs>
          <w:tab w:leader="none" w:pos="660" w:val="left"/>
          <w:tab w:leader="none" w:pos="560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7"/>
          <w:szCs w:val="17"/>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260" w:type="dxa"/>
            <w:vAlign w:val="bottom"/>
            <w:gridSpan w:val="5"/>
          </w:tcPr>
          <w:p>
            <w:pPr>
              <w:spacing w:after="0"/>
              <w:rPr>
                <w:sz w:val="20"/>
                <w:szCs w:val="20"/>
                <w:color w:val="auto"/>
              </w:rPr>
            </w:pPr>
            <w:r>
              <w:rPr>
                <w:rFonts w:ascii="Arial" w:cs="Arial" w:eastAsia="Arial" w:hAnsi="Arial"/>
                <w:sz w:val="14"/>
                <w:szCs w:val="14"/>
                <w:i w:val="1"/>
                <w:iCs w:val="1"/>
                <w:color w:val="0000EE"/>
              </w:rPr>
              <w:t>Index</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4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260" w:type="dxa"/>
            <w:vAlign w:val="bottom"/>
            <w:gridSpan w:val="5"/>
          </w:tcPr>
          <w:p>
            <w:pPr>
              <w:spacing w:after="0"/>
              <w:rPr>
                <w:sz w:val="20"/>
                <w:szCs w:val="20"/>
                <w:color w:val="auto"/>
              </w:rPr>
            </w:pPr>
            <w:r>
              <w:rPr>
                <w:rFonts w:ascii="Arial" w:cs="Arial" w:eastAsia="Arial" w:hAnsi="Arial"/>
                <w:sz w:val="18"/>
                <w:szCs w:val="18"/>
                <w:color w:val="auto"/>
              </w:rPr>
              <w:t>Exhibit Number</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Description</w:t>
            </w:r>
          </w:p>
        </w:tc>
      </w:tr>
      <w:tr>
        <w:trPr>
          <w:trHeight w:val="237"/>
        </w:trPr>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040" w:type="dxa"/>
            <w:vAlign w:val="bottom"/>
          </w:tcPr>
          <w:p>
            <w:pPr>
              <w:spacing w:after="0"/>
              <w:rPr>
                <w:sz w:val="20"/>
                <w:szCs w:val="20"/>
                <w:color w:val="auto"/>
              </w:rPr>
            </w:pPr>
          </w:p>
        </w:tc>
      </w:tr>
      <w:tr>
        <w:trPr>
          <w:trHeight w:val="175"/>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Certification of Principal Executive Officer pursuant to Rules 13a-14(a) and 15d-14(a), as adopted pursuant to Section 302 of the</w:t>
            </w: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Sarbanes-Oxley Act of 2002.</w:t>
            </w:r>
          </w:p>
        </w:tc>
      </w:tr>
      <w:tr>
        <w:trPr>
          <w:trHeight w:val="176"/>
        </w:trPr>
        <w:tc>
          <w:tcPr>
            <w:tcW w:w="42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8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7"/>
              </w:rPr>
              <w:t>Certification of Principal Financial Officer pursuant to Rules 13a-14(a) and 15d-14(a), as adopted pursuant to Section 302 of the</w:t>
            </w:r>
          </w:p>
        </w:tc>
      </w:tr>
      <w:tr>
        <w:trPr>
          <w:trHeight w:val="236"/>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r>
      <w:tr>
        <w:trPr>
          <w:trHeight w:val="176"/>
        </w:trPr>
        <w:tc>
          <w:tcPr>
            <w:tcW w:w="5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Certification of Principal Executive Officer pursuant to 18 U.S.C Section 1350, as adopted pursuant to Section 906 of the Sarbanes-</w:t>
            </w:r>
          </w:p>
        </w:tc>
      </w:tr>
      <w:tr>
        <w:trPr>
          <w:trHeight w:val="237"/>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Oxley Act of 2002.</w:t>
            </w:r>
          </w:p>
        </w:tc>
      </w:tr>
      <w:tr>
        <w:trPr>
          <w:trHeight w:val="175"/>
        </w:trPr>
        <w:tc>
          <w:tcPr>
            <w:tcW w:w="50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8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Sarbanes-Oxley</w:t>
            </w:r>
          </w:p>
        </w:tc>
      </w:tr>
      <w:tr>
        <w:trPr>
          <w:trHeight w:val="237"/>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Act of 2002.</w:t>
            </w: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9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The following materials from ADMA Biologics, Inc.’s Form 10-Q for the quarter ended June 30 2023, formatted in Extensible Business</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Reporting Language (XBRL): (i) Condensed Consolidated Balance Sheets as of June 30, 2023 (Unaudited) and December 31, 2022, (ii)</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0"/>
              </w:rPr>
              <w:t>Condensed Consolidated Statements of Operations (Unaudited) for the three months and six months ended June 30, 2023 and 2022, (iii)</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Condensed Consolidated Statements of Changes in Stockholders' Equity (Unaudited) for the three and six months ended June 30, 2023</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9"/>
              </w:rPr>
              <w:t>and 2022, (iv) Condensed Consolidated Statements of Cash Flows (Unaudited) for the six months ended June 30, 2023 and 2022, and (v)</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Notes to (Unaudited) Condensed Consolidated Financial Statements.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230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4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Date: August 9, 2023</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580" w:type="dxa"/>
            <w:vAlign w:val="bottom"/>
          </w:tcPr>
          <w:p>
            <w:pPr>
              <w:spacing w:after="0"/>
              <w:rPr>
                <w:sz w:val="17"/>
                <w:szCs w:val="17"/>
                <w:color w:val="auto"/>
              </w:rPr>
            </w:pPr>
          </w:p>
        </w:tc>
        <w:tc>
          <w:tcPr>
            <w:tcW w:w="2600" w:type="dxa"/>
            <w:vAlign w:val="bottom"/>
          </w:tcPr>
          <w:p>
            <w:pPr>
              <w:ind w:left="204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58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4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Date: August 9, 2023</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3580" w:type="dxa"/>
            <w:vAlign w:val="bottom"/>
          </w:tcPr>
          <w:p>
            <w:pPr>
              <w:spacing w:after="0"/>
              <w:rPr>
                <w:sz w:val="17"/>
                <w:szCs w:val="17"/>
                <w:color w:val="auto"/>
              </w:rPr>
            </w:pPr>
          </w:p>
        </w:tc>
        <w:tc>
          <w:tcPr>
            <w:tcW w:w="2600" w:type="dxa"/>
            <w:vAlign w:val="bottom"/>
          </w:tcPr>
          <w:p>
            <w:pPr>
              <w:ind w:left="204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16"/>
        </w:trPr>
        <w:tc>
          <w:tcPr>
            <w:tcW w:w="358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Financial and Accounting Officer)</w:t>
            </w:r>
          </w:p>
        </w:tc>
      </w:tr>
      <w:tr>
        <w:trPr>
          <w:trHeight w:val="601"/>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In connection with the Quarterly Report of ADMA Biologics, Inc., a Delaware corporation (the “Company”), on Form 10-Q for the quarter ended June 30, 2023,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20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Date: August 9, 2023</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580" w:type="dxa"/>
            <w:vAlign w:val="bottom"/>
          </w:tcPr>
          <w:p>
            <w:pPr>
              <w:spacing w:after="0"/>
              <w:rPr>
                <w:sz w:val="17"/>
                <w:szCs w:val="17"/>
                <w:color w:val="auto"/>
              </w:rPr>
            </w:pPr>
          </w:p>
        </w:tc>
        <w:tc>
          <w:tcPr>
            <w:tcW w:w="2600" w:type="dxa"/>
            <w:vAlign w:val="bottom"/>
          </w:tcPr>
          <w:p>
            <w:pPr>
              <w:ind w:left="204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58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of ADMA Biologics, Inc., a Delaware corporation (the “Company”), on Form 10-Q for the quarter ended June 30, 2023,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Date: August 9, 2023</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3580" w:type="dxa"/>
            <w:vAlign w:val="bottom"/>
          </w:tcPr>
          <w:p>
            <w:pPr>
              <w:spacing w:after="0"/>
              <w:rPr>
                <w:sz w:val="17"/>
                <w:szCs w:val="17"/>
                <w:color w:val="auto"/>
              </w:rPr>
            </w:pPr>
          </w:p>
        </w:tc>
        <w:tc>
          <w:tcPr>
            <w:tcW w:w="2600" w:type="dxa"/>
            <w:vAlign w:val="bottom"/>
          </w:tcPr>
          <w:p>
            <w:pPr>
              <w:ind w:left="204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16"/>
        </w:trPr>
        <w:tc>
          <w:tcPr>
            <w:tcW w:w="358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Financial and Accounting Officer)</w:t>
            </w:r>
          </w:p>
        </w:tc>
      </w:tr>
      <w:tr>
        <w:trPr>
          <w:trHeight w:val="601"/>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lowerRoman"/>
      <w:start w:val="2"/>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2023-08-09T16:13:35Z</dcterms:created>
  <dcterms:modified xsi:type="dcterms:W3CDTF">2023-08-09T16:13:35Z</dcterms:modified>
</cp:coreProperties>
</file>